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9722E9">
      <w:pPr>
        <w:spacing w:beforeLines="0" w:afterLines="0" w:line="240" w:lineRule="auto"/>
        <w:ind w:left="0" w:leftChars="0" w:firstLine="0" w:firstLineChars="0"/>
        <w:jc w:val="center"/>
        <w:rPr>
          <w:rFonts w:hint="eastAsia" w:ascii="黑体" w:hAnsi="黑体" w:eastAsia="黑体" w:cs="黑体"/>
          <w:sz w:val="32"/>
          <w:szCs w:val="32"/>
          <w:highlight w:val="none"/>
        </w:rPr>
      </w:pPr>
      <w:bookmarkStart w:id="0" w:name="_GoBack"/>
      <w:r>
        <w:rPr>
          <w:rFonts w:hint="eastAsia" w:ascii="黑体" w:hAnsi="黑体" w:eastAsia="黑体" w:cs="黑体"/>
          <w:sz w:val="32"/>
          <w:szCs w:val="32"/>
          <w:highlight w:val="none"/>
        </w:rPr>
        <w:t>202</w:t>
      </w:r>
      <w:r>
        <w:rPr>
          <w:rFonts w:hint="eastAsia" w:ascii="黑体" w:hAnsi="黑体" w:eastAsia="黑体" w:cs="黑体"/>
          <w:sz w:val="32"/>
          <w:szCs w:val="32"/>
          <w:highlight w:val="none"/>
          <w:lang w:val="en-US" w:eastAsia="zh-CN"/>
        </w:rPr>
        <w:t>6</w:t>
      </w:r>
      <w:r>
        <w:rPr>
          <w:rFonts w:hint="eastAsia" w:ascii="黑体" w:hAnsi="黑体" w:eastAsia="黑体" w:cs="黑体"/>
          <w:sz w:val="32"/>
          <w:szCs w:val="32"/>
          <w:highlight w:val="none"/>
        </w:rPr>
        <w:t>年“数据要素×”大赛福建分赛</w:t>
      </w:r>
      <w:r>
        <w:rPr>
          <w:rFonts w:hint="eastAsia" w:ascii="黑体" w:hAnsi="黑体" w:eastAsia="黑体" w:cs="黑体"/>
          <w:sz w:val="32"/>
          <w:szCs w:val="32"/>
          <w:highlight w:val="none"/>
          <w:lang w:val="en-US" w:eastAsia="zh-CN"/>
        </w:rPr>
        <w:t>福州市</w:t>
      </w:r>
      <w:r>
        <w:rPr>
          <w:rFonts w:hint="eastAsia" w:ascii="黑体" w:hAnsi="黑体" w:eastAsia="黑体" w:cs="黑体"/>
          <w:sz w:val="32"/>
          <w:szCs w:val="32"/>
          <w:highlight w:val="none"/>
        </w:rPr>
        <w:t>获奖项目名单</w:t>
      </w:r>
    </w:p>
    <w:bookmarkEnd w:id="0"/>
    <w:p w14:paraId="10C2DCD5">
      <w:pPr>
        <w:spacing w:beforeLines="0" w:afterLines="0" w:line="240" w:lineRule="auto"/>
        <w:ind w:left="0" w:leftChars="0" w:firstLine="0" w:firstLineChars="0"/>
        <w:jc w:val="center"/>
        <w:rPr>
          <w:rFonts w:hint="eastAsia" w:ascii="黑体" w:hAnsi="黑体" w:eastAsia="黑体" w:cs="黑体"/>
          <w:i w:val="0"/>
          <w:iCs w:val="0"/>
          <w:caps w:val="0"/>
          <w:color w:val="auto"/>
          <w:spacing w:val="18"/>
          <w:sz w:val="24"/>
          <w:szCs w:val="24"/>
          <w:shd w:val="clear" w:color="auto" w:fill="FFFFFF"/>
        </w:rPr>
      </w:pPr>
      <w:r>
        <w:rPr>
          <w:rFonts w:hint="eastAsia" w:ascii="黑体" w:hAnsi="黑体" w:eastAsia="黑体" w:cs="黑体"/>
          <w:i w:val="0"/>
          <w:iCs w:val="0"/>
          <w:caps w:val="0"/>
          <w:color w:val="auto"/>
          <w:spacing w:val="18"/>
          <w:sz w:val="24"/>
          <w:szCs w:val="24"/>
          <w:shd w:val="clear" w:color="auto" w:fill="FFFFFF"/>
        </w:rPr>
        <w:t>（以下排名不分先后）</w:t>
      </w:r>
    </w:p>
    <w:p w14:paraId="2F590EFA">
      <w:pPr>
        <w:spacing w:beforeLines="0" w:afterLines="0" w:line="240" w:lineRule="auto"/>
        <w:ind w:left="0" w:leftChars="0" w:firstLine="0" w:firstLineChars="0"/>
        <w:jc w:val="center"/>
        <w:rPr>
          <w:rFonts w:hint="eastAsia" w:ascii="黑体" w:hAnsi="黑体" w:eastAsia="黑体" w:cs="黑体"/>
          <w:color w:val="A5A5A5"/>
          <w:spacing w:val="18"/>
          <w:sz w:val="24"/>
          <w:szCs w:val="24"/>
          <w:highlight w:val="none"/>
          <w:shd w:val="clear" w:color="auto" w:fill="FFFFFF"/>
          <w:lang w:val="en-US" w:eastAsia="zh-CN"/>
        </w:rPr>
      </w:pPr>
    </w:p>
    <w:tbl>
      <w:tblPr>
        <w:tblStyle w:val="5"/>
        <w:tblW w:w="0" w:type="auto"/>
        <w:tblInd w:w="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8"/>
        <w:gridCol w:w="3359"/>
        <w:gridCol w:w="3873"/>
      </w:tblGrid>
      <w:tr w14:paraId="25EE2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8600" w:type="dxa"/>
            <w:gridSpan w:val="3"/>
            <w:noWrap w:val="0"/>
            <w:vAlign w:val="center"/>
          </w:tcPr>
          <w:p w14:paraId="258102B2">
            <w:pPr>
              <w:tabs>
                <w:tab w:val="left" w:pos="5366"/>
              </w:tabs>
              <w:spacing w:beforeLines="0" w:afterLines="0" w:line="240" w:lineRule="auto"/>
              <w:ind w:left="0" w:leftChars="0" w:firstLine="0" w:firstLineChars="0"/>
              <w:jc w:val="center"/>
              <w:rPr>
                <w:rFonts w:hint="default" w:ascii="黑体" w:hAnsi="黑体" w:eastAsia="黑体" w:cs="黑体"/>
                <w:color w:val="000000"/>
                <w:sz w:val="24"/>
                <w:szCs w:val="24"/>
                <w:lang w:val="en-US" w:eastAsia="zh-CN"/>
              </w:rPr>
            </w:pPr>
            <w:r>
              <w:rPr>
                <w:rFonts w:hint="eastAsia" w:ascii="黑体" w:hAnsi="黑体" w:eastAsia="黑体" w:cs="黑体"/>
                <w:color w:val="000000"/>
                <w:sz w:val="28"/>
                <w:szCs w:val="28"/>
                <w:lang w:val="en-US" w:eastAsia="zh-CN"/>
              </w:rPr>
              <w:t>一等奖</w:t>
            </w:r>
          </w:p>
        </w:tc>
      </w:tr>
      <w:tr w14:paraId="7D10C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1368" w:type="dxa"/>
            <w:noWrap w:val="0"/>
            <w:vAlign w:val="center"/>
          </w:tcPr>
          <w:p w14:paraId="58A80939">
            <w:pPr>
              <w:spacing w:beforeLines="0" w:afterLines="0" w:line="240" w:lineRule="auto"/>
              <w:ind w:left="0" w:leftChars="0" w:firstLine="0" w:firstLineChars="0"/>
              <w:jc w:val="center"/>
              <w:rPr>
                <w:rFonts w:hint="default" w:ascii="黑体" w:hAnsi="黑体" w:eastAsia="黑体" w:cs="黑体"/>
                <w:color w:val="000000"/>
                <w:kern w:val="2"/>
                <w:sz w:val="24"/>
                <w:szCs w:val="24"/>
                <w:lang w:val="en-US" w:eastAsia="zh-CN" w:bidi="ar-SA"/>
              </w:rPr>
            </w:pPr>
            <w:r>
              <w:rPr>
                <w:rFonts w:hint="eastAsia" w:ascii="黑体" w:hAnsi="黑体" w:eastAsia="黑体" w:cs="黑体"/>
                <w:color w:val="000000"/>
                <w:sz w:val="24"/>
                <w:szCs w:val="24"/>
                <w:lang w:val="en-US" w:eastAsia="zh-CN"/>
              </w:rPr>
              <w:t>赛道</w:t>
            </w:r>
          </w:p>
        </w:tc>
        <w:tc>
          <w:tcPr>
            <w:tcW w:w="3359" w:type="dxa"/>
            <w:noWrap w:val="0"/>
            <w:vAlign w:val="center"/>
          </w:tcPr>
          <w:p w14:paraId="3E14B328">
            <w:pPr>
              <w:spacing w:beforeLines="0" w:afterLines="0" w:line="240" w:lineRule="auto"/>
              <w:ind w:left="0" w:leftChars="0" w:firstLine="0" w:firstLineChars="0"/>
              <w:jc w:val="center"/>
              <w:rPr>
                <w:rFonts w:hint="eastAsia" w:ascii="黑体" w:hAnsi="黑体" w:eastAsia="黑体" w:cs="黑体"/>
                <w:color w:val="000000"/>
                <w:kern w:val="2"/>
                <w:sz w:val="24"/>
                <w:szCs w:val="24"/>
                <w:lang w:val="en-US" w:eastAsia="zh-CN" w:bidi="ar-SA"/>
              </w:rPr>
            </w:pPr>
            <w:r>
              <w:rPr>
                <w:rFonts w:hint="eastAsia" w:ascii="黑体" w:hAnsi="黑体" w:eastAsia="黑体" w:cs="黑体"/>
                <w:color w:val="000000"/>
                <w:sz w:val="24"/>
                <w:szCs w:val="24"/>
                <w:lang w:val="en-US" w:eastAsia="zh-CN"/>
              </w:rPr>
              <w:t>参赛项目名称</w:t>
            </w:r>
          </w:p>
        </w:tc>
        <w:tc>
          <w:tcPr>
            <w:tcW w:w="3873" w:type="dxa"/>
            <w:noWrap w:val="0"/>
            <w:vAlign w:val="center"/>
          </w:tcPr>
          <w:p w14:paraId="39401AD8">
            <w:pPr>
              <w:spacing w:beforeLines="0" w:afterLines="0" w:line="240" w:lineRule="auto"/>
              <w:ind w:left="0" w:leftChars="0" w:firstLine="0" w:firstLineChars="0"/>
              <w:jc w:val="center"/>
              <w:rPr>
                <w:rFonts w:hint="default" w:ascii="黑体" w:hAnsi="黑体" w:eastAsia="黑体" w:cs="黑体"/>
                <w:color w:val="000000"/>
                <w:sz w:val="24"/>
                <w:szCs w:val="24"/>
                <w:lang w:val="en-US" w:eastAsia="zh-CN"/>
              </w:rPr>
            </w:pPr>
            <w:r>
              <w:rPr>
                <w:rFonts w:hint="eastAsia" w:ascii="黑体" w:hAnsi="黑体" w:eastAsia="黑体" w:cs="黑体"/>
                <w:color w:val="000000"/>
                <w:sz w:val="24"/>
                <w:szCs w:val="24"/>
                <w:lang w:val="en-US" w:eastAsia="zh-CN"/>
              </w:rPr>
              <w:t>参赛单位</w:t>
            </w:r>
          </w:p>
        </w:tc>
      </w:tr>
      <w:tr w14:paraId="60A1E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4" w:hRule="exact"/>
        </w:trPr>
        <w:tc>
          <w:tcPr>
            <w:tcW w:w="1368" w:type="dxa"/>
            <w:noWrap w:val="0"/>
            <w:vAlign w:val="center"/>
          </w:tcPr>
          <w:p w14:paraId="0D2ED2C3">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仿宋_GB2312" w:hAnsi="宋体" w:eastAsia="仿宋_GB2312" w:cs="仿宋_GB2312"/>
                <w:i w:val="0"/>
                <w:iCs w:val="0"/>
                <w:color w:val="000000"/>
                <w:kern w:val="0"/>
                <w:sz w:val="24"/>
                <w:szCs w:val="24"/>
                <w:u w:val="none"/>
                <w:lang w:val="en-US" w:eastAsia="zh-CN" w:bidi="ar"/>
              </w:rPr>
              <w:t>金融服务</w:t>
            </w:r>
          </w:p>
        </w:tc>
        <w:tc>
          <w:tcPr>
            <w:tcW w:w="3359" w:type="dxa"/>
            <w:noWrap w:val="0"/>
            <w:vAlign w:val="center"/>
          </w:tcPr>
          <w:p w14:paraId="4B72FF84">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仿宋_GB2312" w:hAnsi="宋体" w:eastAsia="仿宋_GB2312" w:cs="仿宋_GB2312"/>
                <w:i w:val="0"/>
                <w:iCs w:val="0"/>
                <w:color w:val="000000"/>
                <w:kern w:val="0"/>
                <w:sz w:val="24"/>
                <w:szCs w:val="24"/>
                <w:u w:val="none"/>
                <w:lang w:val="en-US" w:eastAsia="zh-CN" w:bidi="ar"/>
              </w:rPr>
              <w:t>智领保险新范式：平安鲲鹏企业级AI智能体平台以及保险创新场景应用</w:t>
            </w:r>
          </w:p>
        </w:tc>
        <w:tc>
          <w:tcPr>
            <w:tcW w:w="3873" w:type="dxa"/>
            <w:noWrap w:val="0"/>
            <w:vAlign w:val="center"/>
          </w:tcPr>
          <w:p w14:paraId="4FFBCCC8">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仿宋_GB2312" w:hAnsi="宋体" w:eastAsia="仿宋_GB2312" w:cs="仿宋_GB2312"/>
                <w:i w:val="0"/>
                <w:iCs w:val="0"/>
                <w:color w:val="000000"/>
                <w:kern w:val="0"/>
                <w:sz w:val="24"/>
                <w:szCs w:val="24"/>
                <w:u w:val="none"/>
                <w:lang w:val="en-US" w:eastAsia="zh-CN" w:bidi="ar"/>
              </w:rPr>
              <w:t>中国平安财产保险股份有限公司福建分公司、中国平安财产保险股份有限公司</w:t>
            </w:r>
          </w:p>
        </w:tc>
      </w:tr>
      <w:tr w14:paraId="39F66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exact"/>
        </w:trPr>
        <w:tc>
          <w:tcPr>
            <w:tcW w:w="1368" w:type="dxa"/>
            <w:noWrap w:val="0"/>
            <w:vAlign w:val="center"/>
          </w:tcPr>
          <w:p w14:paraId="7F229EBB">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医疗健康</w:t>
            </w:r>
          </w:p>
        </w:tc>
        <w:tc>
          <w:tcPr>
            <w:tcW w:w="3359" w:type="dxa"/>
            <w:noWrap w:val="0"/>
            <w:vAlign w:val="center"/>
          </w:tcPr>
          <w:p w14:paraId="10DA505B">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数智化健康多模态口颌系统的构建与应用</w:t>
            </w:r>
          </w:p>
        </w:tc>
        <w:tc>
          <w:tcPr>
            <w:tcW w:w="3873" w:type="dxa"/>
            <w:noWrap w:val="0"/>
            <w:vAlign w:val="center"/>
          </w:tcPr>
          <w:p w14:paraId="38DCF908">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仿宋_GB2312" w:hAnsi="宋体" w:eastAsia="仿宋_GB2312" w:cs="仿宋_GB2312"/>
                <w:i w:val="0"/>
                <w:iCs w:val="0"/>
                <w:color w:val="000000"/>
                <w:kern w:val="0"/>
                <w:sz w:val="24"/>
                <w:szCs w:val="24"/>
                <w:u w:val="none"/>
                <w:lang w:val="en-US" w:eastAsia="zh-CN" w:bidi="ar"/>
              </w:rPr>
              <w:t>福建医科大学附属口腔医院、中国科学院自动化研究所</w:t>
            </w:r>
          </w:p>
        </w:tc>
      </w:tr>
      <w:tr w14:paraId="44A15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6" w:hRule="exact"/>
        </w:trPr>
        <w:tc>
          <w:tcPr>
            <w:tcW w:w="1368" w:type="dxa"/>
            <w:vMerge w:val="restart"/>
            <w:noWrap w:val="0"/>
            <w:vAlign w:val="center"/>
          </w:tcPr>
          <w:p w14:paraId="2C337EB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仿宋_GB2312" w:hAnsi="宋体" w:eastAsia="仿宋_GB2312" w:cs="仿宋_GB2312"/>
                <w:i w:val="0"/>
                <w:iCs w:val="0"/>
                <w:color w:val="000000"/>
                <w:kern w:val="0"/>
                <w:sz w:val="24"/>
                <w:szCs w:val="24"/>
                <w:u w:val="none"/>
                <w:lang w:val="en-US" w:eastAsia="zh-CN" w:bidi="ar"/>
              </w:rPr>
              <w:t>应急管理</w:t>
            </w:r>
          </w:p>
        </w:tc>
        <w:tc>
          <w:tcPr>
            <w:tcW w:w="3359" w:type="dxa"/>
            <w:noWrap w:val="0"/>
            <w:vAlign w:val="center"/>
          </w:tcPr>
          <w:p w14:paraId="232ED984">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数智驱动、平急协同——数字孪生赋能城市防汛应急与水系治理数字新范式</w:t>
            </w:r>
          </w:p>
        </w:tc>
        <w:tc>
          <w:tcPr>
            <w:tcW w:w="3873" w:type="dxa"/>
            <w:noWrap w:val="0"/>
            <w:vAlign w:val="center"/>
          </w:tcPr>
          <w:p w14:paraId="5891954A">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仿宋_GB2312" w:hAnsi="宋体" w:eastAsia="仿宋_GB2312" w:cs="仿宋_GB2312"/>
                <w:i w:val="0"/>
                <w:iCs w:val="0"/>
                <w:color w:val="000000"/>
                <w:kern w:val="0"/>
                <w:sz w:val="24"/>
                <w:szCs w:val="24"/>
                <w:u w:val="none"/>
                <w:lang w:val="en-US" w:eastAsia="zh-CN" w:bidi="ar"/>
              </w:rPr>
              <w:t>福州市城区水系联排联调中心、上海市政工程设计研究总院（集团）有限公司、福建福州大学建筑规划设计研究院有限公司、福建省建研工程顾问有限公司</w:t>
            </w:r>
          </w:p>
        </w:tc>
      </w:tr>
      <w:tr w14:paraId="1F338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exact"/>
        </w:trPr>
        <w:tc>
          <w:tcPr>
            <w:tcW w:w="1368" w:type="dxa"/>
            <w:vMerge w:val="continue"/>
            <w:noWrap w:val="0"/>
            <w:vAlign w:val="center"/>
          </w:tcPr>
          <w:p w14:paraId="5E23E5F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c>
          <w:tcPr>
            <w:tcW w:w="3359" w:type="dxa"/>
            <w:noWrap w:val="0"/>
            <w:vAlign w:val="center"/>
          </w:tcPr>
          <w:p w14:paraId="70360819">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仿宋_GB2312" w:hAnsi="宋体" w:eastAsia="仿宋_GB2312" w:cs="仿宋_GB2312"/>
                <w:i w:val="0"/>
                <w:iCs w:val="0"/>
                <w:color w:val="000000"/>
                <w:kern w:val="0"/>
                <w:sz w:val="24"/>
                <w:szCs w:val="24"/>
                <w:u w:val="none"/>
                <w:lang w:val="en-US" w:eastAsia="zh-CN" w:bidi="ar"/>
              </w:rPr>
              <w:t>数智协同赋能国家油气能源安全保障</w:t>
            </w:r>
          </w:p>
        </w:tc>
        <w:tc>
          <w:tcPr>
            <w:tcW w:w="3873" w:type="dxa"/>
            <w:noWrap w:val="0"/>
            <w:vAlign w:val="center"/>
          </w:tcPr>
          <w:p w14:paraId="2ED768CD">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仿宋_GB2312" w:hAnsi="宋体" w:eastAsia="仿宋_GB2312" w:cs="仿宋_GB2312"/>
                <w:i w:val="0"/>
                <w:iCs w:val="0"/>
                <w:color w:val="000000"/>
                <w:kern w:val="0"/>
                <w:sz w:val="24"/>
                <w:szCs w:val="24"/>
                <w:u w:val="none"/>
                <w:lang w:val="en-US" w:eastAsia="zh-CN" w:bidi="ar"/>
              </w:rPr>
              <w:t>国家石油天然气管网集团有限公司福建分公司、中国移动通信集团福建公司有限公司</w:t>
            </w:r>
          </w:p>
        </w:tc>
      </w:tr>
      <w:tr w14:paraId="275F5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8" w:hRule="exact"/>
        </w:trPr>
        <w:tc>
          <w:tcPr>
            <w:tcW w:w="1368" w:type="dxa"/>
            <w:noWrap w:val="0"/>
            <w:vAlign w:val="center"/>
          </w:tcPr>
          <w:p w14:paraId="76DD421D">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气象服务</w:t>
            </w:r>
          </w:p>
        </w:tc>
        <w:tc>
          <w:tcPr>
            <w:tcW w:w="3359" w:type="dxa"/>
            <w:noWrap w:val="0"/>
            <w:vAlign w:val="center"/>
          </w:tcPr>
          <w:p w14:paraId="05CDF519">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“气象数据×海洋牧场”赋能福建海洋经济发展提质增效</w:t>
            </w:r>
          </w:p>
        </w:tc>
        <w:tc>
          <w:tcPr>
            <w:tcW w:w="3873" w:type="dxa"/>
            <w:noWrap w:val="0"/>
            <w:vAlign w:val="center"/>
          </w:tcPr>
          <w:p w14:paraId="7B646007">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仿宋_GB2312" w:hAnsi="宋体" w:eastAsia="仿宋_GB2312" w:cs="仿宋_GB2312"/>
                <w:i w:val="0"/>
                <w:iCs w:val="0"/>
                <w:color w:val="000000"/>
                <w:kern w:val="0"/>
                <w:sz w:val="24"/>
                <w:szCs w:val="24"/>
                <w:u w:val="none"/>
                <w:lang w:val="en-US" w:eastAsia="zh-CN" w:bidi="ar"/>
              </w:rPr>
              <w:t>福建省连江县气象局、福州市气象台（福州农业气象试验站）、福建省气象服务中心、福州市海洋与渔业技术中心</w:t>
            </w:r>
          </w:p>
        </w:tc>
      </w:tr>
      <w:tr w14:paraId="63F11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exact"/>
        </w:trPr>
        <w:tc>
          <w:tcPr>
            <w:tcW w:w="1368" w:type="dxa"/>
            <w:noWrap w:val="0"/>
            <w:vAlign w:val="center"/>
          </w:tcPr>
          <w:p w14:paraId="2E4F258A">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人力资源</w:t>
            </w:r>
          </w:p>
        </w:tc>
        <w:tc>
          <w:tcPr>
            <w:tcW w:w="3359" w:type="dxa"/>
            <w:noWrap w:val="0"/>
            <w:vAlign w:val="center"/>
          </w:tcPr>
          <w:p w14:paraId="66D57E4A">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数据要素赋能就业困难群体</w:t>
            </w:r>
          </w:p>
        </w:tc>
        <w:tc>
          <w:tcPr>
            <w:tcW w:w="3873" w:type="dxa"/>
            <w:noWrap w:val="0"/>
            <w:vAlign w:val="center"/>
          </w:tcPr>
          <w:p w14:paraId="0DBD13F2">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仿宋_GB2312" w:hAnsi="宋体" w:eastAsia="仿宋_GB2312" w:cs="仿宋_GB2312"/>
                <w:i w:val="0"/>
                <w:iCs w:val="0"/>
                <w:color w:val="000000"/>
                <w:kern w:val="0"/>
                <w:sz w:val="24"/>
                <w:szCs w:val="24"/>
                <w:u w:val="none"/>
                <w:lang w:val="en-US" w:eastAsia="zh-CN" w:bidi="ar"/>
              </w:rPr>
              <w:t>福州市劳动就业中心、福州市电子信息集团有限公司、新大陆（福建）公共服务有限公司</w:t>
            </w:r>
          </w:p>
        </w:tc>
      </w:tr>
      <w:tr w14:paraId="38DF9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8600" w:type="dxa"/>
            <w:gridSpan w:val="3"/>
            <w:noWrap w:val="0"/>
            <w:vAlign w:val="center"/>
          </w:tcPr>
          <w:p w14:paraId="70A75CE9">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黑体" w:hAnsi="黑体" w:eastAsia="黑体" w:cs="黑体"/>
                <w:i w:val="0"/>
                <w:iCs w:val="0"/>
                <w:color w:val="000000"/>
                <w:kern w:val="0"/>
                <w:sz w:val="28"/>
                <w:szCs w:val="28"/>
                <w:u w:val="none"/>
                <w:lang w:val="en-US" w:eastAsia="zh-CN" w:bidi="ar"/>
              </w:rPr>
              <w:t>二等奖</w:t>
            </w:r>
          </w:p>
        </w:tc>
      </w:tr>
      <w:tr w14:paraId="40DA6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368" w:type="dxa"/>
            <w:noWrap w:val="0"/>
            <w:vAlign w:val="center"/>
          </w:tcPr>
          <w:p w14:paraId="0FB1DA09">
            <w:pPr>
              <w:spacing w:beforeLines="0" w:afterLines="0" w:line="240" w:lineRule="auto"/>
              <w:ind w:left="0" w:leftChars="0" w:firstLine="0" w:firstLineChars="0"/>
              <w:jc w:val="center"/>
              <w:rPr>
                <w:rFonts w:hint="eastAsia" w:ascii="宋体" w:hAnsi="宋体" w:eastAsia="宋体" w:cs="宋体"/>
                <w:color w:val="000000"/>
                <w:kern w:val="2"/>
                <w:sz w:val="24"/>
                <w:szCs w:val="24"/>
                <w:lang w:val="en-US" w:eastAsia="zh-CN" w:bidi="ar-SA"/>
              </w:rPr>
            </w:pPr>
            <w:r>
              <w:rPr>
                <w:rFonts w:hint="eastAsia" w:ascii="黑体" w:hAnsi="黑体" w:eastAsia="黑体" w:cs="黑体"/>
                <w:color w:val="000000"/>
                <w:sz w:val="24"/>
                <w:szCs w:val="24"/>
                <w:lang w:val="en-US" w:eastAsia="zh-CN"/>
              </w:rPr>
              <w:t>赛道</w:t>
            </w:r>
          </w:p>
        </w:tc>
        <w:tc>
          <w:tcPr>
            <w:tcW w:w="3359" w:type="dxa"/>
            <w:noWrap w:val="0"/>
            <w:vAlign w:val="center"/>
          </w:tcPr>
          <w:p w14:paraId="09037049">
            <w:pPr>
              <w:spacing w:beforeLines="0" w:afterLines="0" w:line="240" w:lineRule="auto"/>
              <w:ind w:left="0" w:leftChars="0" w:firstLine="0" w:firstLineChars="0"/>
              <w:jc w:val="center"/>
              <w:rPr>
                <w:rFonts w:hint="eastAsia" w:ascii="宋体" w:hAnsi="宋体" w:eastAsia="宋体" w:cs="宋体"/>
                <w:color w:val="000000"/>
                <w:kern w:val="2"/>
                <w:sz w:val="24"/>
                <w:szCs w:val="24"/>
                <w:lang w:val="en-US" w:eastAsia="zh-CN" w:bidi="ar-SA"/>
              </w:rPr>
            </w:pPr>
            <w:r>
              <w:rPr>
                <w:rFonts w:hint="eastAsia" w:ascii="黑体" w:hAnsi="黑体" w:eastAsia="黑体" w:cs="黑体"/>
                <w:color w:val="000000"/>
                <w:sz w:val="24"/>
                <w:szCs w:val="24"/>
                <w:lang w:val="en-US" w:eastAsia="zh-CN"/>
              </w:rPr>
              <w:t>参赛项目名称</w:t>
            </w:r>
          </w:p>
        </w:tc>
        <w:tc>
          <w:tcPr>
            <w:tcW w:w="3873" w:type="dxa"/>
            <w:noWrap w:val="0"/>
            <w:vAlign w:val="center"/>
          </w:tcPr>
          <w:p w14:paraId="38CC5467">
            <w:pPr>
              <w:spacing w:beforeLines="0" w:afterLines="0" w:line="240" w:lineRule="auto"/>
              <w:ind w:left="0" w:leftChars="0" w:firstLine="0" w:firstLineChars="0"/>
              <w:jc w:val="center"/>
              <w:rPr>
                <w:rFonts w:hint="eastAsia" w:ascii="宋体" w:hAnsi="宋体" w:eastAsia="宋体" w:cs="宋体"/>
                <w:color w:val="000000"/>
                <w:sz w:val="24"/>
                <w:szCs w:val="24"/>
              </w:rPr>
            </w:pPr>
            <w:r>
              <w:rPr>
                <w:rFonts w:hint="eastAsia" w:ascii="黑体" w:hAnsi="黑体" w:eastAsia="黑体" w:cs="黑体"/>
                <w:color w:val="000000"/>
                <w:sz w:val="24"/>
                <w:szCs w:val="24"/>
                <w:lang w:val="en-US" w:eastAsia="zh-CN"/>
              </w:rPr>
              <w:t>参赛单位</w:t>
            </w:r>
          </w:p>
        </w:tc>
      </w:tr>
      <w:tr w14:paraId="3501D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6" w:hRule="exact"/>
        </w:trPr>
        <w:tc>
          <w:tcPr>
            <w:tcW w:w="1368" w:type="dxa"/>
            <w:noWrap w:val="0"/>
            <w:vAlign w:val="center"/>
          </w:tcPr>
          <w:p w14:paraId="60D08955">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工业制造</w:t>
            </w:r>
          </w:p>
        </w:tc>
        <w:tc>
          <w:tcPr>
            <w:tcW w:w="3359" w:type="dxa"/>
            <w:noWrap w:val="0"/>
            <w:vAlign w:val="center"/>
          </w:tcPr>
          <w:p w14:paraId="2661FA1A">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“数灵・纺域”垂直大模型赋能纺织设计生产经营一体化协同应用方案</w:t>
            </w:r>
          </w:p>
        </w:tc>
        <w:tc>
          <w:tcPr>
            <w:tcW w:w="3873" w:type="dxa"/>
            <w:noWrap w:val="0"/>
            <w:vAlign w:val="center"/>
          </w:tcPr>
          <w:p w14:paraId="15949B5E">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仿宋_GB2312" w:hAnsi="宋体" w:eastAsia="仿宋_GB2312" w:cs="仿宋_GB2312"/>
                <w:i w:val="0"/>
                <w:iCs w:val="0"/>
                <w:color w:val="000000"/>
                <w:kern w:val="0"/>
                <w:sz w:val="24"/>
                <w:szCs w:val="24"/>
                <w:u w:val="none"/>
                <w:lang w:val="en-US" w:eastAsia="zh-CN" w:bidi="ar"/>
              </w:rPr>
              <w:t>福州市数字产业互联科技有限责任公司、同济大学、福建省工业互联网发展研究中心</w:t>
            </w:r>
          </w:p>
        </w:tc>
      </w:tr>
      <w:tr w14:paraId="6587C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exact"/>
        </w:trPr>
        <w:tc>
          <w:tcPr>
            <w:tcW w:w="1368" w:type="dxa"/>
            <w:noWrap w:val="0"/>
            <w:vAlign w:val="center"/>
          </w:tcPr>
          <w:p w14:paraId="432D02A7">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交通运输</w:t>
            </w:r>
          </w:p>
        </w:tc>
        <w:tc>
          <w:tcPr>
            <w:tcW w:w="3359" w:type="dxa"/>
            <w:noWrap w:val="0"/>
            <w:vAlign w:val="center"/>
          </w:tcPr>
          <w:p w14:paraId="63D6F295">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于福州数据基础设施的综合客运枢纽协同运营与智慧出行一站式数据服务技术</w:t>
            </w:r>
          </w:p>
        </w:tc>
        <w:tc>
          <w:tcPr>
            <w:tcW w:w="3873" w:type="dxa"/>
            <w:noWrap w:val="0"/>
            <w:vAlign w:val="center"/>
          </w:tcPr>
          <w:p w14:paraId="41F50D35">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仿宋_GB2312" w:hAnsi="宋体" w:eastAsia="仿宋_GB2312" w:cs="仿宋_GB2312"/>
                <w:i w:val="0"/>
                <w:iCs w:val="0"/>
                <w:color w:val="000000"/>
                <w:kern w:val="0"/>
                <w:sz w:val="24"/>
                <w:szCs w:val="24"/>
                <w:u w:val="none"/>
                <w:lang w:val="en-US" w:eastAsia="zh-CN" w:bidi="ar"/>
              </w:rPr>
              <w:t>福州市规划设计研究院集团有限公司、福州数据集团有限公司</w:t>
            </w:r>
          </w:p>
        </w:tc>
      </w:tr>
      <w:tr w14:paraId="557B1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exact"/>
        </w:trPr>
        <w:tc>
          <w:tcPr>
            <w:tcW w:w="1368" w:type="dxa"/>
            <w:noWrap w:val="0"/>
            <w:vAlign w:val="center"/>
          </w:tcPr>
          <w:p w14:paraId="0567E2F2">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金融服务</w:t>
            </w:r>
          </w:p>
        </w:tc>
        <w:tc>
          <w:tcPr>
            <w:tcW w:w="3359" w:type="dxa"/>
            <w:noWrap w:val="0"/>
            <w:vAlign w:val="center"/>
          </w:tcPr>
          <w:p w14:paraId="4528D460">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科技金融数智星图——数据+AI点亮“科技金融”名片</w:t>
            </w:r>
          </w:p>
        </w:tc>
        <w:tc>
          <w:tcPr>
            <w:tcW w:w="3873" w:type="dxa"/>
            <w:noWrap w:val="0"/>
            <w:vAlign w:val="center"/>
          </w:tcPr>
          <w:p w14:paraId="0CB66A0F">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仿宋_GB2312" w:hAnsi="宋体" w:eastAsia="仿宋_GB2312" w:cs="仿宋_GB2312"/>
                <w:i w:val="0"/>
                <w:iCs w:val="0"/>
                <w:color w:val="000000"/>
                <w:kern w:val="0"/>
                <w:sz w:val="24"/>
                <w:szCs w:val="24"/>
                <w:u w:val="none"/>
                <w:lang w:val="en-US" w:eastAsia="zh-CN" w:bidi="ar"/>
              </w:rPr>
              <w:t>兴业银行股份有限公司福州分行</w:t>
            </w:r>
          </w:p>
        </w:tc>
      </w:tr>
      <w:tr w14:paraId="18544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exact"/>
        </w:trPr>
        <w:tc>
          <w:tcPr>
            <w:tcW w:w="1368" w:type="dxa"/>
            <w:noWrap w:val="0"/>
            <w:vAlign w:val="center"/>
          </w:tcPr>
          <w:p w14:paraId="3419B94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医疗健康</w:t>
            </w:r>
          </w:p>
        </w:tc>
        <w:tc>
          <w:tcPr>
            <w:tcW w:w="3359" w:type="dxa"/>
            <w:noWrap w:val="0"/>
            <w:vAlign w:val="center"/>
          </w:tcPr>
          <w:p w14:paraId="4BD9955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添健云AI智能主检系统</w:t>
            </w:r>
          </w:p>
        </w:tc>
        <w:tc>
          <w:tcPr>
            <w:tcW w:w="3873" w:type="dxa"/>
            <w:noWrap w:val="0"/>
            <w:vAlign w:val="center"/>
          </w:tcPr>
          <w:p w14:paraId="3DB6727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福能（福州）健康体检中心、福州市福能健康科技有限公司</w:t>
            </w:r>
          </w:p>
        </w:tc>
      </w:tr>
      <w:tr w14:paraId="76CDD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exact"/>
        </w:trPr>
        <w:tc>
          <w:tcPr>
            <w:tcW w:w="1368" w:type="dxa"/>
            <w:noWrap w:val="0"/>
            <w:vAlign w:val="center"/>
          </w:tcPr>
          <w:p w14:paraId="1559EA2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城市治理</w:t>
            </w:r>
          </w:p>
        </w:tc>
        <w:tc>
          <w:tcPr>
            <w:tcW w:w="3359" w:type="dxa"/>
            <w:noWrap w:val="0"/>
            <w:vAlign w:val="center"/>
          </w:tcPr>
          <w:p w14:paraId="530DB15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闽房智码：数据要素驱动房屋全生命周期治理与安全韧性提升</w:t>
            </w:r>
          </w:p>
        </w:tc>
        <w:tc>
          <w:tcPr>
            <w:tcW w:w="3873" w:type="dxa"/>
            <w:noWrap w:val="0"/>
            <w:vAlign w:val="center"/>
          </w:tcPr>
          <w:p w14:paraId="7008545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福建省建设信息中心、杭州市城投信息科技集团有限公司</w:t>
            </w:r>
          </w:p>
        </w:tc>
      </w:tr>
      <w:tr w14:paraId="6599F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exact"/>
        </w:trPr>
        <w:tc>
          <w:tcPr>
            <w:tcW w:w="1368" w:type="dxa"/>
            <w:noWrap w:val="0"/>
            <w:vAlign w:val="center"/>
          </w:tcPr>
          <w:p w14:paraId="342D691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中医药</w:t>
            </w:r>
          </w:p>
        </w:tc>
        <w:tc>
          <w:tcPr>
            <w:tcW w:w="3359" w:type="dxa"/>
            <w:noWrap w:val="0"/>
            <w:vAlign w:val="center"/>
          </w:tcPr>
          <w:p w14:paraId="77BA758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数智双驱型中医治未病智能服务平台构建与应用</w:t>
            </w:r>
          </w:p>
        </w:tc>
        <w:tc>
          <w:tcPr>
            <w:tcW w:w="3873" w:type="dxa"/>
            <w:noWrap w:val="0"/>
            <w:vAlign w:val="center"/>
          </w:tcPr>
          <w:p w14:paraId="1BEFA93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福州市中医院、厦门市腾云易惠科技有限公司</w:t>
            </w:r>
          </w:p>
        </w:tc>
      </w:tr>
      <w:tr w14:paraId="10AA6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exact"/>
        </w:trPr>
        <w:tc>
          <w:tcPr>
            <w:tcW w:w="1368" w:type="dxa"/>
            <w:noWrap w:val="0"/>
            <w:vAlign w:val="center"/>
          </w:tcPr>
          <w:p w14:paraId="0C5638F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数据基础设施</w:t>
            </w:r>
          </w:p>
        </w:tc>
        <w:tc>
          <w:tcPr>
            <w:tcW w:w="3359" w:type="dxa"/>
            <w:noWrap w:val="0"/>
            <w:vAlign w:val="center"/>
          </w:tcPr>
          <w:p w14:paraId="38AA475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算电碳协同运营体系建设</w:t>
            </w:r>
          </w:p>
        </w:tc>
        <w:tc>
          <w:tcPr>
            <w:tcW w:w="3873" w:type="dxa"/>
            <w:noWrap w:val="0"/>
            <w:vAlign w:val="center"/>
          </w:tcPr>
          <w:p w14:paraId="1EBFFD1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国网福建省电力有限公司信息通信分公司</w:t>
            </w:r>
          </w:p>
        </w:tc>
      </w:tr>
      <w:tr w14:paraId="1C770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8600" w:type="dxa"/>
            <w:gridSpan w:val="3"/>
            <w:noWrap w:val="0"/>
            <w:vAlign w:val="center"/>
          </w:tcPr>
          <w:p w14:paraId="3B0FA02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黑体" w:hAnsi="黑体" w:eastAsia="黑体" w:cs="黑体"/>
                <w:i w:val="0"/>
                <w:iCs w:val="0"/>
                <w:color w:val="000000"/>
                <w:kern w:val="0"/>
                <w:sz w:val="28"/>
                <w:szCs w:val="28"/>
                <w:u w:val="none"/>
                <w:lang w:val="en-US" w:eastAsia="zh-CN" w:bidi="ar"/>
              </w:rPr>
              <w:t>三等奖</w:t>
            </w:r>
          </w:p>
        </w:tc>
      </w:tr>
      <w:tr w14:paraId="772B6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368" w:type="dxa"/>
            <w:noWrap w:val="0"/>
            <w:vAlign w:val="center"/>
          </w:tcPr>
          <w:p w14:paraId="4E853541">
            <w:pPr>
              <w:spacing w:beforeLines="0" w:afterLines="0" w:line="240" w:lineRule="auto"/>
              <w:ind w:left="0" w:leftChars="0" w:firstLine="0" w:firstLineChars="0"/>
              <w:jc w:val="center"/>
              <w:rPr>
                <w:rFonts w:hint="default" w:ascii="黑体" w:hAnsi="黑体" w:eastAsia="黑体" w:cs="黑体"/>
                <w:color w:val="000000"/>
                <w:kern w:val="2"/>
                <w:sz w:val="24"/>
                <w:szCs w:val="24"/>
                <w:lang w:val="en-US" w:eastAsia="zh-CN" w:bidi="ar-SA"/>
              </w:rPr>
            </w:pPr>
            <w:r>
              <w:rPr>
                <w:rFonts w:hint="eastAsia" w:ascii="黑体" w:hAnsi="黑体" w:eastAsia="黑体" w:cs="黑体"/>
                <w:color w:val="000000"/>
                <w:sz w:val="24"/>
                <w:szCs w:val="24"/>
                <w:lang w:val="en-US" w:eastAsia="zh-CN"/>
              </w:rPr>
              <w:t>赛道</w:t>
            </w:r>
          </w:p>
        </w:tc>
        <w:tc>
          <w:tcPr>
            <w:tcW w:w="3359" w:type="dxa"/>
            <w:noWrap w:val="0"/>
            <w:vAlign w:val="center"/>
          </w:tcPr>
          <w:p w14:paraId="56BB5945">
            <w:pPr>
              <w:spacing w:beforeLines="0" w:afterLines="0" w:line="240" w:lineRule="auto"/>
              <w:ind w:left="0" w:leftChars="0" w:firstLine="0" w:firstLineChars="0"/>
              <w:jc w:val="center"/>
              <w:rPr>
                <w:rFonts w:hint="eastAsia" w:ascii="黑体" w:hAnsi="黑体" w:eastAsia="黑体" w:cs="黑体"/>
                <w:color w:val="000000"/>
                <w:kern w:val="2"/>
                <w:sz w:val="24"/>
                <w:szCs w:val="24"/>
                <w:lang w:val="en-US" w:eastAsia="zh-CN" w:bidi="ar-SA"/>
              </w:rPr>
            </w:pPr>
            <w:r>
              <w:rPr>
                <w:rFonts w:hint="eastAsia" w:ascii="黑体" w:hAnsi="黑体" w:eastAsia="黑体" w:cs="黑体"/>
                <w:color w:val="000000"/>
                <w:sz w:val="24"/>
                <w:szCs w:val="24"/>
                <w:lang w:val="en-US" w:eastAsia="zh-CN"/>
              </w:rPr>
              <w:t>参赛项目名称</w:t>
            </w:r>
          </w:p>
        </w:tc>
        <w:tc>
          <w:tcPr>
            <w:tcW w:w="3873" w:type="dxa"/>
            <w:noWrap w:val="0"/>
            <w:vAlign w:val="center"/>
          </w:tcPr>
          <w:p w14:paraId="37FF796E">
            <w:pPr>
              <w:spacing w:beforeLines="0" w:afterLines="0" w:line="240" w:lineRule="auto"/>
              <w:ind w:left="0" w:leftChars="0" w:firstLine="0" w:firstLineChars="0"/>
              <w:jc w:val="center"/>
              <w:rPr>
                <w:rFonts w:hint="eastAsia" w:ascii="黑体" w:hAnsi="黑体" w:eastAsia="黑体" w:cs="黑体"/>
                <w:color w:val="000000"/>
                <w:kern w:val="2"/>
                <w:sz w:val="24"/>
                <w:szCs w:val="24"/>
                <w:lang w:val="en-US" w:eastAsia="zh-CN"/>
              </w:rPr>
            </w:pPr>
            <w:r>
              <w:rPr>
                <w:rFonts w:hint="eastAsia" w:ascii="黑体" w:hAnsi="黑体" w:eastAsia="黑体" w:cs="黑体"/>
                <w:color w:val="000000"/>
                <w:sz w:val="24"/>
                <w:szCs w:val="24"/>
                <w:lang w:val="en-US" w:eastAsia="zh-CN"/>
              </w:rPr>
              <w:t>参赛单位</w:t>
            </w:r>
          </w:p>
        </w:tc>
      </w:tr>
      <w:tr w14:paraId="0F16C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368" w:type="dxa"/>
            <w:noWrap w:val="0"/>
            <w:vAlign w:val="center"/>
          </w:tcPr>
          <w:p w14:paraId="44FBB8AF">
            <w:pPr>
              <w:keepNext w:val="0"/>
              <w:keepLines w:val="0"/>
              <w:widowControl/>
              <w:suppressLineNumbers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城市治理</w:t>
            </w:r>
          </w:p>
        </w:tc>
        <w:tc>
          <w:tcPr>
            <w:tcW w:w="3359" w:type="dxa"/>
            <w:noWrap w:val="0"/>
            <w:vAlign w:val="center"/>
          </w:tcPr>
          <w:p w14:paraId="395B8C9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“信用分类×动态预警”：数据要素驱动的监管新引擎</w:t>
            </w:r>
          </w:p>
        </w:tc>
        <w:tc>
          <w:tcPr>
            <w:tcW w:w="3873" w:type="dxa"/>
            <w:noWrap w:val="0"/>
            <w:vAlign w:val="center"/>
          </w:tcPr>
          <w:p w14:paraId="3B13AFA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福州市市场监督管理局</w:t>
            </w:r>
          </w:p>
        </w:tc>
      </w:tr>
      <w:tr w14:paraId="59650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368" w:type="dxa"/>
            <w:noWrap w:val="0"/>
            <w:vAlign w:val="center"/>
          </w:tcPr>
          <w:p w14:paraId="12BC48C2">
            <w:pPr>
              <w:keepNext w:val="0"/>
              <w:keepLines w:val="0"/>
              <w:widowControl/>
              <w:suppressLineNumbers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人力资源</w:t>
            </w:r>
          </w:p>
        </w:tc>
        <w:tc>
          <w:tcPr>
            <w:tcW w:w="3359" w:type="dxa"/>
            <w:noWrap w:val="0"/>
            <w:vAlign w:val="center"/>
          </w:tcPr>
          <w:p w14:paraId="26E11A9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多元数据融合流通，驱动家政服务安全提升</w:t>
            </w:r>
          </w:p>
        </w:tc>
        <w:tc>
          <w:tcPr>
            <w:tcW w:w="3873" w:type="dxa"/>
            <w:noWrap w:val="0"/>
            <w:vAlign w:val="center"/>
          </w:tcPr>
          <w:p w14:paraId="449D6C7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海峡都市报社、福州数据集团有限公司</w:t>
            </w:r>
          </w:p>
        </w:tc>
      </w:tr>
      <w:tr w14:paraId="1D53A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368" w:type="dxa"/>
            <w:noWrap w:val="0"/>
            <w:vAlign w:val="center"/>
          </w:tcPr>
          <w:p w14:paraId="5F16A74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数据基础设施</w:t>
            </w:r>
          </w:p>
        </w:tc>
        <w:tc>
          <w:tcPr>
            <w:tcW w:w="3359" w:type="dxa"/>
            <w:noWrap w:val="0"/>
            <w:vAlign w:val="center"/>
          </w:tcPr>
          <w:p w14:paraId="05AD0E0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闽江数潮·福州数联网赋能千行百业</w:t>
            </w:r>
          </w:p>
        </w:tc>
        <w:tc>
          <w:tcPr>
            <w:tcW w:w="3873" w:type="dxa"/>
            <w:noWrap w:val="0"/>
            <w:vAlign w:val="center"/>
          </w:tcPr>
          <w:p w14:paraId="14EEFD6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福州数据集团有限公司</w:t>
            </w:r>
          </w:p>
        </w:tc>
      </w:tr>
      <w:tr w14:paraId="032B4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exact"/>
        </w:trPr>
        <w:tc>
          <w:tcPr>
            <w:tcW w:w="8600" w:type="dxa"/>
            <w:gridSpan w:val="3"/>
            <w:noWrap w:val="0"/>
            <w:vAlign w:val="center"/>
          </w:tcPr>
          <w:p w14:paraId="1A8AF03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黑体" w:hAnsi="黑体" w:eastAsia="黑体" w:cs="黑体"/>
                <w:i w:val="0"/>
                <w:iCs w:val="0"/>
                <w:color w:val="000000"/>
                <w:kern w:val="0"/>
                <w:sz w:val="28"/>
                <w:szCs w:val="28"/>
                <w:u w:val="none"/>
                <w:lang w:val="en-US" w:eastAsia="zh-CN" w:bidi="ar"/>
              </w:rPr>
              <w:t>优秀奖</w:t>
            </w:r>
          </w:p>
        </w:tc>
      </w:tr>
      <w:tr w14:paraId="7604B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exact"/>
        </w:trPr>
        <w:tc>
          <w:tcPr>
            <w:tcW w:w="1368" w:type="dxa"/>
            <w:noWrap w:val="0"/>
            <w:vAlign w:val="center"/>
          </w:tcPr>
          <w:p w14:paraId="01908C26">
            <w:pPr>
              <w:spacing w:beforeLines="0" w:afterLines="0" w:line="240" w:lineRule="auto"/>
              <w:ind w:left="0" w:leftChars="0" w:firstLine="0" w:firstLineChars="0"/>
              <w:jc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黑体" w:hAnsi="黑体" w:eastAsia="黑体" w:cs="黑体"/>
                <w:color w:val="000000"/>
                <w:sz w:val="24"/>
                <w:szCs w:val="24"/>
                <w:lang w:val="en-US" w:eastAsia="zh-CN"/>
              </w:rPr>
              <w:t>赛道</w:t>
            </w:r>
          </w:p>
        </w:tc>
        <w:tc>
          <w:tcPr>
            <w:tcW w:w="3359" w:type="dxa"/>
            <w:noWrap w:val="0"/>
            <w:vAlign w:val="center"/>
          </w:tcPr>
          <w:p w14:paraId="225A7618">
            <w:pPr>
              <w:spacing w:beforeLines="0" w:afterLines="0" w:line="240" w:lineRule="auto"/>
              <w:ind w:left="0" w:leftChars="0" w:firstLine="0" w:firstLineChars="0"/>
              <w:jc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黑体" w:hAnsi="黑体" w:eastAsia="黑体" w:cs="黑体"/>
                <w:color w:val="000000"/>
                <w:sz w:val="24"/>
                <w:szCs w:val="24"/>
                <w:lang w:val="en-US" w:eastAsia="zh-CN"/>
              </w:rPr>
              <w:t>参赛项目名称</w:t>
            </w:r>
          </w:p>
        </w:tc>
        <w:tc>
          <w:tcPr>
            <w:tcW w:w="3873" w:type="dxa"/>
            <w:noWrap w:val="0"/>
            <w:vAlign w:val="center"/>
          </w:tcPr>
          <w:p w14:paraId="0209478A">
            <w:pPr>
              <w:spacing w:beforeLines="0" w:afterLines="0" w:line="240" w:lineRule="auto"/>
              <w:ind w:left="0" w:leftChars="0" w:firstLine="0" w:firstLineChars="0"/>
              <w:jc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黑体" w:hAnsi="黑体" w:eastAsia="黑体" w:cs="黑体"/>
                <w:color w:val="000000"/>
                <w:sz w:val="24"/>
                <w:szCs w:val="24"/>
                <w:lang w:val="en-US" w:eastAsia="zh-CN"/>
              </w:rPr>
              <w:t>参赛单位</w:t>
            </w:r>
          </w:p>
        </w:tc>
      </w:tr>
      <w:tr w14:paraId="3A8E4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1" w:hRule="exact"/>
        </w:trPr>
        <w:tc>
          <w:tcPr>
            <w:tcW w:w="1368" w:type="dxa"/>
            <w:noWrap w:val="0"/>
            <w:vAlign w:val="center"/>
          </w:tcPr>
          <w:p w14:paraId="7B06D12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现代农业</w:t>
            </w:r>
          </w:p>
        </w:tc>
        <w:tc>
          <w:tcPr>
            <w:tcW w:w="3359" w:type="dxa"/>
            <w:noWrap w:val="0"/>
            <w:vAlign w:val="center"/>
          </w:tcPr>
          <w:p w14:paraId="5C3804B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橄榄产业智慧试验场景——农业可信数据空间建设项目</w:t>
            </w:r>
          </w:p>
        </w:tc>
        <w:tc>
          <w:tcPr>
            <w:tcW w:w="3873" w:type="dxa"/>
            <w:noWrap w:val="0"/>
            <w:vAlign w:val="center"/>
          </w:tcPr>
          <w:p w14:paraId="33547E1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福建省福州市梅溪现代农业发展有限公司、福建省农业科学院果树研究所、中国电信股份有限公司闽清分公司、潍坊果壳视界信息科技有限公司、山东凤岐创业服务有限公司</w:t>
            </w:r>
          </w:p>
        </w:tc>
      </w:tr>
    </w:tbl>
    <w:p w14:paraId="736FDC90"/>
    <w:p w14:paraId="4F568265">
      <w:pPr>
        <w:rPr>
          <w:rFonts w:hint="eastAsia" w:ascii="仿宋_GB2312" w:hAnsi="仿宋_GB2312" w:eastAsia="仿宋_GB2312"/>
          <w:sz w:val="32"/>
          <w:lang w:eastAsia="zh-CN"/>
        </w:rPr>
      </w:pPr>
    </w:p>
    <w:p w14:paraId="7A6B407E"/>
    <w:sectPr>
      <w:footerReference r:id="rId6" w:type="first"/>
      <w:footerReference r:id="rId4" w:type="default"/>
      <w:headerReference r:id="rId3" w:type="even"/>
      <w:footerReference r:id="rId5" w:type="even"/>
      <w:pgSz w:w="11906" w:h="16838"/>
      <w:pgMar w:top="1440" w:right="1587" w:bottom="1440" w:left="158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DejaVu Sans">
    <w:altName w:val="Segoe Print"/>
    <w:panose1 w:val="020B0603030804020204"/>
    <w:charset w:val="00"/>
    <w:family w:val="roman"/>
    <w:pitch w:val="default"/>
    <w:sig w:usb0="00000000" w:usb1="00000000" w:usb2="0A246029" w:usb3="0400200C" w:csb0="600001FF" w:csb1="DFFF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93334">
    <w:pPr>
      <w:pStyle w:val="2"/>
      <w:wordWrap w:val="0"/>
      <w:ind w:right="11"/>
      <w:rPr>
        <w:rFonts w:hint="eastAsia" w:ascii="楷体_GB2312" w:eastAsia="楷体_GB2312"/>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5846A">
    <w:pPr>
      <w:pStyle w:val="2"/>
      <w:ind w:firstLine="280" w:firstLineChars="100"/>
      <w:rPr>
        <w:rFonts w:hint="eastAsia" w:ascii="楷体_GB2312" w:eastAsia="楷体_GB2312"/>
        <w:sz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01013">
    <w:pPr>
      <w:pStyle w:val="2"/>
    </w:pPr>
    <w:r>
      <mc:AlternateContent>
        <mc:Choice Requires="wps">
          <w:drawing>
            <wp:anchor distT="0" distB="0" distL="114300" distR="114300" simplePos="0" relativeHeight="251659264" behindDoc="0" locked="0" layoutInCell="1" allowOverlap="1">
              <wp:simplePos x="0" y="0"/>
              <wp:positionH relativeFrom="column">
                <wp:posOffset>-36830</wp:posOffset>
              </wp:positionH>
              <wp:positionV relativeFrom="paragraph">
                <wp:posOffset>-165735</wp:posOffset>
              </wp:positionV>
              <wp:extent cx="5744845" cy="635"/>
              <wp:effectExtent l="0" t="28575" r="635" b="31750"/>
              <wp:wrapNone/>
              <wp:docPr id="1" name="直接连接符 1"/>
              <wp:cNvGraphicFramePr/>
              <a:graphic xmlns:a="http://schemas.openxmlformats.org/drawingml/2006/main">
                <a:graphicData uri="http://schemas.microsoft.com/office/word/2010/wordprocessingShape">
                  <wps:wsp>
                    <wps:cNvSpPr/>
                    <wps:spPr>
                      <a:xfrm flipV="1">
                        <a:off x="0" y="0"/>
                        <a:ext cx="5744845" cy="635"/>
                      </a:xfrm>
                      <a:prstGeom prst="line">
                        <a:avLst/>
                      </a:prstGeom>
                      <a:ln w="57150" cap="flat" cmpd="thinThick">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2.9pt;margin-top:-13.05pt;height:0.05pt;width:452.35pt;z-index:251659264;mso-width-relative:page;mso-height-relative:page;" filled="f" stroked="t" coordsize="21600,21600" o:gfxdata="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XRM4wdkAAAAKAQAADwAAAAAAAAABACAAAAAiAAAAZHJz&#10;L2Rvd25yZXYueG1sUEsBAhQAFAAAAAgAh07iQGWPLI4DAgAA9wMAAA4AAAAAAAAAAQAgAAAAKAEA&#10;AGRycy9lMm9Eb2MueG1sUEsFBgAAAAAGAAYAWQEAAJ0FAAAAAA==&#10;">
              <v:path arrowok="t"/>
              <v:fill on="f" focussize="0,0"/>
              <v:stroke weight="4.5pt" color="#FF0000" linestyle="thinThick"/>
              <v:imagedata o:title=""/>
              <o:lock v:ext="edit" aspectratio="f"/>
            </v:lin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FD9AA">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222282"/>
    <w:rsid w:val="352222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lang w:val="en-US" w:eastAsia="zh-CN"/>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overflowPunct w:val="0"/>
      <w:autoSpaceDE w:val="0"/>
      <w:autoSpaceDN w:val="0"/>
      <w:adjustRightInd w:val="0"/>
      <w:spacing w:line="240" w:lineRule="atLeast"/>
      <w:jc w:val="both"/>
      <w:textAlignment w:val="baseline"/>
    </w:pPr>
    <w:rPr>
      <w:sz w:val="20"/>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DejaVu Sans" w:hAnsi="DejaVu Sans"/>
      <w:sz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2026-08-27T01:31:00Z</dcterms:created>
  <dc:creator>rosé</dc:creator>
  <cp:lastModifiedBy>rosé</cp:lastModifiedBy>
  <dcterms:modified xsi:type="dcterms:W3CDTF">2026-08-27T01:32:18Z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F9C74CB1F5E84C2D970B31BCB6A9ACEC_11</vt:lpwstr>
  </property>
  <property fmtid="{D5CDD505-2E9C-101B-9397-08002B2CF9AE}" pid="4" name="KSOTemplateDocerSaveRecord">
    <vt:lpwstr>eyJoZGlkIjoiYmY5NTJkNTRkMDdkNWM2ODM1NDFhNTZjODA0ODUxZTYiLCJ1c2VySWQiOiIyNzQ1Nzg1MTMifQ==</vt:lpwstr>
  </property>
</Properties>
</file>