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8C9BD">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72"/>
          <w:szCs w:val="72"/>
          <w:highlight w:val="none"/>
        </w:rPr>
        <w:t>福建省政府采购</w:t>
      </w:r>
    </w:p>
    <w:p w14:paraId="545A6FBE">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72"/>
          <w:szCs w:val="72"/>
          <w:highlight w:val="none"/>
        </w:rPr>
        <w:t>货物和服务项目</w:t>
      </w:r>
    </w:p>
    <w:p w14:paraId="51F4A6D2">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72"/>
          <w:szCs w:val="72"/>
          <w:highlight w:val="none"/>
        </w:rPr>
        <w:t>公开招标文件</w:t>
      </w:r>
    </w:p>
    <w:p w14:paraId="44E5CC3C">
      <w:pPr>
        <w:pStyle w:val="14"/>
        <w:keepNext w:val="0"/>
        <w:keepLines w:val="0"/>
        <w:widowControl/>
        <w:suppressLineNumbers w:val="0"/>
        <w:spacing w:before="75" w:beforeAutospacing="0" w:after="75" w:afterAutospacing="0"/>
        <w:ind w:left="0" w:right="0" w:firstLine="0"/>
        <w:jc w:val="center"/>
        <w:rPr>
          <w:rStyle w:val="17"/>
          <w:rFonts w:hint="eastAsia" w:ascii="宋体" w:hAnsi="宋体" w:eastAsia="宋体" w:cs="宋体"/>
          <w:color w:val="auto"/>
          <w:sz w:val="36"/>
          <w:szCs w:val="36"/>
          <w:highlight w:val="none"/>
          <w:lang w:eastAsia="zh-CN"/>
        </w:rPr>
      </w:pPr>
    </w:p>
    <w:p w14:paraId="06ABAA86">
      <w:pPr>
        <w:pStyle w:val="14"/>
        <w:keepNext w:val="0"/>
        <w:keepLines w:val="0"/>
        <w:widowControl/>
        <w:suppressLineNumbers w:val="0"/>
        <w:spacing w:before="75" w:beforeAutospacing="0" w:after="75" w:afterAutospacing="0"/>
        <w:ind w:left="0" w:right="0" w:firstLine="0"/>
        <w:jc w:val="center"/>
        <w:rPr>
          <w:rStyle w:val="17"/>
          <w:rFonts w:hint="eastAsia" w:ascii="宋体" w:hAnsi="宋体" w:eastAsia="宋体" w:cs="宋体"/>
          <w:color w:val="auto"/>
          <w:sz w:val="36"/>
          <w:szCs w:val="36"/>
          <w:highlight w:val="none"/>
          <w:lang w:eastAsia="zh-CN"/>
        </w:rPr>
      </w:pPr>
      <w:r>
        <w:rPr>
          <w:rStyle w:val="17"/>
          <w:rFonts w:hint="eastAsia" w:ascii="宋体" w:hAnsi="宋体" w:eastAsia="宋体" w:cs="宋体"/>
          <w:color w:val="auto"/>
          <w:sz w:val="36"/>
          <w:szCs w:val="36"/>
          <w:highlight w:val="none"/>
          <w:lang w:eastAsia="zh-CN"/>
        </w:rPr>
        <w:t>（</w:t>
      </w:r>
      <w:r>
        <w:rPr>
          <w:rStyle w:val="17"/>
          <w:rFonts w:hint="eastAsia" w:ascii="宋体" w:hAnsi="宋体" w:eastAsia="宋体" w:cs="宋体"/>
          <w:color w:val="auto"/>
          <w:sz w:val="36"/>
          <w:szCs w:val="36"/>
          <w:highlight w:val="none"/>
          <w:lang w:val="en-US" w:eastAsia="zh-CN"/>
        </w:rPr>
        <w:t>预公告版</w:t>
      </w:r>
      <w:r>
        <w:rPr>
          <w:rStyle w:val="17"/>
          <w:rFonts w:hint="eastAsia" w:ascii="宋体" w:hAnsi="宋体" w:eastAsia="宋体" w:cs="宋体"/>
          <w:color w:val="auto"/>
          <w:sz w:val="36"/>
          <w:szCs w:val="36"/>
          <w:highlight w:val="none"/>
          <w:lang w:eastAsia="zh-CN"/>
        </w:rPr>
        <w:t>）</w:t>
      </w:r>
    </w:p>
    <w:p w14:paraId="0AADAC24">
      <w:pPr>
        <w:pStyle w:val="14"/>
        <w:keepNext w:val="0"/>
        <w:keepLines w:val="0"/>
        <w:widowControl/>
        <w:suppressLineNumbers w:val="0"/>
        <w:spacing w:before="75" w:beforeAutospacing="0" w:after="75" w:afterAutospacing="0"/>
        <w:ind w:left="0" w:right="0" w:firstLine="0"/>
        <w:rPr>
          <w:rStyle w:val="17"/>
          <w:rFonts w:hint="eastAsia" w:ascii="宋体" w:hAnsi="宋体" w:eastAsia="宋体" w:cs="宋体"/>
          <w:color w:val="auto"/>
          <w:sz w:val="36"/>
          <w:szCs w:val="36"/>
          <w:highlight w:val="none"/>
          <w:lang w:eastAsia="zh-CN"/>
        </w:rPr>
      </w:pPr>
    </w:p>
    <w:p w14:paraId="048839A5">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1050"/>
        <w:jc w:val="center"/>
        <w:textAlignment w:val="auto"/>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30"/>
          <w:szCs w:val="30"/>
          <w:highlight w:val="none"/>
        </w:rPr>
        <w:t>项目名称：</w:t>
      </w:r>
      <w:r>
        <w:rPr>
          <w:rFonts w:hint="eastAsia" w:ascii="宋体" w:hAnsi="宋体" w:eastAsia="宋体" w:cs="宋体"/>
          <w:i w:val="0"/>
          <w:iCs w:val="0"/>
          <w:caps w:val="0"/>
          <w:color w:val="auto"/>
          <w:spacing w:val="0"/>
          <w:sz w:val="30"/>
          <w:szCs w:val="30"/>
          <w:highlight w:val="none"/>
        </w:rPr>
        <w:t>福州市城市综合管理服务平台项目建设</w:t>
      </w:r>
    </w:p>
    <w:p w14:paraId="1812284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宋体" w:hAnsi="宋体" w:eastAsia="宋体" w:cs="宋体"/>
          <w:i w:val="0"/>
          <w:iCs w:val="0"/>
          <w:caps w:val="0"/>
          <w:color w:val="auto"/>
          <w:spacing w:val="0"/>
          <w:sz w:val="27"/>
          <w:szCs w:val="27"/>
          <w:highlight w:val="none"/>
        </w:rPr>
      </w:pPr>
    </w:p>
    <w:p w14:paraId="67CD533E">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1050"/>
        <w:jc w:val="center"/>
        <w:textAlignment w:val="auto"/>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30"/>
          <w:szCs w:val="30"/>
          <w:highlight w:val="none"/>
        </w:rPr>
        <w:t>备案编号：</w:t>
      </w:r>
      <w:r>
        <w:rPr>
          <w:rFonts w:hint="eastAsia" w:ascii="宋体" w:hAnsi="宋体" w:eastAsia="宋体" w:cs="宋体"/>
          <w:i w:val="0"/>
          <w:iCs w:val="0"/>
          <w:caps w:val="0"/>
          <w:color w:val="auto"/>
          <w:spacing w:val="0"/>
          <w:sz w:val="30"/>
          <w:szCs w:val="30"/>
          <w:highlight w:val="none"/>
        </w:rPr>
        <w:t>A-126-GK-202203-B1022-ZBZX</w:t>
      </w:r>
    </w:p>
    <w:p w14:paraId="2AAF900C">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宋体" w:hAnsi="宋体" w:eastAsia="宋体" w:cs="宋体"/>
          <w:i w:val="0"/>
          <w:iCs w:val="0"/>
          <w:caps w:val="0"/>
          <w:color w:val="auto"/>
          <w:spacing w:val="0"/>
          <w:sz w:val="27"/>
          <w:szCs w:val="27"/>
          <w:highlight w:val="none"/>
        </w:rPr>
      </w:pPr>
    </w:p>
    <w:p w14:paraId="247E355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1050"/>
        <w:jc w:val="center"/>
        <w:textAlignment w:val="auto"/>
        <w:rPr>
          <w:rStyle w:val="17"/>
          <w:rFonts w:hint="eastAsia" w:ascii="宋体" w:hAnsi="宋体" w:eastAsia="宋体" w:cs="宋体"/>
          <w:i w:val="0"/>
          <w:iCs w:val="0"/>
          <w:caps w:val="0"/>
          <w:color w:val="auto"/>
          <w:spacing w:val="0"/>
          <w:sz w:val="30"/>
          <w:szCs w:val="30"/>
          <w:highlight w:val="none"/>
          <w:lang w:eastAsia="zh-CN"/>
        </w:rPr>
      </w:pPr>
      <w:r>
        <w:rPr>
          <w:rStyle w:val="17"/>
          <w:rFonts w:hint="eastAsia" w:ascii="宋体" w:hAnsi="宋体" w:eastAsia="宋体" w:cs="宋体"/>
          <w:i w:val="0"/>
          <w:iCs w:val="0"/>
          <w:caps w:val="0"/>
          <w:color w:val="auto"/>
          <w:spacing w:val="0"/>
          <w:sz w:val="30"/>
          <w:szCs w:val="30"/>
          <w:highlight w:val="none"/>
        </w:rPr>
        <w:t>项目编号：</w:t>
      </w:r>
      <w:r>
        <w:rPr>
          <w:rFonts w:hint="eastAsia" w:ascii="宋体" w:hAnsi="宋体" w:eastAsia="宋体" w:cs="宋体"/>
          <w:i w:val="0"/>
          <w:iCs w:val="0"/>
          <w:caps w:val="0"/>
          <w:color w:val="auto"/>
          <w:spacing w:val="0"/>
          <w:sz w:val="30"/>
          <w:szCs w:val="30"/>
          <w:highlight w:val="none"/>
          <w:lang w:eastAsia="zh-CN"/>
        </w:rPr>
        <w:t>[350100]ZBZX[GK]2022002-1</w:t>
      </w:r>
    </w:p>
    <w:p w14:paraId="31AC02BB">
      <w:pPr>
        <w:pStyle w:val="14"/>
        <w:keepNext w:val="0"/>
        <w:keepLines w:val="0"/>
        <w:widowControl/>
        <w:suppressLineNumbers w:val="0"/>
        <w:spacing w:before="75" w:beforeAutospacing="0" w:after="75" w:afterAutospacing="0"/>
        <w:ind w:left="0" w:right="0" w:firstLine="1050"/>
        <w:rPr>
          <w:rStyle w:val="17"/>
          <w:rFonts w:hint="eastAsia" w:ascii="宋体" w:hAnsi="宋体" w:eastAsia="宋体" w:cs="宋体"/>
          <w:i w:val="0"/>
          <w:iCs w:val="0"/>
          <w:caps w:val="0"/>
          <w:color w:val="auto"/>
          <w:spacing w:val="0"/>
          <w:sz w:val="30"/>
          <w:szCs w:val="30"/>
          <w:highlight w:val="none"/>
        </w:rPr>
      </w:pPr>
    </w:p>
    <w:p w14:paraId="332C5736">
      <w:pPr>
        <w:pStyle w:val="14"/>
        <w:keepNext w:val="0"/>
        <w:keepLines w:val="0"/>
        <w:widowControl/>
        <w:suppressLineNumbers w:val="0"/>
        <w:spacing w:before="75" w:beforeAutospacing="0" w:after="75" w:afterAutospacing="0"/>
        <w:ind w:left="0" w:right="0" w:firstLine="1050"/>
        <w:rPr>
          <w:rStyle w:val="17"/>
          <w:rFonts w:hint="eastAsia" w:ascii="宋体" w:hAnsi="宋体" w:eastAsia="宋体" w:cs="宋体"/>
          <w:i w:val="0"/>
          <w:iCs w:val="0"/>
          <w:caps w:val="0"/>
          <w:color w:val="auto"/>
          <w:spacing w:val="0"/>
          <w:sz w:val="30"/>
          <w:szCs w:val="30"/>
          <w:highlight w:val="none"/>
        </w:rPr>
      </w:pPr>
    </w:p>
    <w:p w14:paraId="1660FD6B">
      <w:pPr>
        <w:pStyle w:val="14"/>
        <w:keepNext w:val="0"/>
        <w:keepLines w:val="0"/>
        <w:widowControl/>
        <w:suppressLineNumbers w:val="0"/>
        <w:spacing w:before="75" w:beforeAutospacing="0" w:after="75" w:afterAutospacing="0"/>
        <w:ind w:left="0" w:right="0" w:firstLine="1050"/>
        <w:rPr>
          <w:rStyle w:val="17"/>
          <w:rFonts w:hint="eastAsia" w:ascii="宋体" w:hAnsi="宋体" w:eastAsia="宋体" w:cs="宋体"/>
          <w:i w:val="0"/>
          <w:iCs w:val="0"/>
          <w:caps w:val="0"/>
          <w:color w:val="auto"/>
          <w:spacing w:val="0"/>
          <w:sz w:val="30"/>
          <w:szCs w:val="30"/>
          <w:highlight w:val="none"/>
        </w:rPr>
      </w:pPr>
    </w:p>
    <w:p w14:paraId="3A48A95A">
      <w:pPr>
        <w:pStyle w:val="14"/>
        <w:keepNext w:val="0"/>
        <w:keepLines w:val="0"/>
        <w:widowControl/>
        <w:suppressLineNumbers w:val="0"/>
        <w:spacing w:before="75" w:beforeAutospacing="0" w:after="75" w:afterAutospacing="0"/>
        <w:ind w:left="0" w:right="0" w:firstLine="1050"/>
        <w:rPr>
          <w:rStyle w:val="17"/>
          <w:rFonts w:hint="eastAsia" w:ascii="宋体" w:hAnsi="宋体" w:eastAsia="宋体" w:cs="宋体"/>
          <w:i w:val="0"/>
          <w:iCs w:val="0"/>
          <w:caps w:val="0"/>
          <w:color w:val="auto"/>
          <w:spacing w:val="0"/>
          <w:sz w:val="30"/>
          <w:szCs w:val="30"/>
          <w:highlight w:val="none"/>
        </w:rPr>
      </w:pPr>
    </w:p>
    <w:p w14:paraId="5A588C2B">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27"/>
          <w:szCs w:val="27"/>
          <w:highlight w:val="none"/>
          <w:lang w:val="en-US" w:eastAsia="zh-CN"/>
        </w:rPr>
        <w:t xml:space="preserve">   </w:t>
      </w:r>
      <w:r>
        <w:rPr>
          <w:rStyle w:val="17"/>
          <w:rFonts w:hint="eastAsia" w:ascii="宋体" w:hAnsi="宋体" w:eastAsia="宋体" w:cs="宋体"/>
          <w:i w:val="0"/>
          <w:iCs w:val="0"/>
          <w:caps w:val="0"/>
          <w:color w:val="auto"/>
          <w:spacing w:val="0"/>
          <w:sz w:val="27"/>
          <w:szCs w:val="27"/>
          <w:highlight w:val="none"/>
        </w:rPr>
        <w:t>采购人：</w:t>
      </w:r>
      <w:r>
        <w:rPr>
          <w:rFonts w:hint="eastAsia" w:ascii="宋体" w:hAnsi="宋体" w:eastAsia="宋体" w:cs="宋体"/>
          <w:i w:val="0"/>
          <w:iCs w:val="0"/>
          <w:caps w:val="0"/>
          <w:color w:val="auto"/>
          <w:spacing w:val="0"/>
          <w:sz w:val="27"/>
          <w:szCs w:val="27"/>
          <w:highlight w:val="none"/>
        </w:rPr>
        <w:t> </w:t>
      </w:r>
      <w:r>
        <w:rPr>
          <w:rFonts w:hint="eastAsia" w:ascii="宋体" w:hAnsi="宋体" w:eastAsia="宋体" w:cs="宋体"/>
          <w:i w:val="0"/>
          <w:iCs w:val="0"/>
          <w:caps w:val="0"/>
          <w:color w:val="auto"/>
          <w:spacing w:val="0"/>
          <w:sz w:val="28"/>
          <w:szCs w:val="28"/>
          <w:highlight w:val="none"/>
        </w:rPr>
        <w:t>福州市“智慧福州”管理服务中心</w:t>
      </w:r>
    </w:p>
    <w:p w14:paraId="7A1D08D4">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28"/>
          <w:szCs w:val="28"/>
          <w:highlight w:val="none"/>
        </w:rPr>
        <w:t>代理机构：</w:t>
      </w:r>
      <w:r>
        <w:rPr>
          <w:rFonts w:hint="eastAsia" w:ascii="宋体" w:hAnsi="宋体" w:eastAsia="宋体" w:cs="宋体"/>
          <w:i w:val="0"/>
          <w:iCs w:val="0"/>
          <w:caps w:val="0"/>
          <w:color w:val="auto"/>
          <w:spacing w:val="0"/>
          <w:sz w:val="28"/>
          <w:szCs w:val="28"/>
          <w:highlight w:val="none"/>
        </w:rPr>
        <w:t>福建省招标中心有限责任公司</w:t>
      </w:r>
    </w:p>
    <w:p w14:paraId="70DD1D18">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i w:val="0"/>
          <w:iCs w:val="0"/>
          <w:caps w:val="0"/>
          <w:color w:val="auto"/>
          <w:spacing w:val="0"/>
          <w:sz w:val="27"/>
          <w:szCs w:val="27"/>
          <w:highlight w:val="none"/>
        </w:rPr>
      </w:pPr>
      <w:r>
        <w:rPr>
          <w:rFonts w:hint="eastAsia" w:ascii="宋体" w:hAnsi="宋体" w:eastAsia="宋体" w:cs="宋体"/>
          <w:i w:val="0"/>
          <w:iCs w:val="0"/>
          <w:caps w:val="0"/>
          <w:color w:val="auto"/>
          <w:spacing w:val="0"/>
          <w:sz w:val="27"/>
          <w:szCs w:val="27"/>
          <w:highlight w:val="none"/>
        </w:rPr>
        <w:t> </w:t>
      </w:r>
    </w:p>
    <w:p w14:paraId="7C3E686D">
      <w:pPr>
        <w:pStyle w:val="14"/>
        <w:keepNext w:val="0"/>
        <w:keepLines w:val="0"/>
        <w:widowControl/>
        <w:suppressLineNumbers w:val="0"/>
        <w:spacing w:before="75" w:beforeAutospacing="0" w:after="75" w:afterAutospacing="0" w:line="360" w:lineRule="atLeast"/>
        <w:ind w:left="0" w:right="720" w:firstLine="0"/>
        <w:jc w:val="center"/>
        <w:rPr>
          <w:rFonts w:hint="eastAsia" w:ascii="宋体" w:hAnsi="宋体" w:eastAsia="宋体" w:cs="宋体"/>
          <w:i w:val="0"/>
          <w:iCs w:val="0"/>
          <w:caps w:val="0"/>
          <w:color w:val="auto"/>
          <w:spacing w:val="0"/>
          <w:sz w:val="27"/>
          <w:szCs w:val="27"/>
          <w:highlight w:val="none"/>
        </w:rPr>
      </w:pPr>
      <w:r>
        <w:rPr>
          <w:rStyle w:val="17"/>
          <w:rFonts w:hint="eastAsia" w:ascii="宋体" w:hAnsi="宋体" w:eastAsia="宋体" w:cs="宋体"/>
          <w:i w:val="0"/>
          <w:iCs w:val="0"/>
          <w:caps w:val="0"/>
          <w:color w:val="auto"/>
          <w:spacing w:val="0"/>
          <w:sz w:val="28"/>
          <w:szCs w:val="28"/>
          <w:highlight w:val="none"/>
        </w:rPr>
        <w:t>2022年0</w:t>
      </w:r>
      <w:r>
        <w:rPr>
          <w:rStyle w:val="17"/>
          <w:rFonts w:hint="eastAsia" w:ascii="宋体" w:hAnsi="宋体" w:eastAsia="宋体" w:cs="宋体"/>
          <w:i w:val="0"/>
          <w:iCs w:val="0"/>
          <w:caps w:val="0"/>
          <w:color w:val="auto"/>
          <w:spacing w:val="0"/>
          <w:sz w:val="28"/>
          <w:szCs w:val="28"/>
          <w:highlight w:val="none"/>
          <w:lang w:val="en-US" w:eastAsia="zh-CN"/>
        </w:rPr>
        <w:t>7</w:t>
      </w:r>
      <w:r>
        <w:rPr>
          <w:rStyle w:val="17"/>
          <w:rFonts w:hint="eastAsia" w:ascii="宋体" w:hAnsi="宋体" w:eastAsia="宋体" w:cs="宋体"/>
          <w:i w:val="0"/>
          <w:iCs w:val="0"/>
          <w:caps w:val="0"/>
          <w:color w:val="auto"/>
          <w:spacing w:val="0"/>
          <w:sz w:val="28"/>
          <w:szCs w:val="28"/>
          <w:highlight w:val="none"/>
        </w:rPr>
        <w:t>月</w:t>
      </w:r>
      <w:r>
        <w:rPr>
          <w:rFonts w:hint="eastAsia" w:ascii="宋体" w:hAnsi="宋体" w:eastAsia="宋体" w:cs="宋体"/>
          <w:i w:val="0"/>
          <w:iCs w:val="0"/>
          <w:caps w:val="0"/>
          <w:color w:val="auto"/>
          <w:spacing w:val="0"/>
          <w:sz w:val="24"/>
          <w:szCs w:val="24"/>
          <w:highlight w:val="none"/>
        </w:rPr>
        <w:t> </w:t>
      </w:r>
    </w:p>
    <w:p w14:paraId="6746674D">
      <w:pPr>
        <w:pStyle w:val="14"/>
        <w:keepNext w:val="0"/>
        <w:keepLines w:val="0"/>
        <w:widowControl/>
        <w:suppressLineNumbers w:val="0"/>
        <w:spacing w:before="75" w:beforeAutospacing="0" w:after="75" w:afterAutospacing="0" w:line="360" w:lineRule="atLeast"/>
        <w:ind w:left="0" w:right="720" w:firstLine="0"/>
        <w:jc w:val="center"/>
        <w:rPr>
          <w:rFonts w:hint="eastAsia" w:ascii="宋体" w:hAnsi="宋体" w:eastAsia="宋体" w:cs="宋体"/>
          <w:i w:val="0"/>
          <w:iCs w:val="0"/>
          <w:caps w:val="0"/>
          <w:color w:val="auto"/>
          <w:spacing w:val="0"/>
          <w:sz w:val="36"/>
          <w:szCs w:val="36"/>
          <w:highlight w:val="none"/>
          <w:lang w:val="en-US" w:eastAsia="zh-CN"/>
        </w:rPr>
        <w:sectPr>
          <w:pgSz w:w="11906" w:h="16838"/>
          <w:pgMar w:top="1440" w:right="1800" w:bottom="1440" w:left="1800" w:header="851" w:footer="992" w:gutter="0"/>
          <w:cols w:space="425" w:num="1"/>
          <w:docGrid w:type="lines" w:linePitch="312" w:charSpace="0"/>
        </w:sectPr>
      </w:pPr>
    </w:p>
    <w:p w14:paraId="1052F8AC">
      <w:pPr>
        <w:pStyle w:val="14"/>
        <w:keepNext w:val="0"/>
        <w:keepLines w:val="0"/>
        <w:widowControl/>
        <w:suppressLineNumbers w:val="0"/>
        <w:spacing w:before="75" w:beforeAutospacing="0" w:after="75" w:afterAutospacing="0" w:line="360" w:lineRule="atLeast"/>
        <w:ind w:left="0" w:right="720" w:firstLine="0"/>
        <w:jc w:val="center"/>
        <w:rPr>
          <w:rFonts w:hint="eastAsia" w:ascii="宋体" w:hAnsi="宋体" w:eastAsia="宋体" w:cs="宋体"/>
          <w:i w:val="0"/>
          <w:iCs w:val="0"/>
          <w:caps w:val="0"/>
          <w:color w:val="auto"/>
          <w:spacing w:val="0"/>
          <w:sz w:val="36"/>
          <w:szCs w:val="36"/>
          <w:highlight w:val="none"/>
          <w:lang w:val="en-US" w:eastAsia="zh-CN"/>
        </w:rPr>
      </w:pPr>
      <w:r>
        <w:rPr>
          <w:rFonts w:hint="eastAsia" w:ascii="宋体" w:hAnsi="宋体" w:eastAsia="宋体" w:cs="宋体"/>
          <w:i w:val="0"/>
          <w:iCs w:val="0"/>
          <w:caps w:val="0"/>
          <w:color w:val="auto"/>
          <w:spacing w:val="0"/>
          <w:sz w:val="36"/>
          <w:szCs w:val="36"/>
          <w:highlight w:val="none"/>
          <w:lang w:val="en-US" w:eastAsia="zh-CN"/>
        </w:rPr>
        <w:t>目录</w:t>
      </w:r>
    </w:p>
    <w:p w14:paraId="72A2FDD3">
      <w:pPr>
        <w:pStyle w:val="12"/>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TOC \o "1-2" \h \u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_Toc12624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第一章   投标邀请</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_Toc12624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04C4B941">
      <w:pPr>
        <w:pStyle w:val="12"/>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_Toc6788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第二章   投标人须知前附表（表1、2）</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_Toc6788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310C6EF3">
      <w:pPr>
        <w:pStyle w:val="13"/>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_Toc7754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z w:val="28"/>
          <w:szCs w:val="28"/>
          <w:highlight w:val="none"/>
        </w:rPr>
        <w:t>一、投标人须知前附表1</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_Toc7754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0201310A">
      <w:pPr>
        <w:pStyle w:val="13"/>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_Toc5699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z w:val="28"/>
          <w:szCs w:val="28"/>
          <w:highlight w:val="none"/>
        </w:rPr>
        <w:t>二、投标人须知前附表2</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_Toc5699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1E01D61D">
      <w:pPr>
        <w:pStyle w:val="12"/>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_Toc8231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第三章   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_Toc8231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51E59DEE">
      <w:pPr>
        <w:pStyle w:val="12"/>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_Toc31231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第四章   资格审查与评标</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_Toc31231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3BAB1F2D">
      <w:pPr>
        <w:pStyle w:val="12"/>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_Toc24345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第五章   招标内容及要求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_Toc24345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34</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73E2B6B4">
      <w:pPr>
        <w:pStyle w:val="13"/>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_Toc3157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一、项目概况（采购标的）</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_Toc3157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34</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198046E9">
      <w:pPr>
        <w:pStyle w:val="13"/>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_Toc4536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二、技术和服务要求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_Toc4536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36</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77C37E7F">
      <w:pPr>
        <w:pStyle w:val="12"/>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_Toc12863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第六章   政府采购合同（参考文本）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_Toc12863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172</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4760C0AF">
      <w:pPr>
        <w:pStyle w:val="12"/>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_Toc30408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pacing w:val="0"/>
          <w:sz w:val="28"/>
          <w:szCs w:val="28"/>
          <w:highlight w:val="none"/>
        </w:rPr>
        <w:t>第七章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_Toc30408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175</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2803D9C8">
      <w:pPr>
        <w:pStyle w:val="13"/>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_Toc20032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z w:val="28"/>
          <w:szCs w:val="28"/>
          <w:highlight w:val="none"/>
        </w:rPr>
        <w:t>（资格及资信证明部分）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_Toc20032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176</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60F3D3D8">
      <w:pPr>
        <w:pStyle w:val="13"/>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_Toc21072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z w:val="28"/>
          <w:szCs w:val="28"/>
          <w:highlight w:val="none"/>
        </w:rPr>
        <w:t>（报价部分）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_Toc21072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200</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6EC90986">
      <w:pPr>
        <w:pStyle w:val="13"/>
        <w:tabs>
          <w:tab w:val="right" w:leader="dot" w:pos="8306"/>
        </w:tabs>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8"/>
          <w:szCs w:val="28"/>
          <w:highlight w:val="none"/>
          <w:lang w:val="en-US" w:eastAsia="zh-CN"/>
        </w:rPr>
        <w:fldChar w:fldCharType="begin"/>
      </w:r>
      <w:r>
        <w:rPr>
          <w:rFonts w:hint="eastAsia" w:ascii="宋体" w:hAnsi="宋体" w:eastAsia="宋体" w:cs="宋体"/>
          <w:i w:val="0"/>
          <w:iCs w:val="0"/>
          <w:caps w:val="0"/>
          <w:color w:val="auto"/>
          <w:spacing w:val="0"/>
          <w:sz w:val="28"/>
          <w:szCs w:val="28"/>
          <w:highlight w:val="none"/>
          <w:lang w:val="en-US" w:eastAsia="zh-CN"/>
        </w:rPr>
        <w:instrText xml:space="preserve"> HYPERLINK \l _Toc31143 </w:instrText>
      </w:r>
      <w:r>
        <w:rPr>
          <w:rFonts w:hint="eastAsia" w:ascii="宋体" w:hAnsi="宋体" w:eastAsia="宋体" w:cs="宋体"/>
          <w:i w:val="0"/>
          <w:iCs w:val="0"/>
          <w:caps w:val="0"/>
          <w:color w:val="auto"/>
          <w:spacing w:val="0"/>
          <w:sz w:val="28"/>
          <w:szCs w:val="28"/>
          <w:highlight w:val="none"/>
          <w:lang w:val="en-US" w:eastAsia="zh-CN"/>
        </w:rPr>
        <w:fldChar w:fldCharType="separate"/>
      </w:r>
      <w:r>
        <w:rPr>
          <w:rFonts w:hint="eastAsia" w:ascii="宋体" w:hAnsi="宋体" w:eastAsia="宋体" w:cs="宋体"/>
          <w:color w:val="auto"/>
          <w:sz w:val="28"/>
          <w:szCs w:val="28"/>
          <w:highlight w:val="none"/>
        </w:rPr>
        <w:t>（技术商务部分）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_Toc31143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214</w:t>
      </w:r>
      <w:r>
        <w:rPr>
          <w:rFonts w:hint="eastAsia" w:ascii="宋体" w:hAnsi="宋体" w:eastAsia="宋体" w:cs="宋体"/>
          <w:color w:val="auto"/>
          <w:sz w:val="28"/>
          <w:szCs w:val="28"/>
          <w:highlight w:val="none"/>
        </w:rPr>
        <w:fldChar w:fldCharType="end"/>
      </w:r>
      <w:r>
        <w:rPr>
          <w:rFonts w:hint="eastAsia" w:ascii="宋体" w:hAnsi="宋体" w:eastAsia="宋体" w:cs="宋体"/>
          <w:i w:val="0"/>
          <w:iCs w:val="0"/>
          <w:caps w:val="0"/>
          <w:color w:val="auto"/>
          <w:spacing w:val="0"/>
          <w:sz w:val="28"/>
          <w:szCs w:val="28"/>
          <w:highlight w:val="none"/>
          <w:lang w:val="en-US" w:eastAsia="zh-CN"/>
        </w:rPr>
        <w:fldChar w:fldCharType="end"/>
      </w:r>
    </w:p>
    <w:p w14:paraId="3FA4F553">
      <w:pPr>
        <w:pStyle w:val="14"/>
        <w:keepNext w:val="0"/>
        <w:keepLines w:val="0"/>
        <w:widowControl/>
        <w:suppressLineNumbers w:val="0"/>
        <w:spacing w:before="75" w:beforeAutospacing="0" w:after="75" w:afterAutospacing="0" w:line="360" w:lineRule="atLeast"/>
        <w:ind w:left="0" w:right="720" w:firstLine="0"/>
        <w:jc w:val="center"/>
        <w:rPr>
          <w:rFonts w:hint="eastAsia" w:ascii="宋体" w:hAnsi="宋体" w:eastAsia="宋体" w:cs="宋体"/>
          <w:i w:val="0"/>
          <w:iCs w:val="0"/>
          <w:caps w:val="0"/>
          <w:color w:val="auto"/>
          <w:spacing w:val="0"/>
          <w:sz w:val="27"/>
          <w:szCs w:val="27"/>
          <w:highlight w:val="none"/>
          <w:lang w:val="en-US" w:eastAsia="zh-CN"/>
        </w:rPr>
      </w:pPr>
      <w:r>
        <w:rPr>
          <w:rFonts w:hint="eastAsia" w:ascii="宋体" w:hAnsi="宋体" w:eastAsia="宋体" w:cs="宋体"/>
          <w:i w:val="0"/>
          <w:iCs w:val="0"/>
          <w:caps w:val="0"/>
          <w:color w:val="auto"/>
          <w:spacing w:val="0"/>
          <w:sz w:val="28"/>
          <w:szCs w:val="28"/>
          <w:highlight w:val="none"/>
          <w:lang w:val="en-US" w:eastAsia="zh-CN"/>
        </w:rPr>
        <w:fldChar w:fldCharType="end"/>
      </w:r>
    </w:p>
    <w:p w14:paraId="2D29ADBA">
      <w:pPr>
        <w:rPr>
          <w:rFonts w:hint="eastAsia" w:ascii="宋体" w:hAnsi="宋体" w:eastAsia="宋体" w:cs="宋体"/>
          <w:i w:val="0"/>
          <w:iCs w:val="0"/>
          <w:caps w:val="0"/>
          <w:color w:val="auto"/>
          <w:spacing w:val="0"/>
          <w:sz w:val="27"/>
          <w:szCs w:val="27"/>
          <w:highlight w:val="none"/>
          <w:lang w:val="en-US" w:eastAsia="zh-CN"/>
        </w:rPr>
      </w:pPr>
      <w:r>
        <w:rPr>
          <w:rFonts w:hint="eastAsia" w:ascii="宋体" w:hAnsi="宋体" w:eastAsia="宋体" w:cs="宋体"/>
          <w:i w:val="0"/>
          <w:iCs w:val="0"/>
          <w:caps w:val="0"/>
          <w:color w:val="auto"/>
          <w:spacing w:val="0"/>
          <w:sz w:val="27"/>
          <w:szCs w:val="27"/>
          <w:highlight w:val="none"/>
          <w:lang w:val="en-US" w:eastAsia="zh-CN"/>
        </w:rPr>
        <w:br w:type="page"/>
      </w:r>
    </w:p>
    <w:p w14:paraId="6FAF1802">
      <w:pPr>
        <w:pStyle w:val="14"/>
        <w:keepNext w:val="0"/>
        <w:keepLines w:val="0"/>
        <w:widowControl/>
        <w:suppressLineNumbers w:val="0"/>
        <w:spacing w:before="75" w:beforeAutospacing="0" w:after="75" w:afterAutospacing="0"/>
        <w:ind w:left="0" w:right="0" w:firstLine="0"/>
        <w:jc w:val="center"/>
        <w:outlineLvl w:val="0"/>
        <w:rPr>
          <w:rFonts w:hint="eastAsia" w:ascii="宋体" w:hAnsi="宋体" w:eastAsia="宋体" w:cs="宋体"/>
          <w:color w:val="auto"/>
          <w:highlight w:val="none"/>
        </w:rPr>
      </w:pPr>
      <w:bookmarkStart w:id="0" w:name="_Toc12624"/>
      <w:r>
        <w:rPr>
          <w:rStyle w:val="17"/>
          <w:rFonts w:hint="eastAsia" w:ascii="宋体" w:hAnsi="宋体" w:eastAsia="宋体" w:cs="宋体"/>
          <w:color w:val="auto"/>
          <w:spacing w:val="0"/>
          <w:sz w:val="31"/>
          <w:szCs w:val="31"/>
          <w:highlight w:val="none"/>
        </w:rPr>
        <w:t>第一章   投标邀请</w:t>
      </w:r>
      <w:bookmarkEnd w:id="0"/>
    </w:p>
    <w:p w14:paraId="584BCEE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57FD892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采用</w:t>
      </w:r>
      <w:r>
        <w:rPr>
          <w:rFonts w:hint="eastAsia" w:ascii="宋体" w:hAnsi="宋体" w:eastAsia="宋体" w:cs="宋体"/>
          <w:color w:val="auto"/>
          <w:spacing w:val="0"/>
          <w:sz w:val="24"/>
          <w:szCs w:val="24"/>
          <w:highlight w:val="none"/>
          <w:u w:val="single"/>
        </w:rPr>
        <w:t>公开招标方式</w:t>
      </w:r>
      <w:r>
        <w:rPr>
          <w:rFonts w:hint="eastAsia" w:ascii="宋体" w:hAnsi="宋体" w:eastAsia="宋体" w:cs="宋体"/>
          <w:color w:val="auto"/>
          <w:spacing w:val="0"/>
          <w:sz w:val="24"/>
          <w:szCs w:val="24"/>
          <w:highlight w:val="none"/>
        </w:rPr>
        <w:t>组织</w:t>
      </w:r>
      <w:r>
        <w:rPr>
          <w:rFonts w:hint="eastAsia" w:ascii="宋体" w:hAnsi="宋体" w:eastAsia="宋体" w:cs="宋体"/>
          <w:color w:val="auto"/>
          <w:spacing w:val="0"/>
          <w:sz w:val="24"/>
          <w:szCs w:val="24"/>
          <w:highlight w:val="none"/>
          <w:u w:val="none"/>
        </w:rPr>
        <w:t>福州市城市综合管理服务平台项目建设</w:t>
      </w:r>
      <w:r>
        <w:rPr>
          <w:rFonts w:hint="eastAsia" w:ascii="宋体" w:hAnsi="宋体" w:eastAsia="宋体" w:cs="宋体"/>
          <w:color w:val="auto"/>
          <w:spacing w:val="0"/>
          <w:sz w:val="24"/>
          <w:szCs w:val="24"/>
          <w:highlight w:val="none"/>
        </w:rPr>
        <w:t>（以下简称：“本项目”）的政府采购活动，现邀请供应商参加投标。</w:t>
      </w:r>
    </w:p>
    <w:p w14:paraId="1A1B6AC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1、备案编号：</w:t>
      </w:r>
      <w:r>
        <w:rPr>
          <w:rFonts w:hint="eastAsia" w:ascii="宋体" w:hAnsi="宋体" w:eastAsia="宋体" w:cs="宋体"/>
          <w:color w:val="auto"/>
          <w:spacing w:val="0"/>
          <w:sz w:val="24"/>
          <w:szCs w:val="24"/>
          <w:highlight w:val="none"/>
          <w:u w:val="single"/>
        </w:rPr>
        <w:t>A-126-GK-202203-B1022-ZBZX</w:t>
      </w:r>
      <w:r>
        <w:rPr>
          <w:rFonts w:hint="eastAsia" w:ascii="宋体" w:hAnsi="宋体" w:eastAsia="宋体" w:cs="宋体"/>
          <w:color w:val="auto"/>
          <w:spacing w:val="0"/>
          <w:sz w:val="24"/>
          <w:szCs w:val="24"/>
          <w:highlight w:val="none"/>
        </w:rPr>
        <w:t>。</w:t>
      </w:r>
    </w:p>
    <w:p w14:paraId="268DCA2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2、项目编号：</w:t>
      </w:r>
      <w:r>
        <w:rPr>
          <w:rFonts w:hint="eastAsia" w:ascii="宋体" w:hAnsi="宋体" w:eastAsia="宋体" w:cs="宋体"/>
          <w:color w:val="auto"/>
          <w:spacing w:val="0"/>
          <w:sz w:val="24"/>
          <w:szCs w:val="24"/>
          <w:highlight w:val="none"/>
          <w:u w:val="single"/>
        </w:rPr>
        <w:t>[350100]ZBZX[GK]2022002</w:t>
      </w:r>
      <w:r>
        <w:rPr>
          <w:rFonts w:hint="eastAsia" w:ascii="宋体" w:hAnsi="宋体" w:eastAsia="宋体" w:cs="宋体"/>
          <w:color w:val="auto"/>
          <w:spacing w:val="0"/>
          <w:sz w:val="24"/>
          <w:szCs w:val="24"/>
          <w:highlight w:val="none"/>
          <w:u w:val="single"/>
          <w:lang w:val="en-US" w:eastAsia="zh-CN"/>
        </w:rPr>
        <w:t>-1</w:t>
      </w:r>
      <w:r>
        <w:rPr>
          <w:rFonts w:hint="eastAsia" w:ascii="宋体" w:hAnsi="宋体" w:eastAsia="宋体" w:cs="宋体"/>
          <w:color w:val="auto"/>
          <w:spacing w:val="0"/>
          <w:sz w:val="24"/>
          <w:szCs w:val="24"/>
          <w:highlight w:val="none"/>
        </w:rPr>
        <w:t>。</w:t>
      </w:r>
    </w:p>
    <w:p w14:paraId="5F111B9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3、预算金额、最高限价：详见《采购标的一览表》。</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  4、招标内容及要求：详见《采购标的一览表》及招标文件第五章。</w:t>
      </w:r>
    </w:p>
    <w:p w14:paraId="1EAC6D8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5、需要落实的政府采购政策：小型、微型企业符合财政部、工信部文件（财库〔2020〕46号），适用于本项目所有合同包。监狱企业，适用于本项目所有合同包。促进残疾人就业 ，适用于本项目所有合同包。信用记录，适用于本项目所有合同包，信用记录查询的截止时点：信用记录查询的截止时点为本项目投标截止当日。 信用记录查询渠道：信用中国（www.creditchina.gov.cn）、中国政府采购网（www.ccgp.gov.cn）。 信用记录的查询：由资格审查小组通过上述网站查询并打印投标人的信用记录。 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325F9CB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6、投标人的资格要求</w:t>
      </w:r>
    </w:p>
    <w:p w14:paraId="5A98BAB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6.1法定条件：符合政府采购法第二十二条第一款规定的条件。</w:t>
      </w:r>
    </w:p>
    <w:p w14:paraId="614A313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6.2特定条件：</w:t>
      </w:r>
      <w:r>
        <w:rPr>
          <w:rFonts w:hint="eastAsia" w:ascii="宋体" w:hAnsi="宋体" w:eastAsia="宋体" w:cs="宋体"/>
          <w:color w:val="auto"/>
          <w:spacing w:val="0"/>
          <w:sz w:val="24"/>
          <w:szCs w:val="24"/>
          <w:highlight w:val="none"/>
        </w:rPr>
        <w:br w:type="textWrapping"/>
      </w:r>
      <w:r>
        <w:rPr>
          <w:rStyle w:val="17"/>
          <w:rFonts w:hint="eastAsia" w:ascii="宋体" w:hAnsi="宋体" w:eastAsia="宋体" w:cs="宋体"/>
          <w:color w:val="auto"/>
          <w:spacing w:val="0"/>
          <w:sz w:val="24"/>
          <w:szCs w:val="24"/>
          <w:highlight w:val="none"/>
        </w:rPr>
        <w:t>包：1</w:t>
      </w:r>
    </w:p>
    <w:tbl>
      <w:tblPr>
        <w:tblStyle w:val="15"/>
        <w:tblW w:w="8336"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51"/>
        <w:gridCol w:w="4585"/>
      </w:tblGrid>
      <w:tr w14:paraId="352794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3751" w:type="dxa"/>
            <w:shd w:val="clear" w:color="auto" w:fill="auto"/>
            <w:vAlign w:val="center"/>
          </w:tcPr>
          <w:p w14:paraId="35F780FF">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c>
          <w:tcPr>
            <w:tcW w:w="4585" w:type="dxa"/>
            <w:shd w:val="clear" w:color="auto" w:fill="auto"/>
            <w:vAlign w:val="center"/>
          </w:tcPr>
          <w:p w14:paraId="704F43C6">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描述</w:t>
            </w:r>
          </w:p>
        </w:tc>
      </w:tr>
      <w:tr w14:paraId="4BA873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3751" w:type="dxa"/>
            <w:shd w:val="clear" w:color="auto" w:fill="auto"/>
            <w:vAlign w:val="center"/>
          </w:tcPr>
          <w:p w14:paraId="75D04815">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无</w:t>
            </w:r>
          </w:p>
        </w:tc>
        <w:tc>
          <w:tcPr>
            <w:tcW w:w="4585" w:type="dxa"/>
            <w:shd w:val="clear" w:color="auto" w:fill="auto"/>
            <w:vAlign w:val="center"/>
          </w:tcPr>
          <w:p w14:paraId="78E20F61">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无</w:t>
            </w:r>
          </w:p>
        </w:tc>
      </w:tr>
    </w:tbl>
    <w:p w14:paraId="4C56474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6.3是否接受联合体投标：不接受。</w:t>
      </w:r>
    </w:p>
    <w:p w14:paraId="2E2210E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※根据上述资格要求，投标文件中应提交的“投标人的资格及资信证明文件”详见招标文件第四章。</w:t>
      </w:r>
    </w:p>
    <w:p w14:paraId="2FFFF6F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7、招标文件的获取</w:t>
      </w:r>
    </w:p>
    <w:p w14:paraId="313873D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7.1、招标文件获取期限：详见招标公告或更正公告，若不一致，以更正公告为准。</w:t>
      </w:r>
    </w:p>
    <w:p w14:paraId="7AF12DC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7.2、在招标文件获取期限内，供应商应通过福建省政府采购网上公开信息系统的注册账号（免费注册）并获取招标文件(请根据项目所在地，登录对应的福建省政府采购网上公开信息系统(即省本级网址/地市分网))，否则</w:t>
      </w:r>
      <w:r>
        <w:rPr>
          <w:rStyle w:val="17"/>
          <w:rFonts w:hint="eastAsia" w:ascii="宋体" w:hAnsi="宋体" w:eastAsia="宋体" w:cs="宋体"/>
          <w:color w:val="auto"/>
          <w:spacing w:val="0"/>
          <w:sz w:val="24"/>
          <w:szCs w:val="24"/>
          <w:highlight w:val="none"/>
        </w:rPr>
        <w:t>投标将被拒绝。</w:t>
      </w:r>
    </w:p>
    <w:p w14:paraId="574C0A3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7.3、获取地点及方式：注册账号后，通过福建省政府采购网上公开信息系统以下载方式获取。</w:t>
      </w:r>
    </w:p>
    <w:p w14:paraId="13D79B6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7.4、招标文件售价：0元。</w:t>
      </w:r>
    </w:p>
    <w:p w14:paraId="3B54B90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8、投标截止</w:t>
      </w:r>
    </w:p>
    <w:p w14:paraId="5C1C2EB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8.1、投标截止时间：详见招标公告或更正公告，若不一致，以更正公告为准。</w:t>
      </w:r>
    </w:p>
    <w:p w14:paraId="631BF7F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8.2、投标人应在投标截止时间前按照福建省政府采购网上公开信息系统设定的操作流程将电子投标文件上传至福建省政府采购网上公开信息系统，同时将</w:t>
      </w:r>
      <w:r>
        <w:rPr>
          <w:rStyle w:val="17"/>
          <w:rFonts w:hint="eastAsia" w:ascii="宋体" w:hAnsi="宋体" w:eastAsia="宋体" w:cs="宋体"/>
          <w:color w:val="auto"/>
          <w:spacing w:val="0"/>
          <w:sz w:val="24"/>
          <w:szCs w:val="24"/>
          <w:highlight w:val="none"/>
        </w:rPr>
        <w:t>投标人的CA证书</w:t>
      </w:r>
      <w:r>
        <w:rPr>
          <w:rFonts w:hint="eastAsia" w:ascii="宋体" w:hAnsi="宋体" w:eastAsia="宋体" w:cs="宋体"/>
          <w:color w:val="auto"/>
          <w:spacing w:val="0"/>
          <w:sz w:val="24"/>
          <w:szCs w:val="24"/>
          <w:highlight w:val="none"/>
        </w:rPr>
        <w:t>送达招标文件第一章第9条载明的地点，否则</w:t>
      </w:r>
      <w:r>
        <w:rPr>
          <w:rStyle w:val="17"/>
          <w:rFonts w:hint="eastAsia" w:ascii="宋体" w:hAnsi="宋体" w:eastAsia="宋体" w:cs="宋体"/>
          <w:color w:val="auto"/>
          <w:spacing w:val="0"/>
          <w:sz w:val="24"/>
          <w:szCs w:val="24"/>
          <w:highlight w:val="none"/>
        </w:rPr>
        <w:t>投标将被拒绝。</w:t>
      </w:r>
    </w:p>
    <w:p w14:paraId="7C469E0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9、开标时间及地点：详见招标公告或更正公告，若不一致，以更正公告为准。</w:t>
      </w:r>
      <w:r>
        <w:rPr>
          <w:rStyle w:val="17"/>
          <w:rFonts w:hint="eastAsia" w:ascii="宋体" w:hAnsi="宋体" w:eastAsia="宋体" w:cs="宋体"/>
          <w:color w:val="auto"/>
          <w:spacing w:val="0"/>
          <w:sz w:val="24"/>
          <w:szCs w:val="24"/>
          <w:highlight w:val="none"/>
        </w:rPr>
        <w:t> </w:t>
      </w:r>
    </w:p>
    <w:p w14:paraId="277AC92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10、公告期限</w:t>
      </w:r>
    </w:p>
    <w:p w14:paraId="135DB68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10.1、招标公告的公告期限：自财政部和福建省财政厅指定的政府采购信息发布媒体最先发布公告之日起5个工作日。</w:t>
      </w:r>
    </w:p>
    <w:p w14:paraId="2A25599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10.2、招标文件公告期限：招标文件随同招标公告一并发布，其公告期限与招标公告的公告期限保持一致。</w:t>
      </w:r>
    </w:p>
    <w:p w14:paraId="4DA2AC3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11、采购人：福州市“智慧福州”管理服务中心</w:t>
      </w:r>
    </w:p>
    <w:p w14:paraId="237C0E8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地址：仓山区南江滨西大道199号海峡国际会展中心东侧福州规划馆四层</w:t>
      </w:r>
    </w:p>
    <w:p w14:paraId="6F5DABA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联系方法：0591-38130388</w:t>
      </w:r>
    </w:p>
    <w:p w14:paraId="10480D2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12、代理机构：福建省招标中心有限责任公司</w:t>
      </w:r>
    </w:p>
    <w:p w14:paraId="74FCAE1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地址：福州市鼓楼区洪山园路68号招标大厦C座6层</w:t>
      </w:r>
    </w:p>
    <w:p w14:paraId="48ACFCA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联系方法：0591-87554218</w:t>
      </w:r>
    </w:p>
    <w:p w14:paraId="2E30B839">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spacing w:val="0"/>
          <w:sz w:val="24"/>
          <w:szCs w:val="24"/>
          <w:highlight w:val="none"/>
        </w:rPr>
        <w:sectPr>
          <w:footerReference r:id="rId3" w:type="default"/>
          <w:pgSz w:w="11906" w:h="16838"/>
          <w:pgMar w:top="1440" w:right="1800" w:bottom="1440" w:left="1800" w:header="851" w:footer="992" w:gutter="0"/>
          <w:pgNumType w:start="2"/>
          <w:cols w:space="425" w:num="1"/>
          <w:docGrid w:type="lines" w:linePitch="312" w:charSpace="0"/>
        </w:sectPr>
      </w:pPr>
      <w:r>
        <w:rPr>
          <w:rFonts w:hint="eastAsia" w:ascii="宋体" w:hAnsi="宋体" w:eastAsia="宋体" w:cs="宋体"/>
          <w:color w:val="auto"/>
          <w:spacing w:val="0"/>
          <w:sz w:val="24"/>
          <w:szCs w:val="24"/>
          <w:highlight w:val="none"/>
        </w:rPr>
        <w:t> </w:t>
      </w:r>
    </w:p>
    <w:p w14:paraId="0A630A7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spacing w:val="0"/>
          <w:sz w:val="24"/>
          <w:szCs w:val="24"/>
          <w:highlight w:val="none"/>
        </w:rPr>
      </w:pPr>
    </w:p>
    <w:p w14:paraId="3962420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附1：账户信息</w:t>
      </w:r>
    </w:p>
    <w:tbl>
      <w:tblPr>
        <w:tblStyle w:val="15"/>
        <w:tblW w:w="888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880"/>
      </w:tblGrid>
      <w:tr w14:paraId="589B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03" w:hRule="atLeast"/>
          <w:tblCellSpacing w:w="15" w:type="dxa"/>
        </w:trPr>
        <w:tc>
          <w:tcPr>
            <w:tcW w:w="8820" w:type="dxa"/>
            <w:shd w:val="clear" w:color="auto" w:fill="auto"/>
            <w:tcMar>
              <w:top w:w="0" w:type="dxa"/>
              <w:left w:w="105" w:type="dxa"/>
              <w:bottom w:w="0" w:type="dxa"/>
              <w:right w:w="105" w:type="dxa"/>
            </w:tcMar>
            <w:vAlign w:val="center"/>
          </w:tcPr>
          <w:p w14:paraId="053F613C">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投标保证金账户</w:t>
            </w:r>
          </w:p>
        </w:tc>
      </w:tr>
      <w:tr w14:paraId="0B07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1" w:hRule="atLeast"/>
          <w:tblCellSpacing w:w="15" w:type="dxa"/>
        </w:trPr>
        <w:tc>
          <w:tcPr>
            <w:tcW w:w="8820" w:type="dxa"/>
            <w:shd w:val="clear" w:color="auto" w:fill="auto"/>
            <w:tcMar>
              <w:top w:w="0" w:type="dxa"/>
              <w:left w:w="105" w:type="dxa"/>
              <w:bottom w:w="0" w:type="dxa"/>
              <w:right w:w="105" w:type="dxa"/>
            </w:tcMar>
            <w:vAlign w:val="top"/>
          </w:tcPr>
          <w:p w14:paraId="411FE494">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开户名称：</w:t>
            </w:r>
            <w:r>
              <w:rPr>
                <w:rFonts w:hint="eastAsia" w:ascii="宋体" w:hAnsi="宋体" w:eastAsia="宋体" w:cs="宋体"/>
                <w:color w:val="auto"/>
                <w:spacing w:val="0"/>
                <w:sz w:val="24"/>
                <w:szCs w:val="24"/>
                <w:highlight w:val="none"/>
                <w:u w:val="single"/>
                <w:shd w:val="clear" w:fill="FFFFFF"/>
              </w:rPr>
              <w:t>福建省招标中心有限责任公司</w:t>
            </w:r>
          </w:p>
        </w:tc>
      </w:tr>
      <w:tr w14:paraId="1CFB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0" w:hRule="atLeast"/>
          <w:tblCellSpacing w:w="15" w:type="dxa"/>
        </w:trPr>
        <w:tc>
          <w:tcPr>
            <w:tcW w:w="8820" w:type="dxa"/>
            <w:shd w:val="clear" w:color="auto" w:fill="auto"/>
            <w:tcMar>
              <w:top w:w="0" w:type="dxa"/>
              <w:left w:w="105" w:type="dxa"/>
              <w:bottom w:w="0" w:type="dxa"/>
              <w:right w:w="105" w:type="dxa"/>
            </w:tcMar>
            <w:vAlign w:val="top"/>
          </w:tcPr>
          <w:p w14:paraId="7A32B736">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开户银行：</w:t>
            </w:r>
            <w:r>
              <w:rPr>
                <w:rFonts w:hint="eastAsia" w:ascii="宋体" w:hAnsi="宋体" w:eastAsia="宋体" w:cs="宋体"/>
                <w:color w:val="auto"/>
                <w:spacing w:val="0"/>
                <w:sz w:val="24"/>
                <w:szCs w:val="24"/>
                <w:highlight w:val="none"/>
                <w:u w:val="none"/>
              </w:rPr>
              <w:t>供应商在福建省政府采购网上公开信息系统获取招标文件后，根据其提示自行选择要缴交的投标保证金托管银行</w:t>
            </w:r>
            <w:r>
              <w:rPr>
                <w:rFonts w:hint="eastAsia" w:ascii="宋体" w:hAnsi="宋体" w:eastAsia="宋体" w:cs="宋体"/>
                <w:color w:val="auto"/>
                <w:spacing w:val="0"/>
                <w:sz w:val="24"/>
                <w:szCs w:val="24"/>
                <w:highlight w:val="none"/>
              </w:rPr>
              <w:t>。</w:t>
            </w:r>
          </w:p>
        </w:tc>
      </w:tr>
      <w:tr w14:paraId="47C2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8" w:hRule="atLeast"/>
          <w:tblCellSpacing w:w="15" w:type="dxa"/>
        </w:trPr>
        <w:tc>
          <w:tcPr>
            <w:tcW w:w="8820" w:type="dxa"/>
            <w:shd w:val="clear" w:color="auto" w:fill="auto"/>
            <w:tcMar>
              <w:top w:w="0" w:type="dxa"/>
              <w:left w:w="105" w:type="dxa"/>
              <w:bottom w:w="0" w:type="dxa"/>
              <w:right w:w="105" w:type="dxa"/>
            </w:tcMar>
            <w:vAlign w:val="top"/>
          </w:tcPr>
          <w:p w14:paraId="4285A980">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银行账号：</w:t>
            </w:r>
            <w:r>
              <w:rPr>
                <w:rFonts w:hint="eastAsia" w:ascii="宋体" w:hAnsi="宋体" w:eastAsia="宋体" w:cs="宋体"/>
                <w:color w:val="auto"/>
                <w:spacing w:val="0"/>
                <w:sz w:val="24"/>
                <w:szCs w:val="24"/>
                <w:highlight w:val="none"/>
                <w:u w:val="none"/>
              </w:rPr>
              <w:t>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1D3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1" w:hRule="atLeast"/>
          <w:tblCellSpacing w:w="15" w:type="dxa"/>
        </w:trPr>
        <w:tc>
          <w:tcPr>
            <w:tcW w:w="8820" w:type="dxa"/>
            <w:shd w:val="clear" w:color="auto" w:fill="auto"/>
            <w:tcMar>
              <w:top w:w="0" w:type="dxa"/>
              <w:left w:w="105" w:type="dxa"/>
              <w:bottom w:w="0" w:type="dxa"/>
              <w:right w:w="105" w:type="dxa"/>
            </w:tcMar>
            <w:vAlign w:val="center"/>
          </w:tcPr>
          <w:p w14:paraId="220530AB">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特别提示</w:t>
            </w:r>
          </w:p>
        </w:tc>
      </w:tr>
      <w:tr w14:paraId="3582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81" w:hRule="atLeast"/>
          <w:tblCellSpacing w:w="15" w:type="dxa"/>
        </w:trPr>
        <w:tc>
          <w:tcPr>
            <w:tcW w:w="8820" w:type="dxa"/>
            <w:shd w:val="clear" w:color="auto" w:fill="auto"/>
            <w:tcMar>
              <w:top w:w="0" w:type="dxa"/>
              <w:left w:w="105" w:type="dxa"/>
              <w:bottom w:w="0" w:type="dxa"/>
              <w:right w:w="105" w:type="dxa"/>
            </w:tcMar>
            <w:vAlign w:val="top"/>
          </w:tcPr>
          <w:p w14:paraId="0E1D11D5">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1、投标人应认真核对账户信息，将投标保证金汇入以上账户，并自行承担因汇错投标保证金而产生的一切后果。</w:t>
            </w:r>
          </w:p>
          <w:p w14:paraId="3D3350D2">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2、投标人在转账或电汇的凭证上应按照以下格式注明，以便核对：“（项目编号：***）的投标保证金”。</w:t>
            </w:r>
          </w:p>
        </w:tc>
      </w:tr>
    </w:tbl>
    <w:p w14:paraId="24DF689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771B3B6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附2：采购标的一览表</w:t>
      </w:r>
    </w:p>
    <w:p w14:paraId="2810FD2A">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7F581BFF">
      <w:pPr>
        <w:pStyle w:val="14"/>
        <w:keepNext w:val="0"/>
        <w:keepLines w:val="0"/>
        <w:widowControl/>
        <w:suppressLineNumbers w:val="0"/>
        <w:jc w:val="right"/>
        <w:rPr>
          <w:rFonts w:hint="eastAsia" w:ascii="宋体" w:hAnsi="宋体" w:eastAsia="宋体" w:cs="宋体"/>
          <w:color w:val="auto"/>
          <w:highlight w:val="none"/>
        </w:rPr>
      </w:pPr>
      <w:r>
        <w:rPr>
          <w:rFonts w:hint="eastAsia" w:ascii="宋体" w:hAnsi="宋体" w:eastAsia="宋体" w:cs="宋体"/>
          <w:color w:val="auto"/>
          <w:highlight w:val="none"/>
        </w:rPr>
        <w:t>金额单位：人民币元</w:t>
      </w:r>
    </w:p>
    <w:tbl>
      <w:tblPr>
        <w:tblStyle w:val="15"/>
        <w:tblW w:w="833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26"/>
        <w:gridCol w:w="926"/>
        <w:gridCol w:w="1853"/>
        <w:gridCol w:w="926"/>
        <w:gridCol w:w="926"/>
        <w:gridCol w:w="926"/>
        <w:gridCol w:w="927"/>
        <w:gridCol w:w="927"/>
      </w:tblGrid>
      <w:tr w14:paraId="17A7CD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926" w:type="dxa"/>
            <w:tcBorders>
              <w:top w:val="outset" w:color="auto" w:sz="6" w:space="0"/>
              <w:left w:val="outset" w:color="auto" w:sz="6" w:space="0"/>
              <w:bottom w:val="outset" w:color="auto" w:sz="6" w:space="0"/>
              <w:right w:val="outset" w:color="auto" w:sz="6" w:space="0"/>
            </w:tcBorders>
            <w:shd w:val="clear" w:color="auto" w:fill="auto"/>
            <w:vAlign w:val="center"/>
          </w:tcPr>
          <w:p w14:paraId="553BD1CD">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采购包</w:t>
            </w:r>
          </w:p>
        </w:tc>
        <w:tc>
          <w:tcPr>
            <w:tcW w:w="926" w:type="dxa"/>
            <w:tcBorders>
              <w:top w:val="outset" w:color="auto" w:sz="6" w:space="0"/>
              <w:left w:val="outset" w:color="auto" w:sz="6" w:space="0"/>
              <w:bottom w:val="outset" w:color="auto" w:sz="6" w:space="0"/>
              <w:right w:val="outset" w:color="auto" w:sz="6" w:space="0"/>
            </w:tcBorders>
            <w:shd w:val="clear" w:color="auto" w:fill="auto"/>
            <w:vAlign w:val="center"/>
          </w:tcPr>
          <w:p w14:paraId="0AECA0BA">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品目号</w:t>
            </w:r>
          </w:p>
        </w:tc>
        <w:tc>
          <w:tcPr>
            <w:tcW w:w="1853" w:type="dxa"/>
            <w:tcBorders>
              <w:top w:val="outset" w:color="auto" w:sz="6" w:space="0"/>
              <w:left w:val="outset" w:color="auto" w:sz="6" w:space="0"/>
              <w:bottom w:val="outset" w:color="auto" w:sz="6" w:space="0"/>
              <w:right w:val="outset" w:color="auto" w:sz="6" w:space="0"/>
            </w:tcBorders>
            <w:shd w:val="clear" w:color="auto" w:fill="auto"/>
            <w:vAlign w:val="center"/>
          </w:tcPr>
          <w:p w14:paraId="17736523">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采购标的</w:t>
            </w:r>
          </w:p>
        </w:tc>
        <w:tc>
          <w:tcPr>
            <w:tcW w:w="926" w:type="dxa"/>
            <w:tcBorders>
              <w:top w:val="outset" w:color="auto" w:sz="6" w:space="0"/>
              <w:left w:val="outset" w:color="auto" w:sz="6" w:space="0"/>
              <w:bottom w:val="outset" w:color="auto" w:sz="6" w:space="0"/>
              <w:right w:val="outset" w:color="auto" w:sz="6" w:space="0"/>
            </w:tcBorders>
            <w:shd w:val="clear" w:color="auto" w:fill="auto"/>
            <w:vAlign w:val="center"/>
          </w:tcPr>
          <w:p w14:paraId="0D2DFF24">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允许进口</w:t>
            </w:r>
          </w:p>
        </w:tc>
        <w:tc>
          <w:tcPr>
            <w:tcW w:w="926" w:type="dxa"/>
            <w:tcBorders>
              <w:top w:val="outset" w:color="auto" w:sz="6" w:space="0"/>
              <w:left w:val="outset" w:color="auto" w:sz="6" w:space="0"/>
              <w:bottom w:val="outset" w:color="auto" w:sz="6" w:space="0"/>
              <w:right w:val="outset" w:color="auto" w:sz="6" w:space="0"/>
            </w:tcBorders>
            <w:shd w:val="clear" w:color="auto" w:fill="auto"/>
            <w:vAlign w:val="center"/>
          </w:tcPr>
          <w:p w14:paraId="20200929">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数量</w:t>
            </w:r>
          </w:p>
        </w:tc>
        <w:tc>
          <w:tcPr>
            <w:tcW w:w="926" w:type="dxa"/>
            <w:tcBorders>
              <w:top w:val="outset" w:color="auto" w:sz="6" w:space="0"/>
              <w:left w:val="outset" w:color="auto" w:sz="6" w:space="0"/>
              <w:bottom w:val="outset" w:color="auto" w:sz="6" w:space="0"/>
              <w:right w:val="outset" w:color="auto" w:sz="6" w:space="0"/>
            </w:tcBorders>
            <w:shd w:val="clear" w:color="auto" w:fill="auto"/>
            <w:vAlign w:val="center"/>
          </w:tcPr>
          <w:p w14:paraId="1B28B20C">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品目号预算</w:t>
            </w:r>
          </w:p>
        </w:tc>
        <w:tc>
          <w:tcPr>
            <w:tcW w:w="927" w:type="dxa"/>
            <w:tcBorders>
              <w:top w:val="outset" w:color="auto" w:sz="6" w:space="0"/>
              <w:left w:val="outset" w:color="auto" w:sz="6" w:space="0"/>
              <w:bottom w:val="outset" w:color="auto" w:sz="6" w:space="0"/>
              <w:right w:val="outset" w:color="auto" w:sz="6" w:space="0"/>
            </w:tcBorders>
            <w:shd w:val="clear" w:color="auto" w:fill="auto"/>
            <w:vAlign w:val="center"/>
          </w:tcPr>
          <w:p w14:paraId="4F2AD43A">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采购包预算</w:t>
            </w:r>
          </w:p>
        </w:tc>
        <w:tc>
          <w:tcPr>
            <w:tcW w:w="927" w:type="dxa"/>
            <w:tcBorders>
              <w:top w:val="outset" w:color="auto" w:sz="6" w:space="0"/>
              <w:left w:val="outset" w:color="auto" w:sz="6" w:space="0"/>
              <w:bottom w:val="outset" w:color="auto" w:sz="6" w:space="0"/>
              <w:right w:val="outset" w:color="auto" w:sz="6" w:space="0"/>
            </w:tcBorders>
            <w:shd w:val="clear" w:color="auto" w:fill="auto"/>
            <w:vAlign w:val="center"/>
          </w:tcPr>
          <w:p w14:paraId="1389853B">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投标保证金</w:t>
            </w:r>
          </w:p>
        </w:tc>
      </w:tr>
      <w:tr w14:paraId="09F8F5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926" w:type="dxa"/>
            <w:tcBorders>
              <w:top w:val="outset" w:color="auto" w:sz="6" w:space="0"/>
              <w:left w:val="outset" w:color="auto" w:sz="6" w:space="0"/>
              <w:bottom w:val="outset" w:color="auto" w:sz="6" w:space="0"/>
              <w:right w:val="outset" w:color="auto" w:sz="6" w:space="0"/>
            </w:tcBorders>
            <w:shd w:val="clear" w:color="auto" w:fill="auto"/>
            <w:vAlign w:val="center"/>
          </w:tcPr>
          <w:p w14:paraId="65E8BFAB">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w:t>
            </w:r>
          </w:p>
        </w:tc>
        <w:tc>
          <w:tcPr>
            <w:tcW w:w="5557" w:type="dxa"/>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5"/>
              <w:tblW w:w="5526" w:type="dxa"/>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32"/>
              <w:gridCol w:w="1845"/>
              <w:gridCol w:w="885"/>
              <w:gridCol w:w="1050"/>
              <w:gridCol w:w="814"/>
            </w:tblGrid>
            <w:tr w14:paraId="65FDD068">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932" w:type="dxa"/>
                  <w:tcBorders>
                    <w:top w:val="outset" w:color="auto" w:sz="6" w:space="0"/>
                    <w:left w:val="outset" w:color="auto" w:sz="6" w:space="0"/>
                    <w:bottom w:val="outset" w:color="auto" w:sz="6" w:space="0"/>
                    <w:right w:val="outset" w:color="auto" w:sz="6" w:space="0"/>
                  </w:tcBorders>
                  <w:shd w:val="clear" w:color="auto" w:fill="auto"/>
                  <w:vAlign w:val="center"/>
                </w:tcPr>
                <w:p w14:paraId="13BA9461">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1-1</w:t>
                  </w:r>
                </w:p>
              </w:tc>
              <w:tc>
                <w:tcPr>
                  <w:tcW w:w="1845" w:type="dxa"/>
                  <w:tcBorders>
                    <w:top w:val="outset" w:color="auto" w:sz="6" w:space="0"/>
                    <w:left w:val="outset" w:color="auto" w:sz="6" w:space="0"/>
                    <w:bottom w:val="outset" w:color="auto" w:sz="6" w:space="0"/>
                    <w:right w:val="outset" w:color="auto" w:sz="6" w:space="0"/>
                  </w:tcBorders>
                  <w:shd w:val="clear" w:color="auto" w:fill="auto"/>
                  <w:vAlign w:val="center"/>
                </w:tcPr>
                <w:p w14:paraId="7F5B6B20">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福州市城市综合管理服务平台集成、业务系统包</w:t>
                  </w:r>
                </w:p>
              </w:tc>
              <w:tc>
                <w:tcPr>
                  <w:tcW w:w="885" w:type="dxa"/>
                  <w:tcBorders>
                    <w:top w:val="outset" w:color="auto" w:sz="6" w:space="0"/>
                    <w:left w:val="outset" w:color="auto" w:sz="6" w:space="0"/>
                    <w:bottom w:val="outset" w:color="auto" w:sz="6" w:space="0"/>
                    <w:right w:val="outset" w:color="auto" w:sz="6" w:space="0"/>
                  </w:tcBorders>
                  <w:shd w:val="clear" w:color="auto" w:fill="auto"/>
                  <w:vAlign w:val="center"/>
                </w:tcPr>
                <w:p w14:paraId="25CA86D7">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否</w:t>
                  </w:r>
                </w:p>
              </w:tc>
              <w:tc>
                <w:tcPr>
                  <w:tcW w:w="1050" w:type="dxa"/>
                  <w:tcBorders>
                    <w:top w:val="outset" w:color="auto" w:sz="6" w:space="0"/>
                    <w:left w:val="outset" w:color="auto" w:sz="6" w:space="0"/>
                    <w:bottom w:val="outset" w:color="auto" w:sz="6" w:space="0"/>
                    <w:right w:val="outset" w:color="auto" w:sz="6" w:space="0"/>
                  </w:tcBorders>
                  <w:shd w:val="clear" w:color="auto" w:fill="auto"/>
                  <w:vAlign w:val="center"/>
                </w:tcPr>
                <w:p w14:paraId="66840C38">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1（个）</w:t>
                  </w:r>
                </w:p>
              </w:tc>
              <w:tc>
                <w:tcPr>
                  <w:tcW w:w="814" w:type="dxa"/>
                  <w:tcBorders>
                    <w:top w:val="outset" w:color="auto" w:sz="6" w:space="0"/>
                    <w:left w:val="outset" w:color="auto" w:sz="6" w:space="0"/>
                    <w:bottom w:val="outset" w:color="auto" w:sz="6" w:space="0"/>
                    <w:right w:val="outset" w:color="auto" w:sz="6" w:space="0"/>
                  </w:tcBorders>
                  <w:shd w:val="clear" w:color="auto" w:fill="auto"/>
                  <w:vAlign w:val="center"/>
                </w:tcPr>
                <w:p w14:paraId="218678C1">
                  <w:pPr>
                    <w:rPr>
                      <w:rFonts w:hint="eastAsia"/>
                      <w:color w:val="auto"/>
                      <w:sz w:val="20"/>
                      <w:szCs w:val="22"/>
                      <w:highlight w:val="none"/>
                    </w:rPr>
                  </w:pPr>
                  <w:r>
                    <w:rPr>
                      <w:rFonts w:hint="eastAsia"/>
                      <w:color w:val="auto"/>
                      <w:sz w:val="20"/>
                      <w:szCs w:val="22"/>
                      <w:highlight w:val="none"/>
                      <w:lang w:val="en-US" w:eastAsia="zh-CN"/>
                    </w:rPr>
                    <w:t>7,217,200.0000</w:t>
                  </w:r>
                </w:p>
              </w:tc>
            </w:tr>
          </w:tbl>
          <w:p w14:paraId="277055B9">
            <w:pPr>
              <w:jc w:val="center"/>
              <w:rPr>
                <w:rFonts w:hint="eastAsia" w:ascii="宋体" w:hAnsi="宋体" w:eastAsia="宋体" w:cs="宋体"/>
                <w:color w:val="auto"/>
                <w:highlight w:val="none"/>
              </w:rPr>
            </w:pPr>
          </w:p>
        </w:tc>
        <w:tc>
          <w:tcPr>
            <w:tcW w:w="927" w:type="dxa"/>
            <w:tcBorders>
              <w:top w:val="outset" w:color="auto" w:sz="6" w:space="0"/>
              <w:left w:val="outset" w:color="auto" w:sz="6" w:space="0"/>
              <w:bottom w:val="outset" w:color="auto" w:sz="6" w:space="0"/>
              <w:right w:val="outset" w:color="auto" w:sz="6" w:space="0"/>
            </w:tcBorders>
            <w:shd w:val="clear" w:color="auto" w:fill="auto"/>
            <w:vAlign w:val="center"/>
          </w:tcPr>
          <w:p w14:paraId="7AC65D2F">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7217200</w:t>
            </w:r>
          </w:p>
        </w:tc>
        <w:tc>
          <w:tcPr>
            <w:tcW w:w="927" w:type="dxa"/>
            <w:tcBorders>
              <w:top w:val="outset" w:color="auto" w:sz="6" w:space="0"/>
              <w:left w:val="outset" w:color="auto" w:sz="6" w:space="0"/>
              <w:bottom w:val="outset" w:color="auto" w:sz="6" w:space="0"/>
              <w:right w:val="outset" w:color="auto" w:sz="6" w:space="0"/>
            </w:tcBorders>
            <w:shd w:val="clear" w:color="auto" w:fill="auto"/>
            <w:vAlign w:val="center"/>
          </w:tcPr>
          <w:p w14:paraId="54795AF6">
            <w:pPr>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144000</w:t>
            </w:r>
          </w:p>
        </w:tc>
      </w:tr>
    </w:tbl>
    <w:p w14:paraId="275E5438">
      <w:pPr>
        <w:rPr>
          <w:rStyle w:val="17"/>
          <w:rFonts w:hint="eastAsia" w:ascii="宋体" w:hAnsi="宋体" w:eastAsia="宋体" w:cs="宋体"/>
          <w:color w:val="auto"/>
          <w:spacing w:val="0"/>
          <w:sz w:val="31"/>
          <w:szCs w:val="31"/>
          <w:highlight w:val="none"/>
        </w:rPr>
      </w:pPr>
      <w:r>
        <w:rPr>
          <w:rStyle w:val="17"/>
          <w:rFonts w:hint="eastAsia" w:ascii="宋体" w:hAnsi="宋体" w:eastAsia="宋体" w:cs="宋体"/>
          <w:color w:val="auto"/>
          <w:spacing w:val="0"/>
          <w:sz w:val="31"/>
          <w:szCs w:val="31"/>
          <w:highlight w:val="none"/>
        </w:rPr>
        <w:br w:type="page"/>
      </w:r>
    </w:p>
    <w:p w14:paraId="12B23790">
      <w:pPr>
        <w:pStyle w:val="14"/>
        <w:keepNext w:val="0"/>
        <w:keepLines w:val="0"/>
        <w:widowControl/>
        <w:suppressLineNumbers w:val="0"/>
        <w:spacing w:before="75" w:beforeAutospacing="0" w:after="75" w:afterAutospacing="0"/>
        <w:ind w:left="0" w:right="0" w:firstLine="0"/>
        <w:jc w:val="center"/>
        <w:outlineLvl w:val="0"/>
        <w:rPr>
          <w:rFonts w:hint="eastAsia" w:ascii="宋体" w:hAnsi="宋体" w:eastAsia="宋体" w:cs="宋体"/>
          <w:color w:val="auto"/>
          <w:highlight w:val="none"/>
        </w:rPr>
      </w:pPr>
      <w:bookmarkStart w:id="1" w:name="_Toc6788"/>
      <w:r>
        <w:rPr>
          <w:rStyle w:val="17"/>
          <w:rFonts w:hint="eastAsia" w:ascii="宋体" w:hAnsi="宋体" w:eastAsia="宋体" w:cs="宋体"/>
          <w:color w:val="auto"/>
          <w:spacing w:val="0"/>
          <w:sz w:val="31"/>
          <w:szCs w:val="31"/>
          <w:highlight w:val="none"/>
        </w:rPr>
        <w:t>第二章   投标人须知前附表（表1、2）</w:t>
      </w:r>
      <w:bookmarkEnd w:id="1"/>
    </w:p>
    <w:p w14:paraId="399CAE3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0556629B">
      <w:pPr>
        <w:pStyle w:val="14"/>
        <w:keepNext w:val="0"/>
        <w:keepLines w:val="0"/>
        <w:widowControl/>
        <w:suppressLineNumbers w:val="0"/>
        <w:spacing w:before="75" w:beforeAutospacing="0" w:after="240" w:afterAutospacing="0"/>
        <w:ind w:left="0" w:right="0" w:firstLine="0"/>
        <w:jc w:val="center"/>
        <w:outlineLvl w:val="1"/>
        <w:rPr>
          <w:rFonts w:hint="eastAsia" w:ascii="宋体" w:hAnsi="宋体" w:eastAsia="宋体" w:cs="宋体"/>
          <w:color w:val="auto"/>
          <w:highlight w:val="none"/>
        </w:rPr>
      </w:pPr>
      <w:bookmarkStart w:id="2" w:name="_Toc7754"/>
      <w:r>
        <w:rPr>
          <w:rStyle w:val="17"/>
          <w:rFonts w:hint="eastAsia" w:ascii="宋体" w:hAnsi="宋体" w:eastAsia="宋体" w:cs="宋体"/>
          <w:color w:val="auto"/>
          <w:highlight w:val="none"/>
        </w:rPr>
        <w:t>一、投标人须知前附表1</w:t>
      </w:r>
      <w:bookmarkEnd w:id="2"/>
    </w:p>
    <w:tbl>
      <w:tblPr>
        <w:tblStyle w:val="15"/>
        <w:tblW w:w="8611"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05"/>
        <w:gridCol w:w="1536"/>
        <w:gridCol w:w="6470"/>
      </w:tblGrid>
      <w:tr w14:paraId="3F9D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8551" w:type="dxa"/>
            <w:gridSpan w:val="3"/>
            <w:shd w:val="clear" w:color="auto" w:fill="auto"/>
            <w:tcMar>
              <w:top w:w="0" w:type="dxa"/>
              <w:left w:w="105" w:type="dxa"/>
              <w:bottom w:w="0" w:type="dxa"/>
              <w:right w:w="105" w:type="dxa"/>
            </w:tcMar>
            <w:vAlign w:val="center"/>
          </w:tcPr>
          <w:p w14:paraId="317CBE7E">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特别提示：本表与招标文件对应章节的内容若不一致，以本表为准。</w:t>
            </w:r>
          </w:p>
        </w:tc>
      </w:tr>
      <w:tr w14:paraId="6344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3D120301">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项号</w:t>
            </w:r>
          </w:p>
        </w:tc>
        <w:tc>
          <w:tcPr>
            <w:tcW w:w="1506" w:type="dxa"/>
            <w:shd w:val="clear" w:color="auto" w:fill="auto"/>
            <w:tcMar>
              <w:top w:w="0" w:type="dxa"/>
              <w:left w:w="105" w:type="dxa"/>
              <w:bottom w:w="0" w:type="dxa"/>
              <w:right w:w="105" w:type="dxa"/>
            </w:tcMar>
            <w:vAlign w:val="center"/>
          </w:tcPr>
          <w:p w14:paraId="6BD566AA">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招标文件</w:t>
            </w:r>
          </w:p>
          <w:p w14:paraId="2DDA27BC">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（第三章）</w:t>
            </w:r>
          </w:p>
        </w:tc>
        <w:tc>
          <w:tcPr>
            <w:tcW w:w="6425" w:type="dxa"/>
            <w:shd w:val="clear" w:color="auto" w:fill="auto"/>
            <w:tcMar>
              <w:top w:w="0" w:type="dxa"/>
              <w:left w:w="105" w:type="dxa"/>
              <w:bottom w:w="0" w:type="dxa"/>
              <w:right w:w="105" w:type="dxa"/>
            </w:tcMar>
            <w:vAlign w:val="center"/>
          </w:tcPr>
          <w:p w14:paraId="0B7DC3FC">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编列内容</w:t>
            </w:r>
          </w:p>
        </w:tc>
      </w:tr>
      <w:tr w14:paraId="620D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64E5FCF5">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w:t>
            </w:r>
          </w:p>
        </w:tc>
        <w:tc>
          <w:tcPr>
            <w:tcW w:w="1506" w:type="dxa"/>
            <w:shd w:val="clear" w:color="auto" w:fill="auto"/>
            <w:tcMar>
              <w:top w:w="0" w:type="dxa"/>
              <w:left w:w="105" w:type="dxa"/>
              <w:bottom w:w="0" w:type="dxa"/>
              <w:right w:w="105" w:type="dxa"/>
            </w:tcMar>
            <w:vAlign w:val="center"/>
          </w:tcPr>
          <w:p w14:paraId="30BBDD6B">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6.1</w:t>
            </w:r>
          </w:p>
        </w:tc>
        <w:tc>
          <w:tcPr>
            <w:tcW w:w="6425" w:type="dxa"/>
            <w:shd w:val="clear" w:color="auto" w:fill="auto"/>
            <w:tcMar>
              <w:top w:w="0" w:type="dxa"/>
              <w:left w:w="105" w:type="dxa"/>
              <w:bottom w:w="0" w:type="dxa"/>
              <w:right w:w="105" w:type="dxa"/>
            </w:tcMar>
            <w:vAlign w:val="center"/>
          </w:tcPr>
          <w:p w14:paraId="6D40BAC0">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是否组织现场考察或召开开标前答疑会：</w:t>
            </w:r>
            <w:r>
              <w:rPr>
                <w:rFonts w:hint="eastAsia" w:ascii="宋体" w:hAnsi="宋体" w:eastAsia="宋体" w:cs="宋体"/>
                <w:color w:val="auto"/>
                <w:spacing w:val="0"/>
                <w:sz w:val="24"/>
                <w:szCs w:val="24"/>
                <w:highlight w:val="none"/>
              </w:rPr>
              <w:t>否。</w:t>
            </w:r>
          </w:p>
        </w:tc>
      </w:tr>
      <w:tr w14:paraId="4DBB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67EF36CC">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w:t>
            </w:r>
          </w:p>
        </w:tc>
        <w:tc>
          <w:tcPr>
            <w:tcW w:w="1506" w:type="dxa"/>
            <w:shd w:val="clear" w:color="auto" w:fill="auto"/>
            <w:tcMar>
              <w:top w:w="0" w:type="dxa"/>
              <w:left w:w="105" w:type="dxa"/>
              <w:bottom w:w="0" w:type="dxa"/>
              <w:right w:w="105" w:type="dxa"/>
            </w:tcMar>
            <w:vAlign w:val="center"/>
          </w:tcPr>
          <w:p w14:paraId="637A39B6">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10.4</w:t>
            </w:r>
          </w:p>
        </w:tc>
        <w:tc>
          <w:tcPr>
            <w:tcW w:w="6425" w:type="dxa"/>
            <w:shd w:val="clear" w:color="auto" w:fill="auto"/>
            <w:tcMar>
              <w:top w:w="0" w:type="dxa"/>
              <w:left w:w="105" w:type="dxa"/>
              <w:bottom w:w="0" w:type="dxa"/>
              <w:right w:w="105" w:type="dxa"/>
            </w:tcMar>
            <w:vAlign w:val="center"/>
          </w:tcPr>
          <w:p w14:paraId="5417C2C6">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投标文件的份数：</w:t>
            </w:r>
          </w:p>
          <w:p w14:paraId="2E492064">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（1）可读介质（光盘或U盘）</w:t>
            </w:r>
            <w:r>
              <w:rPr>
                <w:rFonts w:hint="eastAsia" w:ascii="宋体" w:hAnsi="宋体" w:eastAsia="宋体" w:cs="宋体"/>
                <w:color w:val="auto"/>
                <w:spacing w:val="0"/>
                <w:sz w:val="24"/>
                <w:szCs w:val="24"/>
                <w:highlight w:val="none"/>
                <w:u w:val="single"/>
              </w:rPr>
              <w:t>1</w:t>
            </w:r>
            <w:r>
              <w:rPr>
                <w:rFonts w:hint="eastAsia" w:ascii="宋体" w:hAnsi="宋体" w:eastAsia="宋体" w:cs="宋体"/>
                <w:color w:val="auto"/>
                <w:spacing w:val="0"/>
                <w:sz w:val="24"/>
                <w:szCs w:val="24"/>
                <w:highlight w:val="none"/>
              </w:rPr>
              <w:t>份：投标人应将其上传至福建省政府采购网上公开信息系统的电子投标文件在该可读介质中另存</w:t>
            </w:r>
            <w:r>
              <w:rPr>
                <w:rFonts w:hint="eastAsia" w:ascii="宋体" w:hAnsi="宋体" w:eastAsia="宋体" w:cs="宋体"/>
                <w:color w:val="auto"/>
                <w:spacing w:val="0"/>
                <w:sz w:val="24"/>
                <w:szCs w:val="24"/>
                <w:highlight w:val="none"/>
                <w:u w:val="single"/>
              </w:rPr>
              <w:t>1</w:t>
            </w:r>
            <w:r>
              <w:rPr>
                <w:rFonts w:hint="eastAsia" w:ascii="宋体" w:hAnsi="宋体" w:eastAsia="宋体" w:cs="宋体"/>
                <w:color w:val="auto"/>
                <w:spacing w:val="0"/>
                <w:sz w:val="24"/>
                <w:szCs w:val="24"/>
                <w:highlight w:val="none"/>
              </w:rPr>
              <w:t>份。</w:t>
            </w:r>
          </w:p>
          <w:p w14:paraId="0898F3EF">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（2）电子投标文件：详见投标人须知前附表2《关于电子招标投标活动的专门规定》。</w:t>
            </w:r>
          </w:p>
        </w:tc>
      </w:tr>
      <w:tr w14:paraId="0E22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1C769DF0">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w:t>
            </w:r>
          </w:p>
        </w:tc>
        <w:tc>
          <w:tcPr>
            <w:tcW w:w="1506" w:type="dxa"/>
            <w:shd w:val="clear" w:color="auto" w:fill="auto"/>
            <w:tcMar>
              <w:top w:w="0" w:type="dxa"/>
              <w:left w:w="105" w:type="dxa"/>
              <w:bottom w:w="0" w:type="dxa"/>
              <w:right w:w="105" w:type="dxa"/>
            </w:tcMar>
            <w:vAlign w:val="center"/>
          </w:tcPr>
          <w:p w14:paraId="4BF7F908">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10.5-（2）-③</w:t>
            </w:r>
          </w:p>
        </w:tc>
        <w:tc>
          <w:tcPr>
            <w:tcW w:w="6425" w:type="dxa"/>
            <w:shd w:val="clear" w:color="auto" w:fill="auto"/>
            <w:tcMar>
              <w:top w:w="0" w:type="dxa"/>
              <w:left w:w="105" w:type="dxa"/>
              <w:bottom w:w="0" w:type="dxa"/>
              <w:right w:w="105" w:type="dxa"/>
            </w:tcMar>
            <w:vAlign w:val="center"/>
          </w:tcPr>
          <w:p w14:paraId="63DF7ABE">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允许散装或活页装订的内容或材料：</w:t>
            </w:r>
          </w:p>
          <w:p w14:paraId="301B2DC7">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（1）投标文件的补充、修改或撤回；</w:t>
            </w:r>
          </w:p>
          <w:p w14:paraId="28DFF31C">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（2）其他内容或材料：无。</w:t>
            </w:r>
          </w:p>
        </w:tc>
      </w:tr>
      <w:tr w14:paraId="067E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0382FF2F">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w:t>
            </w:r>
          </w:p>
        </w:tc>
        <w:tc>
          <w:tcPr>
            <w:tcW w:w="1506" w:type="dxa"/>
            <w:shd w:val="clear" w:color="auto" w:fill="auto"/>
            <w:tcMar>
              <w:top w:w="0" w:type="dxa"/>
              <w:left w:w="105" w:type="dxa"/>
              <w:bottom w:w="0" w:type="dxa"/>
              <w:right w:w="105" w:type="dxa"/>
            </w:tcMar>
            <w:vAlign w:val="center"/>
          </w:tcPr>
          <w:p w14:paraId="12F8F3A7">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10.7-（1）</w:t>
            </w:r>
          </w:p>
        </w:tc>
        <w:tc>
          <w:tcPr>
            <w:tcW w:w="6425" w:type="dxa"/>
            <w:shd w:val="clear" w:color="auto" w:fill="auto"/>
            <w:tcMar>
              <w:top w:w="0" w:type="dxa"/>
              <w:left w:w="105" w:type="dxa"/>
              <w:bottom w:w="0" w:type="dxa"/>
              <w:right w:w="105" w:type="dxa"/>
            </w:tcMar>
            <w:vAlign w:val="center"/>
          </w:tcPr>
          <w:p w14:paraId="1AB7DC63">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是否允许中标人将本项目的非主体、非关键性工作进行分包：</w:t>
            </w:r>
          </w:p>
          <w:p w14:paraId="18887706">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不允许。</w:t>
            </w:r>
          </w:p>
        </w:tc>
      </w:tr>
      <w:tr w14:paraId="5413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64F72B46">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w:t>
            </w:r>
          </w:p>
        </w:tc>
        <w:tc>
          <w:tcPr>
            <w:tcW w:w="1506" w:type="dxa"/>
            <w:shd w:val="clear" w:color="auto" w:fill="auto"/>
            <w:tcMar>
              <w:top w:w="0" w:type="dxa"/>
              <w:left w:w="105" w:type="dxa"/>
              <w:bottom w:w="0" w:type="dxa"/>
              <w:right w:w="105" w:type="dxa"/>
            </w:tcMar>
            <w:vAlign w:val="center"/>
          </w:tcPr>
          <w:p w14:paraId="04F66D8E">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10.8-（1）</w:t>
            </w:r>
          </w:p>
        </w:tc>
        <w:tc>
          <w:tcPr>
            <w:tcW w:w="6425" w:type="dxa"/>
            <w:shd w:val="clear" w:color="auto" w:fill="auto"/>
            <w:tcMar>
              <w:top w:w="0" w:type="dxa"/>
              <w:left w:w="105" w:type="dxa"/>
              <w:bottom w:w="0" w:type="dxa"/>
              <w:right w:w="105" w:type="dxa"/>
            </w:tcMar>
            <w:vAlign w:val="center"/>
          </w:tcPr>
          <w:p w14:paraId="6108DA75">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投标有效期</w:t>
            </w:r>
            <w:r>
              <w:rPr>
                <w:rFonts w:hint="eastAsia" w:ascii="宋体" w:hAnsi="宋体" w:eastAsia="宋体" w:cs="宋体"/>
                <w:color w:val="auto"/>
                <w:spacing w:val="0"/>
                <w:sz w:val="24"/>
                <w:szCs w:val="24"/>
                <w:highlight w:val="none"/>
              </w:rPr>
              <w:t>：投标截止时间起90个日历日。</w:t>
            </w:r>
          </w:p>
        </w:tc>
      </w:tr>
      <w:tr w14:paraId="77E4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4C2D8930">
            <w:pPr>
              <w:pStyle w:val="14"/>
              <w:keepNext w:val="0"/>
              <w:keepLines w:val="0"/>
              <w:widowControl/>
              <w:suppressLineNumbers w:val="0"/>
              <w:wordWrap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w:t>
            </w:r>
          </w:p>
        </w:tc>
        <w:tc>
          <w:tcPr>
            <w:tcW w:w="1506" w:type="dxa"/>
            <w:shd w:val="clear" w:color="auto" w:fill="auto"/>
            <w:tcMar>
              <w:top w:w="0" w:type="dxa"/>
              <w:left w:w="105" w:type="dxa"/>
              <w:bottom w:w="0" w:type="dxa"/>
              <w:right w:w="105" w:type="dxa"/>
            </w:tcMar>
            <w:vAlign w:val="center"/>
          </w:tcPr>
          <w:p w14:paraId="5E3E0F88">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12.1</w:t>
            </w:r>
          </w:p>
        </w:tc>
        <w:tc>
          <w:tcPr>
            <w:tcW w:w="6425" w:type="dxa"/>
            <w:shd w:val="clear" w:color="auto" w:fill="auto"/>
            <w:tcMar>
              <w:top w:w="0" w:type="dxa"/>
              <w:left w:w="105" w:type="dxa"/>
              <w:bottom w:w="0" w:type="dxa"/>
              <w:right w:w="105" w:type="dxa"/>
            </w:tcMar>
            <w:vAlign w:val="center"/>
          </w:tcPr>
          <w:p w14:paraId="1A44EABA">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本项目推荐项目包1中标候选人数为1家。</w:t>
            </w:r>
          </w:p>
        </w:tc>
      </w:tr>
      <w:tr w14:paraId="7A47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75" w:type="dxa"/>
              <w:left w:w="150" w:type="dxa"/>
              <w:bottom w:w="75" w:type="dxa"/>
              <w:right w:w="150" w:type="dxa"/>
            </w:tcMar>
            <w:vAlign w:val="center"/>
          </w:tcPr>
          <w:p w14:paraId="441C3CF7">
            <w:pPr>
              <w:pStyle w:val="14"/>
              <w:keepNext w:val="0"/>
              <w:keepLines w:val="0"/>
              <w:widowControl/>
              <w:suppressLineNumbers w:val="0"/>
              <w:wordWrap w:val="0"/>
              <w:spacing w:before="0" w:beforeAutospacing="0" w:after="0"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7</w:t>
            </w:r>
          </w:p>
        </w:tc>
        <w:tc>
          <w:tcPr>
            <w:tcW w:w="1506" w:type="dxa"/>
            <w:shd w:val="clear" w:color="auto" w:fill="auto"/>
            <w:tcMar>
              <w:top w:w="75" w:type="dxa"/>
              <w:left w:w="150" w:type="dxa"/>
              <w:bottom w:w="75" w:type="dxa"/>
              <w:right w:w="150" w:type="dxa"/>
            </w:tcMar>
            <w:vAlign w:val="center"/>
          </w:tcPr>
          <w:p w14:paraId="519E1B95">
            <w:pPr>
              <w:pStyle w:val="14"/>
              <w:keepNext w:val="0"/>
              <w:keepLines w:val="0"/>
              <w:widowControl/>
              <w:suppressLineNumbers w:val="0"/>
              <w:spacing w:before="0" w:beforeAutospacing="0" w:after="0"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12.2</w:t>
            </w:r>
          </w:p>
        </w:tc>
        <w:tc>
          <w:tcPr>
            <w:tcW w:w="6425" w:type="dxa"/>
            <w:shd w:val="clear" w:color="auto" w:fill="auto"/>
            <w:tcMar>
              <w:top w:w="75" w:type="dxa"/>
              <w:left w:w="150" w:type="dxa"/>
              <w:bottom w:w="75" w:type="dxa"/>
              <w:right w:w="150" w:type="dxa"/>
            </w:tcMar>
            <w:vAlign w:val="center"/>
          </w:tcPr>
          <w:p w14:paraId="7F2965FF">
            <w:pPr>
              <w:pStyle w:val="14"/>
              <w:keepNext w:val="0"/>
              <w:keepLines w:val="0"/>
              <w:widowControl/>
              <w:suppressLineNumbers w:val="0"/>
              <w:wordWrap w:val="0"/>
              <w:spacing w:before="0" w:beforeAutospacing="0" w:after="0" w:afterAutospacing="0"/>
              <w:ind w:left="0" w:right="0" w:firstLine="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本项目中标人的确定（以采购包为单位）：</w:t>
            </w:r>
          </w:p>
          <w:p w14:paraId="54205709">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（1）采购人应在政府采购招投标管理办法规定的时限内确定中标人。</w:t>
            </w:r>
          </w:p>
          <w:p w14:paraId="5FFC2013">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（2）若出现中标候选人并列情形，则按照下列方式确定中标人：</w:t>
            </w:r>
          </w:p>
          <w:p w14:paraId="7E64F78C">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①招标文件规定的方式：无。</w:t>
            </w:r>
          </w:p>
          <w:p w14:paraId="0A614C18">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②若本款第①点规定方式为“无”，则按照下列方式确定：无。</w:t>
            </w:r>
          </w:p>
          <w:p w14:paraId="655AF537">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③若本款第①、②点规定方式均为“无”，则按照下列方式确定：随机抽取。</w:t>
            </w:r>
          </w:p>
          <w:p w14:paraId="7389A5CC">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lang w:eastAsia="zh-CN"/>
              </w:rPr>
            </w:pPr>
            <w:r>
              <w:rPr>
                <w:rFonts w:hint="eastAsia" w:ascii="宋体" w:hAnsi="宋体" w:eastAsia="宋体" w:cs="宋体"/>
                <w:color w:val="auto"/>
                <w:spacing w:val="0"/>
                <w:sz w:val="24"/>
                <w:szCs w:val="24"/>
                <w:highlight w:val="none"/>
              </w:rPr>
              <w:t>（3）本项目确定的中标人家数：</w:t>
            </w:r>
            <w:r>
              <w:rPr>
                <w:rFonts w:hint="eastAsia" w:ascii="宋体" w:hAnsi="宋体" w:eastAsia="宋体" w:cs="宋体"/>
                <w:color w:val="auto"/>
                <w:spacing w:val="0"/>
                <w:highlight w:val="none"/>
              </w:rPr>
              <w:t>本项目确定项目包1中标人数为1家</w:t>
            </w:r>
            <w:r>
              <w:rPr>
                <w:rFonts w:hint="eastAsia" w:ascii="宋体" w:hAnsi="宋体" w:eastAsia="宋体" w:cs="宋体"/>
                <w:color w:val="auto"/>
                <w:spacing w:val="0"/>
                <w:highlight w:val="none"/>
                <w:lang w:eastAsia="zh-CN"/>
              </w:rPr>
              <w:t>。</w:t>
            </w:r>
          </w:p>
        </w:tc>
      </w:tr>
      <w:tr w14:paraId="08D8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49E6E307">
            <w:pPr>
              <w:pStyle w:val="14"/>
              <w:keepNext w:val="0"/>
              <w:keepLines w:val="0"/>
              <w:widowControl/>
              <w:suppressLineNumbers w:val="0"/>
              <w:wordWrap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w:t>
            </w:r>
          </w:p>
        </w:tc>
        <w:tc>
          <w:tcPr>
            <w:tcW w:w="1506" w:type="dxa"/>
            <w:shd w:val="clear" w:color="auto" w:fill="auto"/>
            <w:tcMar>
              <w:top w:w="0" w:type="dxa"/>
              <w:left w:w="105" w:type="dxa"/>
              <w:bottom w:w="0" w:type="dxa"/>
              <w:right w:w="105" w:type="dxa"/>
            </w:tcMar>
            <w:vAlign w:val="center"/>
          </w:tcPr>
          <w:p w14:paraId="33805301">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15.1-（2）</w:t>
            </w:r>
          </w:p>
        </w:tc>
        <w:tc>
          <w:tcPr>
            <w:tcW w:w="6425" w:type="dxa"/>
            <w:shd w:val="clear" w:color="auto" w:fill="auto"/>
            <w:tcMar>
              <w:top w:w="0" w:type="dxa"/>
              <w:left w:w="105" w:type="dxa"/>
              <w:bottom w:w="0" w:type="dxa"/>
              <w:right w:w="105" w:type="dxa"/>
            </w:tcMar>
            <w:vAlign w:val="center"/>
          </w:tcPr>
          <w:p w14:paraId="5FDE4416">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质疑函原件应采用下列方式提交：</w:t>
            </w:r>
            <w:r>
              <w:rPr>
                <w:rFonts w:hint="eastAsia" w:ascii="宋体" w:hAnsi="宋体" w:eastAsia="宋体" w:cs="宋体"/>
                <w:color w:val="auto"/>
                <w:spacing w:val="0"/>
                <w:sz w:val="24"/>
                <w:szCs w:val="24"/>
                <w:highlight w:val="none"/>
              </w:rPr>
              <w:t>书面形式。</w:t>
            </w:r>
          </w:p>
        </w:tc>
      </w:tr>
      <w:tr w14:paraId="4133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7FCA9388">
            <w:pPr>
              <w:pStyle w:val="14"/>
              <w:keepNext w:val="0"/>
              <w:keepLines w:val="0"/>
              <w:widowControl/>
              <w:suppressLineNumbers w:val="0"/>
              <w:wordWrap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w:t>
            </w:r>
          </w:p>
        </w:tc>
        <w:tc>
          <w:tcPr>
            <w:tcW w:w="1506" w:type="dxa"/>
            <w:shd w:val="clear" w:color="auto" w:fill="auto"/>
            <w:tcMar>
              <w:top w:w="0" w:type="dxa"/>
              <w:left w:w="105" w:type="dxa"/>
              <w:bottom w:w="0" w:type="dxa"/>
              <w:right w:w="105" w:type="dxa"/>
            </w:tcMar>
            <w:vAlign w:val="center"/>
          </w:tcPr>
          <w:p w14:paraId="1075B0BD">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6DB2B618">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15.4</w:t>
            </w:r>
          </w:p>
          <w:p w14:paraId="2BC25C5E">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129A0C57">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tc>
        <w:tc>
          <w:tcPr>
            <w:tcW w:w="6425" w:type="dxa"/>
            <w:shd w:val="clear" w:color="auto" w:fill="auto"/>
            <w:tcMar>
              <w:top w:w="0" w:type="dxa"/>
              <w:left w:w="105" w:type="dxa"/>
              <w:bottom w:w="0" w:type="dxa"/>
              <w:right w:w="105" w:type="dxa"/>
            </w:tcMar>
            <w:vAlign w:val="center"/>
          </w:tcPr>
          <w:p w14:paraId="2BE86098">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招标文件的质疑</w:t>
            </w:r>
          </w:p>
          <w:p w14:paraId="1DA500C9">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（1）潜在投标人可在质疑时效期间内对招标文件以书面形式提出质疑。</w:t>
            </w:r>
          </w:p>
          <w:p w14:paraId="1C233BBF">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（2）质疑时效期间：应在依法获取招标文件之日起7个工作日内向福建省招标中心有限责任公司提出，依法获取招标文件的时间以福建省政府采购网上公开信息系统记载的为准。</w:t>
            </w:r>
          </w:p>
          <w:p w14:paraId="7552D791">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※除上述规定外，对招标文件提出的质疑还应符合招标文件第三章第15.1条的有关规定。</w:t>
            </w:r>
          </w:p>
        </w:tc>
      </w:tr>
      <w:tr w14:paraId="2B16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4E30229F">
            <w:pPr>
              <w:pStyle w:val="14"/>
              <w:keepNext w:val="0"/>
              <w:keepLines w:val="0"/>
              <w:widowControl/>
              <w:suppressLineNumbers w:val="0"/>
              <w:wordWrap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w:t>
            </w:r>
          </w:p>
        </w:tc>
        <w:tc>
          <w:tcPr>
            <w:tcW w:w="1506" w:type="dxa"/>
            <w:shd w:val="clear" w:color="auto" w:fill="auto"/>
            <w:tcMar>
              <w:top w:w="0" w:type="dxa"/>
              <w:left w:w="105" w:type="dxa"/>
              <w:bottom w:w="0" w:type="dxa"/>
              <w:right w:w="105" w:type="dxa"/>
            </w:tcMar>
            <w:vAlign w:val="center"/>
          </w:tcPr>
          <w:p w14:paraId="4206F08A">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16.1</w:t>
            </w:r>
          </w:p>
        </w:tc>
        <w:tc>
          <w:tcPr>
            <w:tcW w:w="6425" w:type="dxa"/>
            <w:shd w:val="clear" w:color="auto" w:fill="auto"/>
            <w:tcMar>
              <w:top w:w="0" w:type="dxa"/>
              <w:left w:w="105" w:type="dxa"/>
              <w:bottom w:w="0" w:type="dxa"/>
              <w:right w:w="105" w:type="dxa"/>
            </w:tcMar>
            <w:vAlign w:val="center"/>
          </w:tcPr>
          <w:p w14:paraId="68F35CE0">
            <w:pPr>
              <w:pStyle w:val="14"/>
              <w:keepNext w:val="0"/>
              <w:keepLines w:val="0"/>
              <w:widowControl/>
              <w:suppressLineNumbers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监督管理部门：</w:t>
            </w:r>
            <w:r>
              <w:rPr>
                <w:rFonts w:hint="eastAsia" w:ascii="宋体" w:hAnsi="宋体" w:eastAsia="宋体" w:cs="宋体"/>
                <w:color w:val="auto"/>
                <w:spacing w:val="0"/>
                <w:sz w:val="24"/>
                <w:szCs w:val="24"/>
                <w:highlight w:val="none"/>
              </w:rPr>
              <w:t>福州市财政局</w:t>
            </w:r>
            <w:r>
              <w:rPr>
                <w:rStyle w:val="17"/>
                <w:rFonts w:hint="eastAsia" w:ascii="宋体" w:hAnsi="宋体" w:eastAsia="宋体" w:cs="宋体"/>
                <w:color w:val="auto"/>
                <w:spacing w:val="0"/>
                <w:sz w:val="24"/>
                <w:szCs w:val="24"/>
                <w:highlight w:val="none"/>
              </w:rPr>
              <w:t>（仅限依法进行政府采购的货物或服务类项目）</w:t>
            </w:r>
            <w:r>
              <w:rPr>
                <w:rFonts w:hint="eastAsia" w:ascii="宋体" w:hAnsi="宋体" w:eastAsia="宋体" w:cs="宋体"/>
                <w:color w:val="auto"/>
                <w:spacing w:val="0"/>
                <w:highlight w:val="none"/>
              </w:rPr>
              <w:t>。</w:t>
            </w:r>
          </w:p>
        </w:tc>
      </w:tr>
      <w:tr w14:paraId="4530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63ABAA7B">
            <w:pPr>
              <w:pStyle w:val="14"/>
              <w:keepNext w:val="0"/>
              <w:keepLines w:val="0"/>
              <w:widowControl/>
              <w:suppressLineNumbers w:val="0"/>
              <w:wordWrap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w:t>
            </w:r>
          </w:p>
        </w:tc>
        <w:tc>
          <w:tcPr>
            <w:tcW w:w="1506" w:type="dxa"/>
            <w:shd w:val="clear" w:color="auto" w:fill="auto"/>
            <w:tcMar>
              <w:top w:w="0" w:type="dxa"/>
              <w:left w:w="105" w:type="dxa"/>
              <w:bottom w:w="0" w:type="dxa"/>
              <w:right w:w="105" w:type="dxa"/>
            </w:tcMar>
            <w:vAlign w:val="center"/>
          </w:tcPr>
          <w:p w14:paraId="24FAE53E">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18.1</w:t>
            </w:r>
          </w:p>
        </w:tc>
        <w:tc>
          <w:tcPr>
            <w:tcW w:w="6425" w:type="dxa"/>
            <w:shd w:val="clear" w:color="auto" w:fill="auto"/>
            <w:tcMar>
              <w:top w:w="0" w:type="dxa"/>
              <w:left w:w="105" w:type="dxa"/>
              <w:bottom w:w="0" w:type="dxa"/>
              <w:right w:w="105" w:type="dxa"/>
            </w:tcMar>
            <w:vAlign w:val="center"/>
          </w:tcPr>
          <w:p w14:paraId="57BE1335">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财政部和福建省财政厅指定的政府采购信息发布媒体（以下简称：“指定媒体”）：</w:t>
            </w:r>
          </w:p>
          <w:p w14:paraId="66CCA001">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（1）中国政府采购网，网址www.ccgp.gov.cn</w:t>
            </w:r>
            <w:r>
              <w:rPr>
                <w:rFonts w:hint="eastAsia" w:ascii="宋体" w:hAnsi="宋体" w:eastAsia="宋体" w:cs="宋体"/>
                <w:color w:val="auto"/>
                <w:highlight w:val="none"/>
              </w:rPr>
              <w:t>。</w:t>
            </w:r>
          </w:p>
          <w:p w14:paraId="4294E4A1">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（2）中国政府采购网福建分网（福建省政府采购网），网址zfcg.czt.fujian.gov.cn</w:t>
            </w:r>
            <w:r>
              <w:rPr>
                <w:rFonts w:hint="eastAsia" w:ascii="宋体" w:hAnsi="宋体" w:eastAsia="宋体" w:cs="宋体"/>
                <w:color w:val="auto"/>
                <w:highlight w:val="none"/>
              </w:rPr>
              <w:t>。</w:t>
            </w:r>
          </w:p>
          <w:p w14:paraId="43953F3B">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※若出现上述指定媒体信息不一致情形，应以中国政府采购网福建分网（福建省政府采购网）发布的为准。</w:t>
            </w:r>
          </w:p>
        </w:tc>
      </w:tr>
      <w:tr w14:paraId="7EF1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60" w:type="dxa"/>
            <w:shd w:val="clear" w:color="auto" w:fill="auto"/>
            <w:tcMar>
              <w:top w:w="0" w:type="dxa"/>
              <w:left w:w="105" w:type="dxa"/>
              <w:bottom w:w="0" w:type="dxa"/>
              <w:right w:w="105" w:type="dxa"/>
            </w:tcMar>
            <w:vAlign w:val="center"/>
          </w:tcPr>
          <w:p w14:paraId="12BD5394">
            <w:pPr>
              <w:pStyle w:val="14"/>
              <w:keepNext w:val="0"/>
              <w:keepLines w:val="0"/>
              <w:widowControl/>
              <w:suppressLineNumbers w:val="0"/>
              <w:wordWrap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w:t>
            </w:r>
          </w:p>
        </w:tc>
        <w:tc>
          <w:tcPr>
            <w:tcW w:w="1506" w:type="dxa"/>
            <w:shd w:val="clear" w:color="auto" w:fill="auto"/>
            <w:tcMar>
              <w:top w:w="0" w:type="dxa"/>
              <w:left w:w="105" w:type="dxa"/>
              <w:bottom w:w="0" w:type="dxa"/>
              <w:right w:w="105" w:type="dxa"/>
            </w:tcMar>
            <w:vAlign w:val="center"/>
          </w:tcPr>
          <w:p w14:paraId="74529DA6">
            <w:pPr>
              <w:pStyle w:val="14"/>
              <w:keepNext w:val="0"/>
              <w:keepLines w:val="0"/>
              <w:widowControl/>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19</w:t>
            </w:r>
          </w:p>
        </w:tc>
        <w:tc>
          <w:tcPr>
            <w:tcW w:w="6425" w:type="dxa"/>
            <w:shd w:val="clear" w:color="auto" w:fill="auto"/>
            <w:tcMar>
              <w:top w:w="0" w:type="dxa"/>
              <w:left w:w="105" w:type="dxa"/>
              <w:bottom w:w="0" w:type="dxa"/>
              <w:right w:w="105" w:type="dxa"/>
            </w:tcMar>
            <w:vAlign w:val="center"/>
          </w:tcPr>
          <w:p w14:paraId="46E09726">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其他事项：</w:t>
            </w:r>
          </w:p>
          <w:p w14:paraId="4ED987EC">
            <w:pPr>
              <w:pStyle w:val="14"/>
              <w:keepNext w:val="0"/>
              <w:keepLines w:val="0"/>
              <w:widowControl/>
              <w:suppressLineNumbers w:val="0"/>
              <w:wordWrap w:val="0"/>
              <w:spacing w:before="0" w:beforeAutospacing="0" w:after="0" w:afterAutospacing="0"/>
              <w:ind w:left="0"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(1)本项目代理服务费由</w:t>
            </w:r>
            <w:r>
              <w:rPr>
                <w:rFonts w:hint="eastAsia" w:ascii="宋体" w:hAnsi="宋体" w:eastAsia="宋体" w:cs="宋体"/>
                <w:color w:val="auto"/>
                <w:spacing w:val="0"/>
                <w:sz w:val="24"/>
                <w:szCs w:val="24"/>
                <w:highlight w:val="none"/>
              </w:rPr>
              <w:t>中标人</w:t>
            </w:r>
            <w:r>
              <w:rPr>
                <w:rStyle w:val="17"/>
                <w:rFonts w:hint="eastAsia" w:ascii="宋体" w:hAnsi="宋体" w:eastAsia="宋体" w:cs="宋体"/>
                <w:color w:val="auto"/>
                <w:spacing w:val="0"/>
                <w:sz w:val="24"/>
                <w:szCs w:val="24"/>
                <w:highlight w:val="none"/>
              </w:rPr>
              <w:t>支付。</w:t>
            </w:r>
            <w:r>
              <w:rPr>
                <w:rStyle w:val="17"/>
                <w:rFonts w:hint="eastAsia" w:ascii="宋体" w:hAnsi="宋体" w:eastAsia="宋体" w:cs="宋体"/>
                <w:color w:val="auto"/>
                <w:spacing w:val="0"/>
                <w:sz w:val="24"/>
                <w:szCs w:val="24"/>
                <w:highlight w:val="none"/>
              </w:rPr>
              <w:br w:type="textWrapping"/>
            </w:r>
            <w:r>
              <w:rPr>
                <w:rStyle w:val="17"/>
                <w:rFonts w:hint="eastAsia" w:ascii="宋体" w:hAnsi="宋体" w:eastAsia="宋体" w:cs="宋体"/>
                <w:color w:val="auto"/>
                <w:spacing w:val="0"/>
                <w:sz w:val="24"/>
                <w:szCs w:val="24"/>
                <w:highlight w:val="none"/>
              </w:rPr>
              <w:t>(2)其他：</w:t>
            </w:r>
            <w:r>
              <w:rPr>
                <w:rFonts w:hint="eastAsia" w:ascii="宋体" w:hAnsi="宋体" w:eastAsia="宋体" w:cs="宋体"/>
                <w:color w:val="auto"/>
                <w:spacing w:val="0"/>
                <w:sz w:val="24"/>
                <w:szCs w:val="24"/>
                <w:highlight w:val="none"/>
              </w:rPr>
              <w:t>①本项目的招标代理服务费由中标人支付，具体收费标准：100万元以下 1.5%；100万元-500万元 0.8%；500万元-1000万元0.45%；1000万元-5000万元0.25%，招标服务费按照合同包中标金额以差额定率累进法计算。中标人应在领取中标通知书前以转帐、电汇付款方式一次性向采购代理机构缴纳招标代理服务费。 服务费缴纳账户信息：【开户名：福建省招标中心有限责任公司；开户行：兴业银行福州西门支行；账 号：118080100100104492】。②若因投标人自身原因导致其电子投标文件无法解密的，投标将被拒绝。③质疑受理的其它要求： A、质疑人线下提交书面质疑的，质疑书还应包括：a、质疑人已在福建省政府采购网上公开信息系统上已对本项目进行报名的证明文件（体现报名时间），否则将不被认定为潜在投标人【招标文件首次下载之日为质疑人在福建省政府采购网上公开信息系统成功报名之日】；b、质疑人为法人或其他组织的，质疑函需逐页加盖质疑人单位公章；若本项目接受自然人投标且质疑人为自然人的，质疑函需质疑人本人逐页签名。B、在法定质疑期内供 应商须一次性提出针对同一采购程序环节的质疑，二（多）次质疑不予受理，采购代理机构或采购人只针对第一次有效质疑进行答复。C、投标人对本项目招标文件有任何疑议或不认同之处，需在法定时间内按规定以书面方式提出质疑，否则视为投标人接受招标文件的规定。④开标后，如个别供应商开标报价明显低于其它供应商报价的，根据系统自动预警提示，评标时，评委会将会对价格合理性进行评估，根据《政府采购货物和服务招标投标管理办法》87号令第六十条的规定要求投标人在评标现场合理的时间内（一般在接到通知的半小时内）提供书面说明，必要时还应要求其一并提交有关证明材料；投标人不能证明其报价合理性的，评标委员会应将其作为投标无效处理。建议投标人提前评估其报价的合理性，提早准备相应材料，以便出现上述情形时能在规定时间内提供。⑤信用记录查询的截止时点：信用记录查询的截止时点为本项目投标截止当日。 信用记录查询渠道：信用中国（www.creditchina.gov.cn）、中国政府采购网（www.ccgp.gov.cn）。 信用记录的查询：由资格审查小组通过上述网站查询并打印投标人的信用记录。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 ⑥因疫情影响享受缓缴或免缴社保、税款的企业，无法提供相关社保、税收缴纳证明材料的，提供有关情况说明视同社保、税收缴纳证明材料提交完整。⑦关于招标文件要求的“财务状况报告（财务报告、或资信证明、或投标担保函）”的补充说明：“上一年度”是指2020年度或2021年度均视同为满足招标文件的要求。⑧为本项目的整体采购项目的前期工作提供项目可行性研究报告编制单位为“福建省邮电规划设计院有限公司”，其不得再参加本项目整体项目及本项目所有分项的采购活动。⑨本项目为非专门面向中小企业采购项目。</w:t>
            </w:r>
          </w:p>
        </w:tc>
      </w:tr>
      <w:tr w14:paraId="505F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2096" w:type="dxa"/>
            <w:gridSpan w:val="2"/>
            <w:shd w:val="clear" w:color="auto" w:fill="auto"/>
            <w:tcMar>
              <w:top w:w="75" w:type="dxa"/>
              <w:left w:w="150" w:type="dxa"/>
              <w:bottom w:w="75" w:type="dxa"/>
              <w:right w:w="150" w:type="dxa"/>
            </w:tcMar>
            <w:vAlign w:val="center"/>
          </w:tcPr>
          <w:p w14:paraId="537DE5B7">
            <w:pPr>
              <w:pStyle w:val="14"/>
              <w:keepNext w:val="0"/>
              <w:keepLines w:val="0"/>
              <w:widowControl/>
              <w:suppressLineNumbers w:val="0"/>
              <w:spacing w:before="0" w:beforeAutospacing="0" w:after="0"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备注</w:t>
            </w:r>
          </w:p>
        </w:tc>
        <w:tc>
          <w:tcPr>
            <w:tcW w:w="6425" w:type="dxa"/>
            <w:shd w:val="clear" w:color="auto" w:fill="auto"/>
            <w:tcMar>
              <w:top w:w="75" w:type="dxa"/>
              <w:left w:w="150" w:type="dxa"/>
              <w:bottom w:w="75" w:type="dxa"/>
              <w:right w:w="150" w:type="dxa"/>
            </w:tcMar>
            <w:vAlign w:val="center"/>
          </w:tcPr>
          <w:p w14:paraId="3DF0FB6E">
            <w:pPr>
              <w:pStyle w:val="14"/>
              <w:keepNext w:val="0"/>
              <w:keepLines w:val="0"/>
              <w:widowControl/>
              <w:suppressLineNumbers w:val="0"/>
              <w:wordWrap w:val="0"/>
              <w:spacing w:before="0" w:beforeAutospacing="0" w:after="0" w:afterAutospacing="0"/>
              <w:ind w:left="0" w:right="0" w:firstLine="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后有投标人须知前附表2，请勿遗漏。</w:t>
            </w:r>
          </w:p>
        </w:tc>
      </w:tr>
    </w:tbl>
    <w:p w14:paraId="0BEE96C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4765308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35A2FFA2">
      <w:pPr>
        <w:rPr>
          <w:rStyle w:val="17"/>
          <w:rFonts w:hint="eastAsia" w:ascii="宋体" w:hAnsi="宋体" w:eastAsia="宋体" w:cs="宋体"/>
          <w:color w:val="auto"/>
          <w:highlight w:val="none"/>
        </w:rPr>
      </w:pPr>
      <w:r>
        <w:rPr>
          <w:rStyle w:val="17"/>
          <w:rFonts w:hint="eastAsia" w:ascii="宋体" w:hAnsi="宋体" w:eastAsia="宋体" w:cs="宋体"/>
          <w:color w:val="auto"/>
          <w:highlight w:val="none"/>
        </w:rPr>
        <w:br w:type="page"/>
      </w:r>
    </w:p>
    <w:p w14:paraId="6BA641B4">
      <w:pPr>
        <w:pStyle w:val="14"/>
        <w:keepNext w:val="0"/>
        <w:keepLines w:val="0"/>
        <w:widowControl/>
        <w:suppressLineNumbers w:val="0"/>
        <w:spacing w:before="75" w:beforeAutospacing="0" w:after="240" w:afterAutospacing="0"/>
        <w:ind w:left="0" w:right="0" w:firstLine="0"/>
        <w:jc w:val="center"/>
        <w:outlineLvl w:val="1"/>
        <w:rPr>
          <w:rFonts w:hint="eastAsia" w:ascii="宋体" w:hAnsi="宋体" w:eastAsia="宋体" w:cs="宋体"/>
          <w:color w:val="auto"/>
          <w:highlight w:val="none"/>
        </w:rPr>
      </w:pPr>
      <w:bookmarkStart w:id="3" w:name="_Toc5699"/>
      <w:r>
        <w:rPr>
          <w:rStyle w:val="17"/>
          <w:rFonts w:hint="eastAsia" w:ascii="宋体" w:hAnsi="宋体" w:eastAsia="宋体" w:cs="宋体"/>
          <w:color w:val="auto"/>
          <w:highlight w:val="none"/>
        </w:rPr>
        <w:t>二、投标人须知前附表2</w:t>
      </w:r>
      <w:bookmarkEnd w:id="3"/>
    </w:p>
    <w:tbl>
      <w:tblPr>
        <w:tblStyle w:val="15"/>
        <w:tblW w:w="8611"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22"/>
        <w:gridCol w:w="8089"/>
      </w:tblGrid>
      <w:tr w14:paraId="1D93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8551" w:type="dxa"/>
            <w:gridSpan w:val="2"/>
            <w:shd w:val="clear" w:color="auto" w:fill="auto"/>
            <w:tcMar>
              <w:top w:w="0" w:type="dxa"/>
              <w:left w:w="105" w:type="dxa"/>
              <w:bottom w:w="0" w:type="dxa"/>
              <w:right w:w="105" w:type="dxa"/>
            </w:tcMar>
            <w:vAlign w:val="center"/>
          </w:tcPr>
          <w:p w14:paraId="1E390A3C">
            <w:pPr>
              <w:pStyle w:val="14"/>
              <w:keepNext w:val="0"/>
              <w:keepLines w:val="0"/>
              <w:widowControl/>
              <w:suppressLineNumbers w:val="0"/>
              <w:spacing w:before="0" w:beforeAutospacing="0" w:after="0" w:afterAutospacing="0"/>
              <w:ind w:left="0" w:right="0"/>
              <w:jc w:val="center"/>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关于电子招标投标活动的专门规定</w:t>
            </w:r>
          </w:p>
        </w:tc>
      </w:tr>
      <w:tr w14:paraId="4CC2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477" w:type="dxa"/>
            <w:shd w:val="clear" w:color="auto" w:fill="auto"/>
            <w:tcMar>
              <w:top w:w="0" w:type="dxa"/>
              <w:left w:w="105" w:type="dxa"/>
              <w:bottom w:w="0" w:type="dxa"/>
              <w:right w:w="105" w:type="dxa"/>
            </w:tcMar>
            <w:vAlign w:val="center"/>
          </w:tcPr>
          <w:p w14:paraId="6E0E12AB">
            <w:pPr>
              <w:pStyle w:val="14"/>
              <w:keepNext w:val="0"/>
              <w:keepLines w:val="0"/>
              <w:widowControl/>
              <w:suppressLineNumbers w:val="0"/>
              <w:spacing w:before="0" w:beforeAutospacing="0" w:after="0" w:afterAutospacing="0"/>
              <w:ind w:left="0" w:right="0"/>
              <w:jc w:val="center"/>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序号</w:t>
            </w:r>
          </w:p>
        </w:tc>
        <w:tc>
          <w:tcPr>
            <w:tcW w:w="8044" w:type="dxa"/>
            <w:shd w:val="clear" w:color="auto" w:fill="auto"/>
            <w:tcMar>
              <w:top w:w="0" w:type="dxa"/>
              <w:left w:w="105" w:type="dxa"/>
              <w:bottom w:w="0" w:type="dxa"/>
              <w:right w:w="105" w:type="dxa"/>
            </w:tcMar>
            <w:vAlign w:val="center"/>
          </w:tcPr>
          <w:p w14:paraId="63171078">
            <w:pPr>
              <w:pStyle w:val="14"/>
              <w:keepNext w:val="0"/>
              <w:keepLines w:val="0"/>
              <w:widowControl/>
              <w:suppressLineNumbers w:val="0"/>
              <w:spacing w:before="0" w:beforeAutospacing="0" w:after="0" w:afterAutospacing="0"/>
              <w:ind w:left="0" w:right="0"/>
              <w:jc w:val="center"/>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编列内容</w:t>
            </w:r>
          </w:p>
        </w:tc>
      </w:tr>
      <w:tr w14:paraId="266F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477" w:type="dxa"/>
            <w:shd w:val="clear" w:color="auto" w:fill="auto"/>
            <w:tcMar>
              <w:top w:w="0" w:type="dxa"/>
              <w:left w:w="105" w:type="dxa"/>
              <w:bottom w:w="0" w:type="dxa"/>
              <w:right w:w="105" w:type="dxa"/>
            </w:tcMar>
            <w:vAlign w:val="center"/>
          </w:tcPr>
          <w:p w14:paraId="650A465B">
            <w:pPr>
              <w:pStyle w:val="14"/>
              <w:keepNext w:val="0"/>
              <w:keepLines w:val="0"/>
              <w:widowControl/>
              <w:suppressLineNumbers w:val="0"/>
              <w:spacing w:before="0" w:beforeAutospacing="0" w:after="0" w:afterAutospacing="0"/>
              <w:ind w:left="0" w:right="0"/>
              <w:jc w:val="center"/>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w:t>
            </w:r>
          </w:p>
        </w:tc>
        <w:tc>
          <w:tcPr>
            <w:tcW w:w="8044" w:type="dxa"/>
            <w:shd w:val="clear" w:color="auto" w:fill="auto"/>
            <w:tcMar>
              <w:top w:w="0" w:type="dxa"/>
              <w:left w:w="105" w:type="dxa"/>
              <w:bottom w:w="0" w:type="dxa"/>
              <w:right w:w="105" w:type="dxa"/>
            </w:tcMar>
            <w:vAlign w:val="center"/>
          </w:tcPr>
          <w:p w14:paraId="41C9447B">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（1）电子招标投标活动的专门规定适用本项目电子招标投标活动。</w:t>
            </w:r>
          </w:p>
          <w:p w14:paraId="1ABB2D77">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（2）将招标文件</w:t>
            </w:r>
            <w:r>
              <w:rPr>
                <w:rFonts w:hint="eastAsia" w:ascii="宋体" w:hAnsi="宋体" w:eastAsia="宋体" w:cs="宋体"/>
                <w:color w:val="auto"/>
                <w:spacing w:val="0"/>
                <w:sz w:val="24"/>
                <w:szCs w:val="24"/>
                <w:highlight w:val="none"/>
                <w:u w:val="single"/>
              </w:rPr>
              <w:t>无</w:t>
            </w:r>
            <w:r>
              <w:rPr>
                <w:rFonts w:hint="eastAsia" w:ascii="宋体" w:hAnsi="宋体" w:eastAsia="宋体" w:cs="宋体"/>
                <w:color w:val="auto"/>
                <w:spacing w:val="0"/>
                <w:sz w:val="24"/>
                <w:szCs w:val="24"/>
                <w:highlight w:val="none"/>
              </w:rPr>
              <w:t>的内容</w:t>
            </w:r>
            <w:r>
              <w:rPr>
                <w:rStyle w:val="17"/>
                <w:rFonts w:hint="eastAsia" w:ascii="宋体" w:hAnsi="宋体" w:eastAsia="宋体" w:cs="宋体"/>
                <w:color w:val="auto"/>
                <w:spacing w:val="0"/>
                <w:sz w:val="24"/>
                <w:szCs w:val="24"/>
                <w:highlight w:val="none"/>
              </w:rPr>
              <w:t>修正为</w:t>
            </w:r>
            <w:r>
              <w:rPr>
                <w:rFonts w:hint="eastAsia" w:ascii="宋体" w:hAnsi="宋体" w:eastAsia="宋体" w:cs="宋体"/>
                <w:color w:val="auto"/>
                <w:spacing w:val="0"/>
                <w:sz w:val="24"/>
                <w:szCs w:val="24"/>
                <w:highlight w:val="none"/>
              </w:rPr>
              <w:t>下列内容：</w:t>
            </w:r>
            <w:r>
              <w:rPr>
                <w:rFonts w:hint="eastAsia" w:ascii="宋体" w:hAnsi="宋体" w:eastAsia="宋体" w:cs="宋体"/>
                <w:color w:val="auto"/>
                <w:spacing w:val="0"/>
                <w:sz w:val="24"/>
                <w:szCs w:val="24"/>
                <w:highlight w:val="none"/>
                <w:u w:val="single"/>
              </w:rPr>
              <w:t>无</w:t>
            </w:r>
            <w:r>
              <w:rPr>
                <w:rFonts w:hint="eastAsia" w:ascii="宋体" w:hAnsi="宋体" w:eastAsia="宋体" w:cs="宋体"/>
                <w:color w:val="auto"/>
                <w:spacing w:val="0"/>
                <w:sz w:val="24"/>
                <w:szCs w:val="24"/>
                <w:highlight w:val="none"/>
              </w:rPr>
              <w:t>后适用本项目的电子招标投标活动。</w:t>
            </w:r>
          </w:p>
          <w:p w14:paraId="0DF102F4">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（3）将下列内容</w:t>
            </w:r>
            <w:r>
              <w:rPr>
                <w:rStyle w:val="17"/>
                <w:rFonts w:hint="eastAsia" w:ascii="宋体" w:hAnsi="宋体" w:eastAsia="宋体" w:cs="宋体"/>
                <w:color w:val="auto"/>
                <w:spacing w:val="0"/>
                <w:sz w:val="24"/>
                <w:szCs w:val="24"/>
                <w:highlight w:val="none"/>
              </w:rPr>
              <w:t>增列为</w:t>
            </w:r>
            <w:r>
              <w:rPr>
                <w:rFonts w:hint="eastAsia" w:ascii="宋体" w:hAnsi="宋体" w:eastAsia="宋体" w:cs="宋体"/>
                <w:color w:val="auto"/>
                <w:spacing w:val="0"/>
                <w:sz w:val="24"/>
                <w:szCs w:val="24"/>
                <w:highlight w:val="none"/>
              </w:rPr>
              <w:t>招标文件的组成部分（以下简称：“增列内容”）适用本项目的电子招标投标活动，若增列内容与招标文件其他章节内容有冲突，应以增列内容为准：</w:t>
            </w:r>
          </w:p>
          <w:p w14:paraId="7F8E6433">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①电子招标投标活动的具体操作流程以福建省政府采购网上公开信息系统设定的为准。</w:t>
            </w:r>
          </w:p>
          <w:p w14:paraId="6A5BC7B5">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②关于投标文件：</w:t>
            </w:r>
          </w:p>
          <w:p w14:paraId="71630848">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a.投标人应按照福建省政府采购网上公开信息系统设定的评审节点编制电子投标文件，否则</w:t>
            </w:r>
            <w:r>
              <w:rPr>
                <w:rStyle w:val="17"/>
                <w:rFonts w:hint="eastAsia" w:ascii="宋体" w:hAnsi="宋体" w:eastAsia="宋体" w:cs="宋体"/>
                <w:color w:val="auto"/>
                <w:spacing w:val="0"/>
                <w:sz w:val="24"/>
                <w:szCs w:val="24"/>
                <w:highlight w:val="none"/>
              </w:rPr>
              <w:t>资格审查小组、评标委员会将按照不利于投标人的内容进行认定。</w:t>
            </w:r>
          </w:p>
          <w:p w14:paraId="54E78EDA">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b.投标人应在投标截止时间前按照福建省政府采购网上公开信息系统设定的操作流程将电子投标文件</w:t>
            </w:r>
            <w:r>
              <w:rPr>
                <w:rStyle w:val="17"/>
                <w:rFonts w:hint="eastAsia" w:ascii="宋体" w:hAnsi="宋体" w:eastAsia="宋体" w:cs="宋体"/>
                <w:color w:val="auto"/>
                <w:spacing w:val="0"/>
                <w:sz w:val="24"/>
                <w:szCs w:val="24"/>
                <w:highlight w:val="none"/>
                <w:u w:val="single"/>
              </w:rPr>
              <w:t>1</w:t>
            </w:r>
            <w:r>
              <w:rPr>
                <w:rFonts w:hint="eastAsia" w:ascii="宋体" w:hAnsi="宋体" w:eastAsia="宋体" w:cs="宋体"/>
                <w:color w:val="auto"/>
                <w:spacing w:val="0"/>
                <w:sz w:val="24"/>
                <w:szCs w:val="24"/>
                <w:highlight w:val="none"/>
              </w:rPr>
              <w:t>份上传至福建省政府采购网上公开信息系统。电子投标文件的分项报价一览表、投标客户端的分项报价一览表应保持一致，并以投标客户端的分项报价一览表为准。</w:t>
            </w:r>
          </w:p>
          <w:p w14:paraId="4906EB61">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③关于证明材料或资料：</w:t>
            </w:r>
          </w:p>
          <w:p w14:paraId="2E850502">
            <w:pPr>
              <w:pStyle w:val="14"/>
              <w:keepNext w:val="0"/>
              <w:keepLines w:val="0"/>
              <w:widowControl/>
              <w:suppressLineNumbers w:val="0"/>
              <w:wordWrap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a.招标文件要求原件的，投标人在电子投标文件中可提供复印件（含扫描件），但同时应准备好原件备查</w:t>
            </w:r>
            <w:r>
              <w:rPr>
                <w:rStyle w:val="17"/>
                <w:rFonts w:hint="eastAsia" w:ascii="宋体" w:hAnsi="宋体" w:eastAsia="宋体" w:cs="宋体"/>
                <w:color w:val="auto"/>
                <w:sz w:val="24"/>
                <w:szCs w:val="24"/>
                <w:highlight w:val="none"/>
              </w:rPr>
              <w:t>（未能在规定时间内提供原件核查的，将按不利于投标人进行评审）</w:t>
            </w:r>
            <w:r>
              <w:rPr>
                <w:rFonts w:hint="eastAsia" w:ascii="宋体" w:hAnsi="宋体" w:eastAsia="宋体" w:cs="宋体"/>
                <w:color w:val="auto"/>
                <w:sz w:val="24"/>
                <w:szCs w:val="24"/>
                <w:highlight w:val="none"/>
              </w:rPr>
              <w:t>；招标文件要求复印件的，投标人在投标文件中提供原件、复印件（含扫描件）皆可；招标文件对原件、复印件未作要求的，投标人在投标文件中提供原件、复印件（含扫描件）皆可。</w:t>
            </w:r>
          </w:p>
          <w:p w14:paraId="496394EC">
            <w:pPr>
              <w:pStyle w:val="14"/>
              <w:keepNext w:val="0"/>
              <w:keepLines w:val="0"/>
              <w:widowControl/>
              <w:suppressLineNumbers w:val="0"/>
              <w:wordWrap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b.若投标人提供注明“复印件无效”或“复印无效”的证明材料或资料，应结合上文a条款进行判定，若招标文件未要求投标人提供原件，投标人提供原件，复印件（含扫描件）均视为满足招标文件要求</w:t>
            </w:r>
            <w:r>
              <w:rPr>
                <w:rStyle w:val="17"/>
                <w:rFonts w:hint="eastAsia" w:ascii="宋体" w:hAnsi="宋体" w:eastAsia="宋体" w:cs="宋体"/>
                <w:color w:val="auto"/>
                <w:sz w:val="24"/>
                <w:szCs w:val="24"/>
                <w:highlight w:val="none"/>
              </w:rPr>
              <w:t>。</w:t>
            </w:r>
          </w:p>
          <w:p w14:paraId="6384465F">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④关于“全称”、“投标人代表签字”及“加盖单位公章”：</w:t>
            </w:r>
          </w:p>
          <w:p w14:paraId="111F7758">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a.在电子投标文件中，涉及“全称”和“投标人代表签字”的内容可使用打字录入方式完成。</w:t>
            </w:r>
          </w:p>
          <w:p w14:paraId="34879A1F">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b.在电子投标文件中，涉及“加盖单位公章”的内容应使用投标人的CA证书完成，否则</w:t>
            </w:r>
            <w:r>
              <w:rPr>
                <w:rStyle w:val="17"/>
                <w:rFonts w:hint="eastAsia" w:ascii="宋体" w:hAnsi="宋体" w:eastAsia="宋体" w:cs="宋体"/>
                <w:color w:val="auto"/>
                <w:spacing w:val="0"/>
                <w:sz w:val="24"/>
                <w:szCs w:val="24"/>
                <w:highlight w:val="none"/>
              </w:rPr>
              <w:t>投标无效。</w:t>
            </w:r>
          </w:p>
          <w:p w14:paraId="1DB8E6EE">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c.在电子投标文件中，若投标人按照本增列内容第④点第b项规定加盖其单位公章，则出现无全称、或投标人代表未签字等情形，</w:t>
            </w:r>
            <w:r>
              <w:rPr>
                <w:rStyle w:val="17"/>
                <w:rFonts w:hint="eastAsia" w:ascii="宋体" w:hAnsi="宋体" w:eastAsia="宋体" w:cs="宋体"/>
                <w:color w:val="auto"/>
                <w:spacing w:val="0"/>
                <w:sz w:val="24"/>
                <w:szCs w:val="24"/>
                <w:highlight w:val="none"/>
              </w:rPr>
              <w:t>不视为投标无效。</w:t>
            </w:r>
          </w:p>
          <w:p w14:paraId="006C6C50">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⑤关于投标人的CA证书：</w:t>
            </w:r>
          </w:p>
          <w:p w14:paraId="2FC5DEB6">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a.投标人的CA证书应在投标截止时间前送达招标文件第一章第9条载明的地点，否则</w:t>
            </w:r>
            <w:r>
              <w:rPr>
                <w:rStyle w:val="17"/>
                <w:rFonts w:hint="eastAsia" w:ascii="宋体" w:hAnsi="宋体" w:eastAsia="宋体" w:cs="宋体"/>
                <w:color w:val="auto"/>
                <w:spacing w:val="0"/>
                <w:sz w:val="24"/>
                <w:szCs w:val="24"/>
                <w:highlight w:val="none"/>
              </w:rPr>
              <w:t>投标将被拒绝。</w:t>
            </w:r>
          </w:p>
          <w:p w14:paraId="00770FA2">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b.投标人的CA证书可采用信封（包括但不限于：信封、档案袋、文件袋等）作为外包装进行单独包装。外包装密封、不密封皆可。</w:t>
            </w:r>
          </w:p>
          <w:p w14:paraId="1358F688">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c.投标人的CA证书或外包装应标记“项目名称、项目编号、投标人的全称”等内容，以方便识别、使用。</w:t>
            </w:r>
          </w:p>
          <w:p w14:paraId="37617041">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d.投标人的CA证书应能正常、有效使用，否则产生不利后果由投标人承担责任。</w:t>
            </w:r>
          </w:p>
          <w:p w14:paraId="0A52C850">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⑥关于投标截止时间过后</w:t>
            </w:r>
          </w:p>
          <w:p w14:paraId="192DE2B7">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a.未按招标文件规定提交投标保证金的，</w:t>
            </w:r>
            <w:r>
              <w:rPr>
                <w:rStyle w:val="17"/>
                <w:rFonts w:hint="eastAsia" w:ascii="宋体" w:hAnsi="宋体" w:eastAsia="宋体" w:cs="宋体"/>
                <w:color w:val="auto"/>
                <w:spacing w:val="0"/>
                <w:sz w:val="24"/>
                <w:szCs w:val="24"/>
                <w:highlight w:val="none"/>
              </w:rPr>
              <w:t>其投标将按无效投标处理。</w:t>
            </w:r>
          </w:p>
          <w:p w14:paraId="529BF3D7">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b.有下列情形之一的，其</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,其保证金不予退还：</w:t>
            </w:r>
          </w:p>
          <w:p w14:paraId="575F20EC">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b1不同投标人的电子投标文件具有相同内部识别码；</w:t>
            </w:r>
          </w:p>
          <w:p w14:paraId="576E9B55">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b2不同投标人的投标保证金从同一单位或个人的账户转出；</w:t>
            </w:r>
          </w:p>
          <w:p w14:paraId="283F3174">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b3投标人的投标保证金同一采购包下有其他投标人提交的投标保证金</w:t>
            </w:r>
          </w:p>
          <w:p w14:paraId="428DB333">
            <w:pPr>
              <w:pStyle w:val="14"/>
              <w:keepNext w:val="0"/>
              <w:keepLines w:val="0"/>
              <w:widowControl/>
              <w:suppressLineNumbers w:val="0"/>
              <w:wordWrap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b4不同投标人存在串通投标的其他情形。</w:t>
            </w:r>
          </w:p>
          <w:p w14:paraId="43F764E6">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22DCF00E">
            <w:pPr>
              <w:pStyle w:val="14"/>
              <w:keepNext w:val="0"/>
              <w:keepLines w:val="0"/>
              <w:widowControl/>
              <w:suppressLineNumbers w:val="0"/>
              <w:wordWrap w:val="0"/>
              <w:spacing w:before="0" w:beforeAutospacing="0" w:after="0" w:afterAutospacing="0"/>
              <w:ind w:left="0" w:right="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⑧其他：无。</w:t>
            </w:r>
          </w:p>
        </w:tc>
      </w:tr>
    </w:tbl>
    <w:p w14:paraId="1ABBF5E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38E1806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12C9EA06">
      <w:pPr>
        <w:rPr>
          <w:rStyle w:val="17"/>
          <w:rFonts w:hint="eastAsia" w:ascii="宋体" w:hAnsi="宋体" w:eastAsia="宋体" w:cs="宋体"/>
          <w:color w:val="auto"/>
          <w:spacing w:val="0"/>
          <w:sz w:val="31"/>
          <w:szCs w:val="31"/>
          <w:highlight w:val="none"/>
        </w:rPr>
      </w:pPr>
      <w:r>
        <w:rPr>
          <w:rStyle w:val="17"/>
          <w:rFonts w:hint="eastAsia" w:ascii="宋体" w:hAnsi="宋体" w:eastAsia="宋体" w:cs="宋体"/>
          <w:color w:val="auto"/>
          <w:spacing w:val="0"/>
          <w:sz w:val="31"/>
          <w:szCs w:val="31"/>
          <w:highlight w:val="none"/>
        </w:rPr>
        <w:br w:type="page"/>
      </w:r>
    </w:p>
    <w:p w14:paraId="5A72EF5D">
      <w:pPr>
        <w:pStyle w:val="14"/>
        <w:keepNext w:val="0"/>
        <w:keepLines w:val="0"/>
        <w:widowControl/>
        <w:suppressLineNumbers w:val="0"/>
        <w:spacing w:before="75" w:beforeAutospacing="0" w:after="75" w:afterAutospacing="0"/>
        <w:ind w:left="0" w:right="0" w:firstLine="0"/>
        <w:jc w:val="center"/>
        <w:outlineLvl w:val="0"/>
        <w:rPr>
          <w:rFonts w:hint="eastAsia" w:ascii="宋体" w:hAnsi="宋体" w:eastAsia="宋体" w:cs="宋体"/>
          <w:color w:val="auto"/>
          <w:highlight w:val="none"/>
        </w:rPr>
      </w:pPr>
      <w:bookmarkStart w:id="4" w:name="_Toc8231"/>
      <w:r>
        <w:rPr>
          <w:rStyle w:val="17"/>
          <w:rFonts w:hint="eastAsia" w:ascii="宋体" w:hAnsi="宋体" w:eastAsia="宋体" w:cs="宋体"/>
          <w:color w:val="auto"/>
          <w:spacing w:val="0"/>
          <w:sz w:val="31"/>
          <w:szCs w:val="31"/>
          <w:highlight w:val="none"/>
        </w:rPr>
        <w:t>第三章   投标人须知</w:t>
      </w:r>
      <w:bookmarkEnd w:id="4"/>
    </w:p>
    <w:p w14:paraId="64E065A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4DFEB574">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一、总则</w:t>
      </w:r>
    </w:p>
    <w:p w14:paraId="6672DD4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1、适用范围</w:t>
      </w:r>
    </w:p>
    <w:p w14:paraId="40CAA01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1.1适用于招标文件载明项目的政府采购活动（以下简称：“本次采购活动”）。</w:t>
      </w:r>
    </w:p>
    <w:p w14:paraId="0BE14B1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2、定义</w:t>
      </w:r>
    </w:p>
    <w:p w14:paraId="2E343EB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2.1“采购标的”指招标文件载明的需要采购的货物或服务。</w:t>
      </w:r>
    </w:p>
    <w:p w14:paraId="7069E19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2.2“潜在投标人”指按照招标文件第一章第7条规定获取招标文件且有意向参加本项目投标的供应商。</w:t>
      </w:r>
    </w:p>
    <w:p w14:paraId="5891B1B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2.3“投标人”指按照招标文件第一章第7条规定获取招标文件并参加本项目投标的供应商。</w:t>
      </w:r>
    </w:p>
    <w:p w14:paraId="3809D19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2.4“单位负责人”指单位法定代表人或法律、法规规定代表单位行使职权的主要负责人。</w:t>
      </w:r>
    </w:p>
    <w:p w14:paraId="7927A41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2.5“投标人代表”指投标人的单位负责人或“单位负责人授权书”中载明的接受授权方。</w:t>
      </w:r>
    </w:p>
    <w:p w14:paraId="2CC109B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66E03A1C">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二、投标人</w:t>
      </w:r>
    </w:p>
    <w:p w14:paraId="370F43D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3、合格投标人</w:t>
      </w:r>
    </w:p>
    <w:p w14:paraId="3D15FBD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3.1一般规定</w:t>
      </w:r>
    </w:p>
    <w:p w14:paraId="2694417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（1）投标人应遵守政府采购法及实施条例、政府采购招投标管理办法、</w:t>
      </w:r>
      <w:r>
        <w:rPr>
          <w:rFonts w:hint="eastAsia" w:ascii="宋体" w:hAnsi="宋体" w:eastAsia="宋体" w:cs="宋体"/>
          <w:color w:val="auto"/>
          <w:highlight w:val="none"/>
        </w:rPr>
        <w:t>政府采购质疑和投诉办法及财政部、</w:t>
      </w:r>
      <w:r>
        <w:rPr>
          <w:rFonts w:hint="eastAsia" w:ascii="宋体" w:hAnsi="宋体" w:eastAsia="宋体" w:cs="宋体"/>
          <w:color w:val="auto"/>
          <w:spacing w:val="0"/>
          <w:highlight w:val="none"/>
        </w:rPr>
        <w:t>福建省财政厅有关政府采购文件的规定，同时还应遵守有关法律、法规和规章的强制性规定。</w:t>
      </w:r>
    </w:p>
    <w:p w14:paraId="7B30083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（2）投标人的资格要求：详见招标文件第一章。</w:t>
      </w:r>
    </w:p>
    <w:p w14:paraId="55A4FD4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3.2若本项目接受联合体投标且投标人为联合体，则联合体各方应遵守本章第3.1条规定，同时还应遵守下列规定：</w:t>
      </w:r>
    </w:p>
    <w:p w14:paraId="45102DA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（1）联合体各方应提交联合体协议，联合体协议应符合招标文件规定。</w:t>
      </w:r>
    </w:p>
    <w:p w14:paraId="79CB190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（2）联合体各方不得再单独参加或与其他供应商另外组成联合体参加同一合同项下的投标。</w:t>
      </w:r>
    </w:p>
    <w:p w14:paraId="77E214B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（3）联合体各方应共同与采购人签订政府采购合同，就政府采购合同约定的事项对采购人承担连带责任。</w:t>
      </w:r>
    </w:p>
    <w:p w14:paraId="7E635A2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4、投标费用</w:t>
      </w:r>
    </w:p>
    <w:p w14:paraId="5C46451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4.1除招标文件另有规定外，投标人应自行承担其参加本项目投标所涉及的一切费用。</w:t>
      </w:r>
    </w:p>
    <w:p w14:paraId="7045A85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2BF05092">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三、招标</w:t>
      </w:r>
    </w:p>
    <w:p w14:paraId="3F6CC6A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5、招标文件</w:t>
      </w:r>
    </w:p>
    <w:p w14:paraId="30CE231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5.1招标文件由下述部分组成：</w:t>
      </w:r>
    </w:p>
    <w:p w14:paraId="6B41EBC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（1）投标邀请</w:t>
      </w:r>
    </w:p>
    <w:p w14:paraId="5F7B586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（2）投标人须知前附表（表1、2）</w:t>
      </w:r>
    </w:p>
    <w:p w14:paraId="37C1ED7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（3）投标人须知</w:t>
      </w:r>
    </w:p>
    <w:p w14:paraId="2F0BFD0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（4）资格审查与评标</w:t>
      </w:r>
    </w:p>
    <w:p w14:paraId="46D3005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（5）招标内容及要求</w:t>
      </w:r>
    </w:p>
    <w:p w14:paraId="13A0E32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（6）政府采购合同（参考文本）</w:t>
      </w:r>
    </w:p>
    <w:p w14:paraId="33E6B75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（7）投标文件格式</w:t>
      </w:r>
    </w:p>
    <w:p w14:paraId="3F58051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（8）按照招标文件规定作为招标文件组成部分的其他内容（若有）</w:t>
      </w:r>
    </w:p>
    <w:p w14:paraId="186FE02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5.2招标文件的澄清或修改</w:t>
      </w:r>
    </w:p>
    <w:p w14:paraId="7A1BC4A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可对已发出的招标文件进行必要的澄清或修改，但不得对招标文件载明的采购标的和投标人的资格要求进行改变。</w:t>
      </w:r>
    </w:p>
    <w:p w14:paraId="4DCA222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（2）除本章第5.2条第（3）款规定情形外，澄清或修改的内容可能影响投标文件编制的，</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将在投标截止时间至少15个日历日前，在招标文件载明的指定媒体以更正公告的形式发布澄清或修改的内容。不足15个日历日的，</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将顺延投标截止时间及开标时间，</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和投标人受原投标截止时间及开标时间制约的所有权利和义务均延长至新的投标截止时间及开标时间。</w:t>
      </w:r>
    </w:p>
    <w:p w14:paraId="639BF1F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（3）澄清或修改的内容可能改变招标文件载明的采购标的和投标人的资格要求的，本次采购活动结束，</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将依法组织后续采购活动（包括但不限于：重新招标、采用其他方式采购等）。</w:t>
      </w:r>
    </w:p>
    <w:p w14:paraId="6131CB2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6、现场考察或开标前答疑会</w:t>
      </w:r>
    </w:p>
    <w:p w14:paraId="2C4EAEE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6.1是否组织现场考察或召开开标前答疑会：详见招标文件第二章。</w:t>
      </w:r>
    </w:p>
    <w:p w14:paraId="426CD9FA">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7、更正公告</w:t>
      </w:r>
    </w:p>
    <w:p w14:paraId="1AF0713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7.1若</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发布更正公告，则更正公告及其所发布的内容或信息（包括但不限于：招标文件的澄清或修改、现场考察或答疑会的有关事宜等）</w:t>
      </w:r>
      <w:r>
        <w:rPr>
          <w:rStyle w:val="17"/>
          <w:rFonts w:hint="eastAsia" w:ascii="宋体" w:hAnsi="宋体" w:eastAsia="宋体" w:cs="宋体"/>
          <w:color w:val="auto"/>
          <w:spacing w:val="0"/>
          <w:sz w:val="24"/>
          <w:szCs w:val="24"/>
          <w:highlight w:val="none"/>
        </w:rPr>
        <w:t>作为招标文件组成部分</w:t>
      </w:r>
      <w:r>
        <w:rPr>
          <w:rFonts w:hint="eastAsia" w:ascii="宋体" w:hAnsi="宋体" w:eastAsia="宋体" w:cs="宋体"/>
          <w:color w:val="auto"/>
          <w:spacing w:val="0"/>
          <w:sz w:val="24"/>
          <w:szCs w:val="24"/>
          <w:highlight w:val="none"/>
        </w:rPr>
        <w:t>，对投标人具有约束力。</w:t>
      </w:r>
    </w:p>
    <w:p w14:paraId="239C654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7.2更正公告作为</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通知所有潜在投标人的书面形式。</w:t>
      </w:r>
    </w:p>
    <w:p w14:paraId="19F943E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8、终止公告</w:t>
      </w:r>
    </w:p>
    <w:p w14:paraId="7B10C3A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8.1若出现因重大变故导致采购任务取消情形，</w:t>
      </w:r>
      <w:r>
        <w:rPr>
          <w:rFonts w:hint="eastAsia" w:ascii="宋体" w:hAnsi="宋体" w:eastAsia="宋体" w:cs="宋体"/>
          <w:color w:val="auto"/>
          <w:spacing w:val="0"/>
          <w:sz w:val="24"/>
          <w:szCs w:val="24"/>
          <w:highlight w:val="none"/>
          <w:u w:val="none"/>
        </w:rPr>
        <w:t>福建省招标中心有限责任公司可终止招标并发布终止公告。</w:t>
      </w:r>
    </w:p>
    <w:p w14:paraId="78555A7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none"/>
        </w:rPr>
        <w:t>8.2终止公告作为福建省招标中心有限责任公司</w:t>
      </w:r>
      <w:r>
        <w:rPr>
          <w:rFonts w:hint="eastAsia" w:ascii="宋体" w:hAnsi="宋体" w:eastAsia="宋体" w:cs="宋体"/>
          <w:color w:val="auto"/>
          <w:spacing w:val="0"/>
          <w:sz w:val="24"/>
          <w:szCs w:val="24"/>
          <w:highlight w:val="none"/>
        </w:rPr>
        <w:t>通知所有潜在投标人的书面形式。</w:t>
      </w:r>
    </w:p>
    <w:p w14:paraId="1E266DE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4EAB6593">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四、投标</w:t>
      </w:r>
    </w:p>
    <w:p w14:paraId="5A48766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9、投标</w:t>
      </w:r>
    </w:p>
    <w:p w14:paraId="563C484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9.1投标人可对招标文件载明的全部或部分采购包进行投标。</w:t>
      </w:r>
    </w:p>
    <w:p w14:paraId="3EB006B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9.2投标人应对同一个采购包内的所有内容进行完整投标，否则</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3A4737D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9.3投标人代表只能接受一个投标人的授权参加投标，否则</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3F37AF8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9.4单位负责人为同一人或存在直接控股、管理关系的不同供应商，不得同时参加同一合同项下的投标，否则</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485F36B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9.5为本项目提供整体设计、规范编制或项目管理、监理、检测等服务的供应商，不得参加本项目除整体设计、规范编制和项目管理、监理、检测等服务外的采购活动，否则</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55D96FB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9.6列入失信被执行人、重大税收违法案件当事人名单、政府采购严重违法失信行为记录名单及其他不符合政府采购法第二十二条规定条件的供应商，不得参加投标，否则</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30BA3CF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9.7有下列情形之一的，视为投标人串通投标，</w:t>
      </w:r>
      <w:r>
        <w:rPr>
          <w:rStyle w:val="17"/>
          <w:rFonts w:hint="eastAsia" w:ascii="宋体" w:hAnsi="宋体" w:eastAsia="宋体" w:cs="宋体"/>
          <w:color w:val="auto"/>
          <w:spacing w:val="0"/>
          <w:sz w:val="24"/>
          <w:szCs w:val="24"/>
          <w:highlight w:val="none"/>
        </w:rPr>
        <w:t>其投标无效：</w:t>
      </w:r>
    </w:p>
    <w:p w14:paraId="12C9FDB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（1）不同投标人的投标文件由同一单位或个人编制；</w:t>
      </w:r>
    </w:p>
    <w:p w14:paraId="793FC70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（2）不同投标人委托同一单位或个人办理投标事宜；</w:t>
      </w:r>
    </w:p>
    <w:p w14:paraId="5E3F000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（3）不同投标人的投标文件载明的项目管理成员或联系人员为同一人；</w:t>
      </w:r>
    </w:p>
    <w:p w14:paraId="62B8522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（4）不同投标人的投标文件异常一致或投标报价呈规律性差异；</w:t>
      </w:r>
    </w:p>
    <w:p w14:paraId="6C7BA62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（5）不同投标人的投标文件相互混装；</w:t>
      </w:r>
    </w:p>
    <w:p w14:paraId="7BE5E79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（6）不同投标人的投标保证金从同一单位或个人的账户转出；</w:t>
      </w:r>
    </w:p>
    <w:p w14:paraId="27B6088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（7）有关法律、法规和规章及招标文件规定的其他串通投标情形。</w:t>
      </w:r>
    </w:p>
    <w:p w14:paraId="468F1F1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10、投标文件</w:t>
      </w:r>
    </w:p>
    <w:p w14:paraId="14F6A4E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10.1投标文件的编制</w:t>
      </w:r>
    </w:p>
    <w:p w14:paraId="15F6F7B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（1）投标人应先仔细阅读招标文件的全部内容后，再进行投标文件的编制。</w:t>
      </w:r>
    </w:p>
    <w:p w14:paraId="5AF0672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（2）投标文件应按照本章第10.2条规定编制其组成部分。</w:t>
      </w:r>
    </w:p>
    <w:p w14:paraId="60CA4CA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（3）投标文件应满足招标文件提出的实质性要求和条件，并保证其所提交的全部资料是不可割离且真实、有效、准确、完整和不具有任何误导性的，否则造成不利后果由投标人承担责任。</w:t>
      </w:r>
    </w:p>
    <w:p w14:paraId="6DD216E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10.2投标文件由下述部分组成：</w:t>
      </w:r>
    </w:p>
    <w:p w14:paraId="3C0C03E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（1）资格及资信证明部分</w:t>
      </w:r>
    </w:p>
    <w:p w14:paraId="46353E0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①投标函</w:t>
      </w:r>
    </w:p>
    <w:p w14:paraId="3B483D0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②投标人的资格及资信证明文件</w:t>
      </w:r>
    </w:p>
    <w:p w14:paraId="6590F48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③投标保证金</w:t>
      </w:r>
    </w:p>
    <w:p w14:paraId="133152B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（2）报价部分</w:t>
      </w:r>
    </w:p>
    <w:p w14:paraId="49A1F48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①开标一览表</w:t>
      </w:r>
    </w:p>
    <w:p w14:paraId="0B19D1A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②投标分项报价表</w:t>
      </w:r>
    </w:p>
    <w:p w14:paraId="3DDCF63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③招标文件规定的价格扣除证明材料（若有）</w:t>
      </w:r>
    </w:p>
    <w:p w14:paraId="16E75A9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④招标文件规定的加分证明材料（若有）</w:t>
      </w:r>
    </w:p>
    <w:p w14:paraId="18EF63C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（3）技术商务部分</w:t>
      </w:r>
    </w:p>
    <w:p w14:paraId="4E87C77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①标的说明一览表</w:t>
      </w:r>
    </w:p>
    <w:p w14:paraId="6966A7A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②技术和服务要求响应表</w:t>
      </w:r>
    </w:p>
    <w:p w14:paraId="248E339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③商务条件响应表</w:t>
      </w:r>
    </w:p>
    <w:p w14:paraId="176E8F6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④投标人提交的其他资料（若有）</w:t>
      </w:r>
    </w:p>
    <w:p w14:paraId="3FA323A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⑤招标文件规定作为投标文件组成部分的其他内容（若有）</w:t>
      </w:r>
    </w:p>
    <w:p w14:paraId="3D4C8A1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10.3投标文件的语言</w:t>
      </w:r>
    </w:p>
    <w:p w14:paraId="73D9659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（1）除招标文件另有规定外，投标文件应使用中文文本，若有不同文本，以中文文本为准。</w:t>
      </w:r>
    </w:p>
    <w:p w14:paraId="23DDD1E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5D0085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10.4投标文件的份数：详见招标文件第二章。</w:t>
      </w:r>
    </w:p>
    <w:p w14:paraId="5975BCE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10.5投标文件的格式</w:t>
      </w:r>
    </w:p>
    <w:p w14:paraId="4634063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（1）除招标文件另有规定外，投标文件应使用招标文件第七章规定的格式。</w:t>
      </w:r>
    </w:p>
    <w:p w14:paraId="7B193DD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（2）除招标文件另有规定外，投标文件应使用不能擦去的墨料或墨水打印、书写或复印。</w:t>
      </w:r>
    </w:p>
    <w:p w14:paraId="2134FD0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（3）除招标文件另有规定外，投标文件应使用人民币作为计量货币。</w:t>
      </w:r>
    </w:p>
    <w:p w14:paraId="323D6FE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（4）除招标文件另有规定外，签署、盖章应遵守下列规定：</w:t>
      </w:r>
    </w:p>
    <w:p w14:paraId="361CDA9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①投标文件应由投标人代表签字并加盖投标人的单位公章。若投标人代表为单位授权的委托代理人，应提供“单位授权书”。</w:t>
      </w:r>
    </w:p>
    <w:p w14:paraId="45B42B7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②投标文件应没有涂改或行间插字，除非这些改动是根据</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的指示进行的，或是为改正投标人造成的应修改的错误而进行的。若有前述改动，应按照下列规定之一对改动处进行处理：</w:t>
      </w:r>
    </w:p>
    <w:p w14:paraId="0E21AF0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a.投标人代表签字确认；</w:t>
      </w:r>
    </w:p>
    <w:p w14:paraId="680F6D3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b.加盖投标人的单位公章或校正章。</w:t>
      </w:r>
    </w:p>
    <w:p w14:paraId="5E93A7D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10.6投标报价</w:t>
      </w:r>
    </w:p>
    <w:p w14:paraId="13FC5B6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（1）投标报价超出最高限价将导致</w:t>
      </w:r>
      <w:r>
        <w:rPr>
          <w:rStyle w:val="17"/>
          <w:rFonts w:hint="eastAsia" w:ascii="宋体" w:hAnsi="宋体" w:eastAsia="宋体" w:cs="宋体"/>
          <w:color w:val="auto"/>
          <w:spacing w:val="0"/>
          <w:sz w:val="24"/>
          <w:szCs w:val="24"/>
          <w:highlight w:val="none"/>
        </w:rPr>
        <w:t>投标无效。</w:t>
      </w:r>
    </w:p>
    <w:p w14:paraId="7448320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（2）最高限价由采购人根据价格测算情况，在预算金额的额度内合理设定。最高限价不得超出预算金额。</w:t>
      </w:r>
    </w:p>
    <w:p w14:paraId="1B8373B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（3）除招标文件另有规定外，投标文件不能出现任何选择性的投标报价，即每一个采购包和品目号的采购标的都只能有一个投标报价。任何选择性的投标报价将导致</w:t>
      </w:r>
      <w:r>
        <w:rPr>
          <w:rStyle w:val="17"/>
          <w:rFonts w:hint="eastAsia" w:ascii="宋体" w:hAnsi="宋体" w:eastAsia="宋体" w:cs="宋体"/>
          <w:color w:val="auto"/>
          <w:spacing w:val="0"/>
          <w:sz w:val="24"/>
          <w:szCs w:val="24"/>
          <w:highlight w:val="none"/>
        </w:rPr>
        <w:t>投标无效。</w:t>
      </w:r>
    </w:p>
    <w:p w14:paraId="2E4D25F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10.7分包</w:t>
      </w:r>
    </w:p>
    <w:p w14:paraId="67465F2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（1）是否允许中标人将本项目的非主体、非关键性工作进行分包：详见招标文件第二章。</w:t>
      </w:r>
    </w:p>
    <w:p w14:paraId="1E809AE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若允许中标人将本项目的非主体、非关键性工作进行分包且投标人拟在中标后进行分包，则应在投标文件中提供分包意向协议，同时投标人应在投标文件中载明分包承担主体，分包承担主体应具备相应资质条件（若有）且不得再次分包。</w:t>
      </w:r>
    </w:p>
    <w:p w14:paraId="0FC1E73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（3）招标文件允许中标人将非主体、非关键性工作进行分包的项目，有下列情形之一的，中标人不得分包：</w:t>
      </w:r>
    </w:p>
    <w:p w14:paraId="28AA7E8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①投标文件中未载明分包承担主体；</w:t>
      </w:r>
    </w:p>
    <w:p w14:paraId="3281DFF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②投标文件载明的分包承担主体不具备相应资质条件；</w:t>
      </w:r>
    </w:p>
    <w:p w14:paraId="5AD9B6E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③投标文件载明的分包承担主体拟再次分包；</w:t>
      </w:r>
    </w:p>
    <w:p w14:paraId="0BDAC03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④享受中小企业扶持政策获得政府采购合同的，小微企业不得将合同分包给大中型企业，中型企业不得将合同分包给大型企业。</w:t>
      </w:r>
    </w:p>
    <w:p w14:paraId="79B0A82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10.8投标有效期</w:t>
      </w:r>
    </w:p>
    <w:p w14:paraId="2570D1C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（1）招标文件载明的投标有效期：详见招标文件第二章。</w:t>
      </w:r>
    </w:p>
    <w:p w14:paraId="43459F4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（2）投标文件承诺的投标有效期不得少于招标文件载明的投标有效期，否则</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2037F25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（3）根据本次采购活动的需要，</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可于投标有效期届满之前书面要求投标人延长投标有效期，投标人应在</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259B5DC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10.9投标保证金</w:t>
      </w:r>
    </w:p>
    <w:p w14:paraId="6F5625F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（1）投标保证金作为投标人按照招标文件规定履行相应投标责任、义务的约束及担保。</w:t>
      </w:r>
    </w:p>
    <w:p w14:paraId="6B86753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（2）投标保证金的有效期应与投标文件承诺的投标有效期保持一致，否则</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6383DC3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（3）提交</w:t>
      </w:r>
    </w:p>
    <w:p w14:paraId="6105FF9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①投标人应从其银行账户</w:t>
      </w:r>
      <w:r>
        <w:rPr>
          <w:rStyle w:val="17"/>
          <w:rFonts w:hint="eastAsia" w:ascii="宋体" w:hAnsi="宋体" w:eastAsia="宋体" w:cs="宋体"/>
          <w:color w:val="auto"/>
          <w:spacing w:val="0"/>
          <w:sz w:val="24"/>
          <w:szCs w:val="24"/>
          <w:highlight w:val="none"/>
        </w:rPr>
        <w:t>（基本存款账户）</w:t>
      </w:r>
      <w:r>
        <w:rPr>
          <w:rFonts w:hint="eastAsia" w:ascii="宋体" w:hAnsi="宋体" w:eastAsia="宋体" w:cs="宋体"/>
          <w:color w:val="auto"/>
          <w:spacing w:val="0"/>
          <w:sz w:val="24"/>
          <w:szCs w:val="24"/>
          <w:highlight w:val="none"/>
        </w:rPr>
        <w:t>按照下列方式：</w:t>
      </w:r>
      <w:r>
        <w:rPr>
          <w:rStyle w:val="17"/>
          <w:rFonts w:hint="eastAsia" w:ascii="宋体" w:hAnsi="宋体" w:eastAsia="宋体" w:cs="宋体"/>
          <w:color w:val="auto"/>
          <w:spacing w:val="0"/>
          <w:sz w:val="24"/>
          <w:szCs w:val="24"/>
          <w:highlight w:val="none"/>
        </w:rPr>
        <w:t>公对公转账方式</w:t>
      </w:r>
      <w:r>
        <w:rPr>
          <w:rFonts w:hint="eastAsia" w:ascii="宋体" w:hAnsi="宋体" w:eastAsia="宋体" w:cs="宋体"/>
          <w:color w:val="auto"/>
          <w:spacing w:val="0"/>
          <w:sz w:val="24"/>
          <w:szCs w:val="24"/>
          <w:highlight w:val="none"/>
        </w:rPr>
        <w:t>向招标文件载明的投标保证金账户提交投标保证金，具体金额详见招标文件第一章。</w:t>
      </w:r>
    </w:p>
    <w:p w14:paraId="0F7D523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②投标保证金应于投标截止时间前到达招标文件载明的投标保证金账户，否则视为投标保证金未提交；是否到达按照下列方式认定：</w:t>
      </w:r>
      <w:r>
        <w:rPr>
          <w:rStyle w:val="17"/>
          <w:rFonts w:hint="eastAsia" w:ascii="宋体" w:hAnsi="宋体" w:eastAsia="宋体" w:cs="宋体"/>
          <w:color w:val="auto"/>
          <w:spacing w:val="0"/>
          <w:sz w:val="24"/>
          <w:szCs w:val="24"/>
          <w:highlight w:val="none"/>
        </w:rPr>
        <w:t>以福建省政府采购网上公开信息系统记载的为准。</w:t>
      </w:r>
    </w:p>
    <w:p w14:paraId="6996A3F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③若本项目接受联合体投标且投标人为联合体，则联合体中的牵头方应按照本章第10.9条第（3）款第①、②点规定提交投标保证金。</w:t>
      </w:r>
    </w:p>
    <w:p w14:paraId="7A0AAE8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※除招标文件另有规定外，未按照上述规定提交投标保证金将导致资格审查不合格。</w:t>
      </w:r>
    </w:p>
    <w:p w14:paraId="10E3F35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（4）退还</w:t>
      </w:r>
    </w:p>
    <w:p w14:paraId="14321A8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①在投标截止时间前撤回已提交的投标文件的投标人，其投标保证金将在</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收到投标人书面撤回通知之日起5个工作日内退回原账户。</w:t>
      </w:r>
    </w:p>
    <w:p w14:paraId="0985E46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②未中标人的投标保证金将在中标通知书发出之日起5个工作日内退回原账户。</w:t>
      </w:r>
    </w:p>
    <w:p w14:paraId="572CB5C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③中标人的投标保证金将在政府采购合同签订之日起5个工作日内退回原账户；合同签订之日</w:t>
      </w:r>
      <w:r>
        <w:rPr>
          <w:rStyle w:val="17"/>
          <w:rFonts w:hint="eastAsia" w:ascii="宋体" w:hAnsi="宋体" w:eastAsia="宋体" w:cs="宋体"/>
          <w:color w:val="auto"/>
          <w:spacing w:val="0"/>
          <w:sz w:val="24"/>
          <w:szCs w:val="24"/>
          <w:highlight w:val="none"/>
        </w:rPr>
        <w:t>以福建省政府采购网上公开信息系统记载的为准。</w:t>
      </w:r>
    </w:p>
    <w:p w14:paraId="763261C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④终止招标的，</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将在终止公告发布之日起5个工作日内退回已收取的投标保证金及其在银行产生的孳息。</w:t>
      </w:r>
    </w:p>
    <w:p w14:paraId="3C1F955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⑤除招标文件另有规定外，质疑或投诉涉及的投标人，若投标保证金尚未退还，则待质疑或投诉处理完毕后不计利息原额退还。</w:t>
      </w:r>
    </w:p>
    <w:p w14:paraId="0E28E10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※本章第10.9条第（4）款第①、②、③点规定的投标保证金退还时限不包括因投标人自身原因导致无法及时退还而增加的时间。</w:t>
      </w:r>
    </w:p>
    <w:p w14:paraId="5D1D7B0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238A9B6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（6）有下列情形之一的，投标保证金将不予退还：</w:t>
      </w:r>
    </w:p>
    <w:p w14:paraId="5157EB1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①投标人串通投标；</w:t>
      </w:r>
    </w:p>
    <w:p w14:paraId="57D8C8D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②投标人提供虚假材料；</w:t>
      </w:r>
    </w:p>
    <w:p w14:paraId="325C319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③投标人采取不正当手段诋毁、排挤其他投标人；</w:t>
      </w:r>
    </w:p>
    <w:p w14:paraId="73FE067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④投标截止时间后，投标人在投标有效期内撤销投标文件；</w:t>
      </w:r>
    </w:p>
    <w:p w14:paraId="331E7B1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⑤招标文件规定的其他不予退还情形；</w:t>
      </w:r>
    </w:p>
    <w:p w14:paraId="46C6078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⑥</w:t>
      </w:r>
      <w:r>
        <w:rPr>
          <w:rFonts w:hint="eastAsia" w:ascii="宋体" w:hAnsi="宋体" w:eastAsia="宋体" w:cs="宋体"/>
          <w:color w:val="auto"/>
          <w:highlight w:val="none"/>
        </w:rPr>
        <w:t>中标人有下列情形之一的：</w:t>
      </w:r>
    </w:p>
    <w:p w14:paraId="020D68B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a.除不可抗力外，因中标人自身原因未在中标通知书要求的期限内与采购人签订政府采购合同；</w:t>
      </w:r>
    </w:p>
    <w:p w14:paraId="5A4577C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b.未按照招标文件、投标文件的约定签订政府采购合同或提交履约保证金。</w:t>
      </w:r>
    </w:p>
    <w:p w14:paraId="69DFDCE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※若上述投标保证金不予退还情形给采购人（采购代理机构）造成损失，则投标人还要承担相应的赔偿责任。</w:t>
      </w:r>
    </w:p>
    <w:p w14:paraId="06604A3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10.10投标文件的提交</w:t>
      </w:r>
    </w:p>
    <w:p w14:paraId="015C64D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（1）一个投标人只能提交一个投标文件，并按照招标文件第一章规定将其送达。</w:t>
      </w:r>
    </w:p>
    <w:p w14:paraId="6F1959D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10.11投标文件的补充、修改或撤回</w:t>
      </w:r>
    </w:p>
    <w:p w14:paraId="440F4D8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（1）投标截止时间前，投标人可对所提交的投标文件进行补充、修改或撤回，并书面通知</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w:t>
      </w:r>
    </w:p>
    <w:p w14:paraId="1C6EDC6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（2）补充、修改的内容应按照本章第10.5条第（4）款规定进行签署、盖章，并按照本章第10.10条规定提交，</w:t>
      </w:r>
      <w:r>
        <w:rPr>
          <w:rStyle w:val="17"/>
          <w:rFonts w:hint="eastAsia" w:ascii="宋体" w:hAnsi="宋体" w:eastAsia="宋体" w:cs="宋体"/>
          <w:color w:val="auto"/>
          <w:spacing w:val="0"/>
          <w:sz w:val="24"/>
          <w:szCs w:val="24"/>
          <w:highlight w:val="none"/>
        </w:rPr>
        <w:t>否则将被拒收。</w:t>
      </w:r>
    </w:p>
    <w:p w14:paraId="77029E3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※按照上述规定提交的补充、修改内容作为投标文件组成部分。</w:t>
      </w:r>
    </w:p>
    <w:p w14:paraId="2A9B2DC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10.12除招标文件另有规定外，有下列情形之一的，</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w:t>
      </w:r>
    </w:p>
    <w:p w14:paraId="3300442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（1）投标文件未按照招标文件要求签署、盖章；</w:t>
      </w:r>
    </w:p>
    <w:p w14:paraId="21838FA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（2）不符合招标文件中规定的资格要求；</w:t>
      </w:r>
    </w:p>
    <w:p w14:paraId="7DB355E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（3）投标报价超过招标文件中规定的预算金额或最高限价；</w:t>
      </w:r>
    </w:p>
    <w:p w14:paraId="51C55B2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（4）投标文件含有采购人不能接受的附加条件；</w:t>
      </w:r>
    </w:p>
    <w:p w14:paraId="68BC4CA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（5）有关法律、法规和规章及招标文件规定的其他无效情形。</w:t>
      </w:r>
    </w:p>
    <w:p w14:paraId="4356609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689FB3EC">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五、开标</w:t>
      </w:r>
    </w:p>
    <w:p w14:paraId="2E9807F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11、开标</w:t>
      </w:r>
    </w:p>
    <w:p w14:paraId="2F4BB20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11.1</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将在招标文件载明的开标时间及地点主持召开开标会，并邀请投标人参加。</w:t>
      </w:r>
    </w:p>
    <w:p w14:paraId="785B4E2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11.2开标会的主持人、唱标人、记录人及其他工作人员（若有）均由</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派出，现场监督人员（若有）可由有关方面派出。</w:t>
      </w:r>
    </w:p>
    <w:p w14:paraId="57ACDDB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11.3参加现场开标会的投标人应签到。</w:t>
      </w:r>
    </w:p>
    <w:p w14:paraId="6571BCC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11.4开标会应遵守下列规定：</w:t>
      </w:r>
    </w:p>
    <w:p w14:paraId="73A98FC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（1）首先由主持人宣布开标会须知，然后由投标人代表对投标文件的密封情况进行检查，经确认无误后，由工作人员对密封的投标文件当众拆封。</w:t>
      </w:r>
    </w:p>
    <w:p w14:paraId="5E42010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7A125F2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（3）记录人对唱标人宣布的内容作开标记录。</w:t>
      </w:r>
    </w:p>
    <w:p w14:paraId="5758A60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3BAE67F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（5）投标人代表对开标过程和开标记录有疑义，以及认为采购人（采购代理机构）相关工作人员有需要回避情形的，应当场提出询问或回避申请。否则，视为投标人对开标过程和开标记录予以认可。</w:t>
      </w:r>
    </w:p>
    <w:p w14:paraId="69CF456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（6）若投标人未参加开标会（包括但不限于投标人派出的人员不是投标人代表），视同其对开标过程和开标记录予以认可。</w:t>
      </w:r>
    </w:p>
    <w:p w14:paraId="106650C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※若出现本章第11.4条第（4）、（5）、（6）款规定情形之一</w:t>
      </w:r>
      <w:r>
        <w:rPr>
          <w:rFonts w:hint="eastAsia" w:ascii="宋体" w:hAnsi="宋体" w:eastAsia="宋体" w:cs="宋体"/>
          <w:color w:val="auto"/>
          <w:spacing w:val="0"/>
          <w:sz w:val="24"/>
          <w:szCs w:val="24"/>
          <w:highlight w:val="none"/>
        </w:rPr>
        <w:t>，</w:t>
      </w:r>
      <w:r>
        <w:rPr>
          <w:rStyle w:val="17"/>
          <w:rFonts w:hint="eastAsia" w:ascii="宋体" w:hAnsi="宋体" w:eastAsia="宋体" w:cs="宋体"/>
          <w:color w:val="auto"/>
          <w:spacing w:val="0"/>
          <w:sz w:val="24"/>
          <w:szCs w:val="24"/>
          <w:highlight w:val="none"/>
        </w:rPr>
        <w:t>则投标人不得在开标会后就开标过程和开标记录涉及或可能涉及的有关事由（包括但不限于：“投标报价”、“投标文件的格式”、“投标文件的提交”、“投标文件的补充、修改或撤回”等）向</w:t>
      </w:r>
      <w:r>
        <w:rPr>
          <w:rFonts w:hint="eastAsia" w:ascii="宋体" w:hAnsi="宋体" w:eastAsia="宋体" w:cs="宋体"/>
          <w:color w:val="auto"/>
          <w:spacing w:val="0"/>
          <w:sz w:val="24"/>
          <w:szCs w:val="24"/>
          <w:highlight w:val="none"/>
          <w:u w:val="single"/>
        </w:rPr>
        <w:t>福建省招标中心有限责任公司</w:t>
      </w:r>
      <w:r>
        <w:rPr>
          <w:rStyle w:val="17"/>
          <w:rFonts w:hint="eastAsia" w:ascii="宋体" w:hAnsi="宋体" w:eastAsia="宋体" w:cs="宋体"/>
          <w:color w:val="auto"/>
          <w:spacing w:val="0"/>
          <w:sz w:val="24"/>
          <w:szCs w:val="24"/>
          <w:highlight w:val="none"/>
        </w:rPr>
        <w:t>提出任何疑义或要求（包括质疑）。</w:t>
      </w:r>
    </w:p>
    <w:p w14:paraId="21D6BA2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11.5投标截止时间后，参加投标的投标人不足三家的，不进行开标。同时，本次采购活动结束，</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将依法组织后续采购活动（包括但不限于：重新招标、采用其他方式采购等）。</w:t>
      </w:r>
    </w:p>
    <w:p w14:paraId="1A2F0EFF">
      <w:pPr>
        <w:pStyle w:val="14"/>
        <w:keepNext w:val="0"/>
        <w:keepLines w:val="0"/>
        <w:widowControl/>
        <w:suppressLineNumbers w:val="0"/>
        <w:spacing w:before="75" w:beforeAutospacing="0" w:after="240" w:afterAutospacing="0"/>
        <w:ind w:left="0" w:right="0" w:firstLine="0"/>
        <w:rPr>
          <w:rFonts w:hint="eastAsia" w:ascii="宋体" w:hAnsi="宋体" w:eastAsia="宋体" w:cs="宋体"/>
          <w:color w:val="auto"/>
          <w:highlight w:val="none"/>
        </w:rPr>
      </w:pPr>
      <w:r>
        <w:rPr>
          <w:rFonts w:hint="eastAsia" w:ascii="宋体" w:hAnsi="宋体" w:eastAsia="宋体" w:cs="宋体"/>
          <w:color w:val="auto"/>
          <w:highlight w:val="none"/>
        </w:rPr>
        <w:t>11.6投标截止时间后撤销投标的处理</w:t>
      </w:r>
      <w:r>
        <w:rPr>
          <w:rFonts w:hint="eastAsia" w:ascii="宋体" w:hAnsi="宋体" w:eastAsia="宋体" w:cs="宋体"/>
          <w:color w:val="auto"/>
          <w:highlight w:val="none"/>
        </w:rPr>
        <w:br w:type="textWrapping"/>
      </w:r>
      <w:r>
        <w:rPr>
          <w:rFonts w:hint="eastAsia" w:ascii="宋体" w:hAnsi="宋体" w:eastAsia="宋体" w:cs="宋体"/>
          <w:color w:val="auto"/>
          <w:highlight w:val="none"/>
        </w:rPr>
        <w:t>  投标截止时间后，投标人在投标有效期内撤销投标的，其撤销投标的行为无效。    </w:t>
      </w:r>
      <w:r>
        <w:rPr>
          <w:rFonts w:hint="eastAsia" w:ascii="宋体" w:hAnsi="宋体" w:eastAsia="宋体" w:cs="宋体"/>
          <w:color w:val="auto"/>
          <w:highlight w:val="none"/>
        </w:rPr>
        <w:br w:type="textWrapping"/>
      </w:r>
    </w:p>
    <w:p w14:paraId="7970341F">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六、中标与政府采购合同</w:t>
      </w:r>
    </w:p>
    <w:p w14:paraId="6965DC3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12、中标</w:t>
      </w:r>
    </w:p>
    <w:p w14:paraId="370DE0C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12.1本项目推荐的中标候选人家数：详见招标文件第二章。</w:t>
      </w:r>
    </w:p>
    <w:p w14:paraId="02DC402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12.2本项目中标人的确定：详见招标文件第二章。</w:t>
      </w:r>
    </w:p>
    <w:p w14:paraId="58AD6DF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12.3中标公告</w:t>
      </w:r>
    </w:p>
    <w:p w14:paraId="6CEB9E6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（1）中标人确定之日起2个工作日内，</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将在招标文件载明的指定媒体以中标公告的形式发布中标结果。</w:t>
      </w:r>
    </w:p>
    <w:p w14:paraId="46B23E8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（2）中标公告的公告期限为1个工作日。</w:t>
      </w:r>
    </w:p>
    <w:p w14:paraId="5BA8FDE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12.4中标通知书</w:t>
      </w:r>
    </w:p>
    <w:p w14:paraId="362787D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（1）中标公告发布的同时，</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将向中标人发出中标通知书。</w:t>
      </w:r>
    </w:p>
    <w:p w14:paraId="1EC0630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（2）中标通知书发出后，采购人不得违法改变中标结果，中标人无正当理由不得放弃中标。</w:t>
      </w:r>
    </w:p>
    <w:p w14:paraId="32D3925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13、政府采购合同</w:t>
      </w:r>
    </w:p>
    <w:p w14:paraId="589E6E7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13.1签订政府采购合同应遵守政府采购法及实施条例的规定，不得对招标文件确定的事项和中标人的投标文件作实质性修改。采购人不得向中标人提出任何不合理的要求作为政府采购合同的签订条件。</w:t>
      </w:r>
    </w:p>
    <w:p w14:paraId="76E5142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13.2签订时限：自中标通知书发出之日起30个日历日内。</w:t>
      </w:r>
    </w:p>
    <w:p w14:paraId="5F34EF2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13.3政府采购合同的履行、违约责任和解决争议的方法等适用民法典。</w:t>
      </w:r>
    </w:p>
    <w:p w14:paraId="37861E7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13.4采购人与中标人应根据政府采购合同的约定依法履行合同义务。</w:t>
      </w:r>
    </w:p>
    <w:p w14:paraId="5C15304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13.5政府采购合同履行过程中，采购人若需追加与合同标的相同的货物或服务，则追加采购金额不得超过原合同采购金额的10%。</w:t>
      </w:r>
    </w:p>
    <w:p w14:paraId="034A1A8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13.6中标人在政府采购合同履行过程中应遵守有关法律、法规和规章的强制性规定（即使前述强制性规定有可能在招标文件中未予列明）。</w:t>
      </w:r>
    </w:p>
    <w:p w14:paraId="6514E4C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496BD7A6">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七、询问、质疑与投诉</w:t>
      </w:r>
    </w:p>
    <w:p w14:paraId="450AE14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14、询问</w:t>
      </w:r>
    </w:p>
    <w:p w14:paraId="6DF48FC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14.1潜在投标人或投标人对本次采购活动的有关事项若有疑问，可向福建省招标中心有限责任公司提出询问，福建省招标中心有限责任公司将按照政府采购法及实施条例的有关规定进行答复。</w:t>
      </w:r>
    </w:p>
    <w:p w14:paraId="4753454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15、质疑</w:t>
      </w:r>
    </w:p>
    <w:p w14:paraId="39FC4DDA">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15.1</w:t>
      </w:r>
      <w:r>
        <w:rPr>
          <w:rFonts w:hint="eastAsia" w:ascii="宋体" w:hAnsi="宋体" w:eastAsia="宋体" w:cs="宋体"/>
          <w:color w:val="auto"/>
          <w:highlight w:val="none"/>
        </w:rPr>
        <w:t>针对同一采购程序环节的质疑应在政府采购法及实施条例的时限内一次性提出</w:t>
      </w:r>
      <w:r>
        <w:rPr>
          <w:rFonts w:hint="eastAsia" w:ascii="宋体" w:hAnsi="宋体" w:eastAsia="宋体" w:cs="宋体"/>
          <w:color w:val="auto"/>
          <w:spacing w:val="0"/>
          <w:highlight w:val="none"/>
        </w:rPr>
        <w:t>，对一个项目的不同采购包提出质疑的，应当将各采购包质疑事项集中在一份质疑函中提出，并同时符合下列条件：</w:t>
      </w:r>
    </w:p>
    <w:p w14:paraId="35A7054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（1）对招标文件提出质疑的，质疑人应为潜在投标人，且两者的身份、名称等均应保持一致。对采购过程、结果提出质疑的，质疑人应为投标人，且两者的身份、名称等均应保持一致。</w:t>
      </w:r>
    </w:p>
    <w:p w14:paraId="01F6657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（2）质疑人应按照招标文件第二章规定方式提交质疑函。</w:t>
      </w:r>
    </w:p>
    <w:p w14:paraId="5150D9D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（3）质疑函应包括下列主要内容：</w:t>
      </w:r>
    </w:p>
    <w:p w14:paraId="318BC3B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①质疑人的基本信息，至少包括：全称、地址、邮政编码等；</w:t>
      </w:r>
    </w:p>
    <w:p w14:paraId="0E8FD5E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②所质疑项目的基本信息，至少包括：项目编号、项目名称等；</w:t>
      </w:r>
    </w:p>
    <w:p w14:paraId="66D2F59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③所质疑的具体事项（以下简称：“质疑事项”）；</w:t>
      </w:r>
    </w:p>
    <w:p w14:paraId="05E56F5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针对质疑事项提出的明确请求，前述明确请求指质疑人提出质疑的目的以及希望福建省招标中心有限责任公司对其质疑作出的处理结果，如：暂停招标投标活动、修改招标文件、停止或纠正违法违规行为、中标结果无效、废标、重新招标等；</w:t>
      </w:r>
    </w:p>
    <w:p w14:paraId="39A266A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⑤针对质疑事项导致质疑人自身权益受到损害的必要证明材料，至少包括：</w:t>
      </w:r>
    </w:p>
    <w:p w14:paraId="041603A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a.质疑人代表的身份证明材料：</w:t>
      </w:r>
    </w:p>
    <w:p w14:paraId="61329AD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a1</w:t>
      </w:r>
      <w:r>
        <w:rPr>
          <w:rFonts w:hint="eastAsia" w:ascii="宋体" w:hAnsi="宋体" w:eastAsia="宋体" w:cs="宋体"/>
          <w:color w:val="auto"/>
          <w:highlight w:val="none"/>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r>
        <w:rPr>
          <w:rFonts w:hint="eastAsia" w:ascii="宋体" w:hAnsi="宋体" w:eastAsia="宋体" w:cs="宋体"/>
          <w:color w:val="auto"/>
          <w:spacing w:val="0"/>
          <w:highlight w:val="none"/>
        </w:rPr>
        <w:t>。</w:t>
      </w:r>
    </w:p>
    <w:p w14:paraId="384C9A7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a2若本项目接受自然人投标且质疑人为自然人的，提供本人的身份证复印件。</w:t>
      </w:r>
    </w:p>
    <w:p w14:paraId="5B7CBD2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w:t>
      </w:r>
      <w:r>
        <w:rPr>
          <w:rFonts w:hint="eastAsia" w:ascii="宋体" w:hAnsi="宋体" w:eastAsia="宋体" w:cs="宋体"/>
          <w:color w:val="auto"/>
          <w:highlight w:val="none"/>
        </w:rPr>
        <w:t>其他证明材料（即事实依据和必要的法律依据）</w:t>
      </w:r>
      <w:r>
        <w:rPr>
          <w:rFonts w:hint="eastAsia" w:ascii="宋体" w:hAnsi="宋体" w:eastAsia="宋体" w:cs="宋体"/>
          <w:color w:val="auto"/>
          <w:spacing w:val="0"/>
          <w:highlight w:val="none"/>
        </w:rPr>
        <w:t>包括但不限于下列材料：</w:t>
      </w:r>
    </w:p>
    <w:p w14:paraId="63BC272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b1所质疑的具体事项是与自已有利害关系的证明材料；</w:t>
      </w:r>
    </w:p>
    <w:p w14:paraId="5CDFC8F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b2质疑函所述事实存在的证明材料，如：采购文件、采购过程或中标结果违法违规或不符合采购文件要求等证明材料；</w:t>
      </w:r>
    </w:p>
    <w:p w14:paraId="2F12071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b3依法应终止采购程序的证明材料；</w:t>
      </w:r>
    </w:p>
    <w:p w14:paraId="27A596F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b4应重新采购的证明材料；</w:t>
      </w:r>
    </w:p>
    <w:p w14:paraId="2B2F22A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b5采购文件、采购过程或中标、成交结果损害自已合法权益的证明材料等；</w:t>
      </w:r>
    </w:p>
    <w:p w14:paraId="767A755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17"/>
          <w:rFonts w:hint="eastAsia" w:ascii="宋体" w:hAnsi="宋体" w:eastAsia="宋体" w:cs="宋体"/>
          <w:color w:val="auto"/>
          <w:spacing w:val="0"/>
          <w:sz w:val="24"/>
          <w:szCs w:val="24"/>
          <w:highlight w:val="none"/>
        </w:rPr>
        <w:t>视为无效</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highlight w:val="none"/>
        </w:rPr>
        <w:t>   ⑥质疑人代表及其联系方法的信息，至少包括：姓名、手机、电子信箱、邮寄地址等。</w:t>
      </w:r>
      <w:r>
        <w:rPr>
          <w:rFonts w:hint="eastAsia" w:ascii="宋体" w:hAnsi="宋体" w:eastAsia="宋体" w:cs="宋体"/>
          <w:color w:val="auto"/>
          <w:highlight w:val="none"/>
        </w:rPr>
        <w:br w:type="textWrapping"/>
      </w:r>
      <w:r>
        <w:rPr>
          <w:rFonts w:hint="eastAsia" w:ascii="宋体" w:hAnsi="宋体" w:eastAsia="宋体" w:cs="宋体"/>
          <w:color w:val="auto"/>
          <w:highlight w:val="none"/>
        </w:rPr>
        <w:t>   ⑦提出质疑的日期。</w:t>
      </w:r>
    </w:p>
    <w:p w14:paraId="6D184996">
      <w:pPr>
        <w:pStyle w:val="14"/>
        <w:keepNext w:val="0"/>
        <w:keepLines w:val="0"/>
        <w:widowControl/>
        <w:suppressLineNumbers w:val="0"/>
        <w:ind w:left="0" w:firstLine="480"/>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※质疑人为法人或其他组织的，质疑函应由单位负责人或委托代理人签字或盖章，并加盖投标人的单位公章。质疑人为自然人的，质疑函应由本人签字。</w:t>
      </w:r>
    </w:p>
    <w:p w14:paraId="553DEFB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15.2对不符合本章第15.1条规定的质疑，将按照下列规定进行处理：</w:t>
      </w:r>
    </w:p>
    <w:p w14:paraId="195D499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（1）不符合其中第（1）、（2）条规定的，书面告知质疑人不予受理及其理由。</w:t>
      </w:r>
    </w:p>
    <w:p w14:paraId="642AA59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（2）不符合其中第（3）条规定的，书面告知质疑人修改、补充后在规定时限内重新提交质疑函。</w:t>
      </w:r>
    </w:p>
    <w:p w14:paraId="275432F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15.3对符合本章第15.1条规定的质疑，将按照政府采购法及实施条例</w:t>
      </w:r>
      <w:r>
        <w:rPr>
          <w:rFonts w:hint="eastAsia" w:ascii="宋体" w:hAnsi="宋体" w:eastAsia="宋体" w:cs="宋体"/>
          <w:color w:val="auto"/>
          <w:highlight w:val="none"/>
        </w:rPr>
        <w:t>、政府采购质疑和投诉办法</w:t>
      </w:r>
      <w:r>
        <w:rPr>
          <w:rFonts w:hint="eastAsia" w:ascii="宋体" w:hAnsi="宋体" w:eastAsia="宋体" w:cs="宋体"/>
          <w:color w:val="auto"/>
          <w:spacing w:val="0"/>
          <w:highlight w:val="none"/>
        </w:rPr>
        <w:t>的有关规定进行答复。</w:t>
      </w:r>
    </w:p>
    <w:p w14:paraId="7DC7BCE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15.4招标文件的质疑：详见招标文件第二章。</w:t>
      </w:r>
    </w:p>
    <w:p w14:paraId="55BE6AD1">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16、投诉</w:t>
      </w:r>
    </w:p>
    <w:p w14:paraId="142F6184">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4"/>
          <w:szCs w:val="24"/>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5CA800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16.2投诉应有明确的请求和必要的证明材料，投诉的事项不得超出已质疑事项的范围。</w:t>
      </w:r>
    </w:p>
    <w:p w14:paraId="4274185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2B93BF3C">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八、政府采购政策</w:t>
      </w:r>
    </w:p>
    <w:p w14:paraId="63472A1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17、政府采购政策由财政部根据国家的经济和社会发展政策并会同国家有关部委制定，包括但不限于下列具体政策要求：</w:t>
      </w:r>
    </w:p>
    <w:p w14:paraId="1D5F7A2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17.1进口产品指通过中国海关报关验放进入中国境内且产自关境外的产品，其中：</w:t>
      </w:r>
    </w:p>
    <w:p w14:paraId="4D88788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4BB12AC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（2）凡在海关特殊监管区域内企业生产或加工（包括从境外进口料件）销往境内其他地区的产品，不作为政府采购项下进口产品。</w:t>
      </w:r>
    </w:p>
    <w:p w14:paraId="4B639E5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（3）对从境外进入海关特殊监管区域，再经办理报关手续后从海关特殊监管区进入境内其他地区的产品，认定为进口产品。</w:t>
      </w:r>
    </w:p>
    <w:p w14:paraId="3AD76AF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（4）招标文件列明不允许或未列明允许进口产品参加投标的，均视为拒绝进口产品参加投标。</w:t>
      </w:r>
    </w:p>
    <w:p w14:paraId="79BACF5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8E59B7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14:paraId="16D80402">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4"/>
          <w:szCs w:val="24"/>
          <w:highlight w:val="none"/>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Pr>
          <w:rStyle w:val="17"/>
          <w:rFonts w:hint="eastAsia" w:ascii="宋体" w:hAnsi="宋体" w:eastAsia="宋体" w:cs="宋体"/>
          <w:color w:val="auto"/>
          <w:highlight w:val="none"/>
        </w:rPr>
        <w:t>“残疾人福利性单位”</w:t>
      </w:r>
      <w:r>
        <w:rPr>
          <w:rFonts w:hint="eastAsia" w:ascii="宋体" w:hAnsi="宋体" w:eastAsia="宋体" w:cs="宋体"/>
          <w:color w:val="auto"/>
          <w:sz w:val="24"/>
          <w:szCs w:val="24"/>
          <w:highlight w:val="none"/>
        </w:rPr>
        <w:t>）亦可享受前述扶持政策。其中：</w:t>
      </w:r>
    </w:p>
    <w:p w14:paraId="49B4D386">
      <w:pPr>
        <w:pStyle w:val="14"/>
        <w:keepNext w:val="0"/>
        <w:keepLines w:val="0"/>
        <w:widowControl/>
        <w:suppressLineNumbers w:val="0"/>
        <w:spacing w:before="75" w:beforeAutospacing="0" w:after="75" w:afterAutospacing="0"/>
        <w:ind w:left="0" w:firstLine="240"/>
        <w:rPr>
          <w:rFonts w:hint="eastAsia" w:ascii="宋体" w:hAnsi="宋体" w:eastAsia="宋体" w:cs="宋体"/>
          <w:color w:val="auto"/>
          <w:highlight w:val="none"/>
        </w:rPr>
      </w:pPr>
      <w:r>
        <w:rPr>
          <w:rFonts w:hint="eastAsia" w:ascii="宋体" w:hAnsi="宋体" w:eastAsia="宋体" w:cs="宋体"/>
          <w:color w:val="auto"/>
          <w:sz w:val="24"/>
          <w:szCs w:val="24"/>
          <w:highlight w:val="none"/>
        </w:rPr>
        <w:t>（1）中小企业指符合下列条件的中型、小型、微型企业：</w:t>
      </w:r>
    </w:p>
    <w:p w14:paraId="772E24E7">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01EC6DF">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②符合中小企业划分标准的个体工商户，在政府采购活动中视同中小企业。</w:t>
      </w:r>
    </w:p>
    <w:p w14:paraId="6A4559CA">
      <w:pPr>
        <w:pStyle w:val="14"/>
        <w:keepNext w:val="0"/>
        <w:keepLines w:val="0"/>
        <w:widowControl/>
        <w:suppressLineNumbers w:val="0"/>
        <w:spacing w:before="75" w:beforeAutospacing="0" w:after="75" w:afterAutospacing="0"/>
        <w:ind w:left="0" w:firstLine="240"/>
        <w:rPr>
          <w:rFonts w:hint="eastAsia" w:ascii="宋体" w:hAnsi="宋体" w:eastAsia="宋体" w:cs="宋体"/>
          <w:color w:val="auto"/>
          <w:highlight w:val="none"/>
        </w:rPr>
      </w:pPr>
      <w:r>
        <w:rPr>
          <w:rFonts w:hint="eastAsia" w:ascii="宋体" w:hAnsi="宋体" w:eastAsia="宋体" w:cs="宋体"/>
          <w:color w:val="auto"/>
          <w:sz w:val="24"/>
          <w:szCs w:val="24"/>
          <w:highlight w:val="none"/>
        </w:rPr>
        <w:t>（2）在政府采购活动中，供应商提供的货物、工程或者服务符合下列情形的，享受本办法规定的中小企业扶持政策：</w:t>
      </w:r>
    </w:p>
    <w:p w14:paraId="3596E8D3">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①在货物采购项目中，货物由中小企业制造，即货物由中小企业生产且使用该中小企业商号或者注册商标；</w:t>
      </w:r>
    </w:p>
    <w:p w14:paraId="13417E22">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②在工程采购项目中，工程由中小企业承建，即工程施工单位为中小企业；</w:t>
      </w:r>
    </w:p>
    <w:p w14:paraId="645C2E91">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③在服务采购项目中，服务由中小企业承接，即提供服务的人员为中小企业依照《中华人民共和国劳动合同法》 订立劳动合同的从业人员。</w:t>
      </w:r>
    </w:p>
    <w:p w14:paraId="00D2598D">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在货物采购项目中，供应商提供的货物既有中小企业制造货物，也有大型企业制造货物的，不享受本办法规定的中小企业扶持政策。</w:t>
      </w:r>
    </w:p>
    <w:p w14:paraId="77C27D63">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14:paraId="535DC89B">
      <w:pPr>
        <w:pStyle w:val="14"/>
        <w:keepNext w:val="0"/>
        <w:keepLines w:val="0"/>
        <w:widowControl/>
        <w:suppressLineNumbers w:val="0"/>
        <w:spacing w:before="75" w:beforeAutospacing="0" w:after="75" w:afterAutospacing="0"/>
        <w:ind w:left="0" w:firstLine="240"/>
        <w:rPr>
          <w:rFonts w:hint="eastAsia" w:ascii="宋体" w:hAnsi="宋体" w:eastAsia="宋体" w:cs="宋体"/>
          <w:color w:val="auto"/>
          <w:highlight w:val="none"/>
        </w:rPr>
      </w:pPr>
      <w:r>
        <w:rPr>
          <w:rFonts w:hint="eastAsia" w:ascii="宋体" w:hAnsi="宋体" w:eastAsia="宋体" w:cs="宋体"/>
          <w:color w:val="auto"/>
          <w:sz w:val="24"/>
          <w:szCs w:val="24"/>
          <w:highlight w:val="none"/>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8B8B90D">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①监狱企业参加采购活动时，应提供由省级以上监狱管理局、戒毒管理局（含新疆生产建设兵团）出具的属于监狱企业的证明文件。</w:t>
      </w:r>
    </w:p>
    <w:p w14:paraId="587AD346">
      <w:pPr>
        <w:pStyle w:val="14"/>
        <w:keepNext w:val="0"/>
        <w:keepLines w:val="0"/>
        <w:widowControl/>
        <w:suppressLineNumbers w:val="0"/>
        <w:spacing w:before="75" w:beforeAutospacing="0" w:after="240"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②监狱企业视同小型、微型企业。</w:t>
      </w:r>
    </w:p>
    <w:p w14:paraId="06D9A81D">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（4）残疾人福利性单位指同时符合下列条件的单位：</w:t>
      </w:r>
    </w:p>
    <w:p w14:paraId="2555D192">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①安置的残疾人占本单位在职职工人数的比例不低于25%（含25%），并且安置的残疾人人数不少于10人（含10人）；</w:t>
      </w:r>
    </w:p>
    <w:p w14:paraId="0BA1C6DD">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②依法与安置的每位残疾人签订了一年以上（含一年）的劳动合同或服务协议；</w:t>
      </w:r>
    </w:p>
    <w:p w14:paraId="345E2D42">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③为安置的每位残疾人按月足额缴纳了基本养老保险、基本医疗保险、失业保险、工伤保险和生育保险等社会保险费；</w:t>
      </w:r>
    </w:p>
    <w:p w14:paraId="03A9F18B">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④通过银行等金融机构向安置的每位残疾人，按月支付了不低于单位所在区县适用的经省级人民政府批准的月最低工资标准的工资；</w:t>
      </w:r>
    </w:p>
    <w:p w14:paraId="78356FA6">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⑤提供本单位制造的货物、承担的工程或服务，或提供其他残疾人福利性单位制造的货物（不包括使用非残疾人福利性单位注册商标的货物）。</w:t>
      </w:r>
    </w:p>
    <w:p w14:paraId="184D8DBE">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91ED70B">
      <w:pPr>
        <w:pStyle w:val="14"/>
        <w:keepNext w:val="0"/>
        <w:keepLines w:val="0"/>
        <w:widowControl/>
        <w:suppressLineNumbers w:val="0"/>
        <w:spacing w:before="75" w:beforeAutospacing="0" w:after="75" w:afterAutospacing="0"/>
        <w:ind w:left="0" w:firstLine="480"/>
        <w:rPr>
          <w:rFonts w:hint="eastAsia" w:ascii="宋体" w:hAnsi="宋体" w:eastAsia="宋体" w:cs="宋体"/>
          <w:color w:val="auto"/>
          <w:highlight w:val="none"/>
        </w:rPr>
      </w:pPr>
      <w:r>
        <w:rPr>
          <w:rStyle w:val="17"/>
          <w:rFonts w:hint="eastAsia" w:ascii="宋体" w:hAnsi="宋体" w:eastAsia="宋体" w:cs="宋体"/>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E470D7A">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17.5信用记录指由财政部确定的有关网站提供的相关主体信用信息。信用记录的查询及使用应符合财政部文件（财库[2016]125号）规定。</w:t>
      </w:r>
    </w:p>
    <w:p w14:paraId="3EDF4BE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17.6为落实政府采购政策需满足的要求：详见招标文件第一章。</w:t>
      </w:r>
    </w:p>
    <w:p w14:paraId="4CBAA1E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497873B5">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九、本项目的有关信息</w:t>
      </w:r>
    </w:p>
    <w:p w14:paraId="136A6A6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18、本项目的有关信息，包括但不限于：招标公告、更正公告（若有）、招标文件、招标文件的澄清或修改（若有）、中标公告、终止公告（若有）、废标公告（若有）等都将在招标文件载明的指定媒体发布。</w:t>
      </w:r>
    </w:p>
    <w:p w14:paraId="6B0ADFB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18.1指定媒体：详见招标文件第二章。</w:t>
      </w:r>
    </w:p>
    <w:p w14:paraId="6F3AEB2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18.2本项目的潜在投标人或投标人应随时关注指定媒体，否则产生不利后果由其自行承担。</w:t>
      </w:r>
    </w:p>
    <w:p w14:paraId="58BB0D3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056062D7">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十、其他事项</w:t>
      </w:r>
    </w:p>
    <w:p w14:paraId="602B154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19、其他事项：</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  </w:t>
      </w:r>
      <w:r>
        <w:rPr>
          <w:rFonts w:hint="eastAsia" w:ascii="宋体" w:hAnsi="宋体" w:eastAsia="宋体" w:cs="宋体"/>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62A3E0A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highlight w:val="none"/>
        </w:rPr>
        <w:t>   19.2其他：详见招标文件第二章。</w:t>
      </w:r>
    </w:p>
    <w:p w14:paraId="75ED02B5">
      <w:pPr>
        <w:pStyle w:val="14"/>
        <w:keepNext w:val="0"/>
        <w:keepLines w:val="0"/>
        <w:widowControl/>
        <w:suppressLineNumbers w:val="0"/>
        <w:spacing w:before="75" w:beforeAutospacing="0" w:after="240" w:afterAutospacing="0"/>
        <w:ind w:left="0" w:right="0" w:firstLine="0"/>
        <w:rPr>
          <w:rFonts w:hint="eastAsia" w:ascii="宋体" w:hAnsi="宋体" w:eastAsia="宋体" w:cs="宋体"/>
          <w:color w:val="auto"/>
          <w:highlight w:val="none"/>
        </w:rPr>
      </w:pPr>
    </w:p>
    <w:p w14:paraId="0129F9E3">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2903B7D6">
      <w:pPr>
        <w:pStyle w:val="14"/>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auto"/>
          <w:spacing w:val="0"/>
          <w:sz w:val="27"/>
          <w:szCs w:val="27"/>
          <w:highlight w:val="none"/>
        </w:rPr>
      </w:pPr>
      <w:r>
        <w:rPr>
          <w:rFonts w:hint="eastAsia" w:ascii="宋体" w:hAnsi="宋体" w:eastAsia="宋体" w:cs="宋体"/>
          <w:i w:val="0"/>
          <w:iCs w:val="0"/>
          <w:caps w:val="0"/>
          <w:color w:val="auto"/>
          <w:spacing w:val="0"/>
          <w:sz w:val="24"/>
          <w:szCs w:val="24"/>
          <w:highlight w:val="none"/>
        </w:rPr>
        <w:t> </w:t>
      </w:r>
    </w:p>
    <w:p w14:paraId="26D2AA97">
      <w:pPr>
        <w:pStyle w:val="14"/>
        <w:keepNext w:val="0"/>
        <w:keepLines w:val="0"/>
        <w:widowControl/>
        <w:suppressLineNumbers w:val="0"/>
        <w:spacing w:before="75" w:beforeAutospacing="0" w:after="240"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1C2FB8CE">
      <w:pPr>
        <w:rPr>
          <w:rStyle w:val="17"/>
          <w:rFonts w:hint="eastAsia" w:ascii="宋体" w:hAnsi="宋体" w:eastAsia="宋体" w:cs="宋体"/>
          <w:color w:val="auto"/>
          <w:spacing w:val="0"/>
          <w:sz w:val="31"/>
          <w:szCs w:val="31"/>
          <w:highlight w:val="none"/>
        </w:rPr>
      </w:pPr>
      <w:r>
        <w:rPr>
          <w:rStyle w:val="17"/>
          <w:rFonts w:hint="eastAsia" w:ascii="宋体" w:hAnsi="宋体" w:eastAsia="宋体" w:cs="宋体"/>
          <w:color w:val="auto"/>
          <w:spacing w:val="0"/>
          <w:sz w:val="31"/>
          <w:szCs w:val="31"/>
          <w:highlight w:val="none"/>
        </w:rPr>
        <w:br w:type="page"/>
      </w:r>
    </w:p>
    <w:p w14:paraId="0884A6BD">
      <w:pPr>
        <w:pStyle w:val="14"/>
        <w:keepNext w:val="0"/>
        <w:keepLines w:val="0"/>
        <w:widowControl/>
        <w:suppressLineNumbers w:val="0"/>
        <w:spacing w:before="75" w:beforeAutospacing="0" w:after="75" w:afterAutospacing="0"/>
        <w:ind w:left="0" w:right="0" w:firstLine="0"/>
        <w:jc w:val="center"/>
        <w:outlineLvl w:val="0"/>
        <w:rPr>
          <w:rFonts w:hint="eastAsia" w:ascii="宋体" w:hAnsi="宋体" w:eastAsia="宋体" w:cs="宋体"/>
          <w:color w:val="auto"/>
          <w:highlight w:val="none"/>
        </w:rPr>
      </w:pPr>
      <w:bookmarkStart w:id="5" w:name="_Toc31231"/>
      <w:r>
        <w:rPr>
          <w:rStyle w:val="17"/>
          <w:rFonts w:hint="eastAsia" w:ascii="宋体" w:hAnsi="宋体" w:eastAsia="宋体" w:cs="宋体"/>
          <w:color w:val="auto"/>
          <w:spacing w:val="0"/>
          <w:sz w:val="31"/>
          <w:szCs w:val="31"/>
          <w:highlight w:val="none"/>
        </w:rPr>
        <w:t>第四章   资格审查与评标</w:t>
      </w:r>
      <w:bookmarkEnd w:id="5"/>
    </w:p>
    <w:p w14:paraId="08D1DD18">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504AAFB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1B7D7C59">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一、资格审查</w:t>
      </w:r>
    </w:p>
    <w:p w14:paraId="5E85486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1、开标结束后，由</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负责资格审查小组的组建及资格审查工作的组织。</w:t>
      </w:r>
    </w:p>
    <w:p w14:paraId="141FEE9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1.1资格审查小组由3人组成，并负责具体审查事务，其中：由采购人派出的采购人代表至少</w:t>
      </w:r>
      <w:r>
        <w:rPr>
          <w:rFonts w:hint="eastAsia" w:ascii="宋体" w:hAnsi="宋体" w:eastAsia="宋体" w:cs="宋体"/>
          <w:color w:val="auto"/>
          <w:spacing w:val="0"/>
          <w:sz w:val="24"/>
          <w:szCs w:val="24"/>
          <w:highlight w:val="none"/>
          <w:u w:val="single"/>
        </w:rPr>
        <w:t>1</w:t>
      </w:r>
      <w:r>
        <w:rPr>
          <w:rFonts w:hint="eastAsia" w:ascii="宋体" w:hAnsi="宋体" w:eastAsia="宋体" w:cs="宋体"/>
          <w:color w:val="auto"/>
          <w:spacing w:val="0"/>
          <w:sz w:val="24"/>
          <w:szCs w:val="24"/>
          <w:highlight w:val="none"/>
        </w:rPr>
        <w:t>人，由</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派出的工作人员至少</w:t>
      </w:r>
      <w:r>
        <w:rPr>
          <w:rFonts w:hint="eastAsia" w:ascii="宋体" w:hAnsi="宋体" w:eastAsia="宋体" w:cs="宋体"/>
          <w:color w:val="auto"/>
          <w:spacing w:val="0"/>
          <w:sz w:val="24"/>
          <w:szCs w:val="24"/>
          <w:highlight w:val="none"/>
          <w:u w:val="single"/>
        </w:rPr>
        <w:t>1</w:t>
      </w:r>
      <w:r>
        <w:rPr>
          <w:rFonts w:hint="eastAsia" w:ascii="宋体" w:hAnsi="宋体" w:eastAsia="宋体" w:cs="宋体"/>
          <w:color w:val="auto"/>
          <w:spacing w:val="0"/>
          <w:sz w:val="24"/>
          <w:szCs w:val="24"/>
          <w:highlight w:val="none"/>
        </w:rPr>
        <w:t>人，其余</w:t>
      </w:r>
      <w:r>
        <w:rPr>
          <w:rFonts w:hint="eastAsia" w:ascii="宋体" w:hAnsi="宋体" w:eastAsia="宋体" w:cs="宋体"/>
          <w:color w:val="auto"/>
          <w:spacing w:val="0"/>
          <w:sz w:val="24"/>
          <w:szCs w:val="24"/>
          <w:highlight w:val="none"/>
          <w:u w:val="single"/>
        </w:rPr>
        <w:t>1</w:t>
      </w:r>
      <w:r>
        <w:rPr>
          <w:rFonts w:hint="eastAsia" w:ascii="宋体" w:hAnsi="宋体" w:eastAsia="宋体" w:cs="宋体"/>
          <w:color w:val="auto"/>
          <w:spacing w:val="0"/>
          <w:sz w:val="24"/>
          <w:szCs w:val="24"/>
          <w:highlight w:val="none"/>
        </w:rPr>
        <w:t>人可为采购人代表或</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的工作人员。</w:t>
      </w:r>
    </w:p>
    <w:p w14:paraId="28214A0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1.2资格审查的依据是招标文件和投标文件。</w:t>
      </w:r>
    </w:p>
    <w:p w14:paraId="5497370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1.3资格审查的范围及内容：投标文件（资格及资信证明部分），具体如下：</w:t>
      </w:r>
    </w:p>
    <w:p w14:paraId="43C1F4A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4"/>
          <w:szCs w:val="24"/>
          <w:highlight w:val="none"/>
        </w:rPr>
        <w:t>  （1）</w:t>
      </w:r>
      <w:r>
        <w:rPr>
          <w:rFonts w:hint="eastAsia" w:ascii="宋体" w:hAnsi="宋体" w:eastAsia="宋体" w:cs="宋体"/>
          <w:color w:val="auto"/>
          <w:spacing w:val="0"/>
          <w:highlight w:val="none"/>
        </w:rPr>
        <w:t>“投标函”；</w:t>
      </w:r>
      <w:r>
        <w:rPr>
          <w:rFonts w:hint="eastAsia" w:ascii="宋体" w:hAnsi="宋体" w:eastAsia="宋体" w:cs="宋体"/>
          <w:color w:val="auto"/>
          <w:spacing w:val="0"/>
          <w:highlight w:val="none"/>
        </w:rPr>
        <w:br w:type="textWrapping"/>
      </w:r>
      <w:r>
        <w:rPr>
          <w:rFonts w:hint="eastAsia" w:ascii="宋体" w:hAnsi="宋体" w:eastAsia="宋体" w:cs="宋体"/>
          <w:color w:val="auto"/>
          <w:spacing w:val="0"/>
          <w:highlight w:val="none"/>
        </w:rPr>
        <w:t>  （2）“投标人的资格及资信证明文件”</w:t>
      </w:r>
      <w:r>
        <w:rPr>
          <w:rFonts w:hint="eastAsia" w:ascii="宋体" w:hAnsi="宋体" w:eastAsia="宋体" w:cs="宋体"/>
          <w:color w:val="auto"/>
          <w:spacing w:val="0"/>
          <w:highlight w:val="none"/>
        </w:rPr>
        <w:br w:type="textWrapping"/>
      </w:r>
      <w:r>
        <w:rPr>
          <w:rFonts w:hint="eastAsia" w:ascii="宋体" w:hAnsi="宋体" w:eastAsia="宋体" w:cs="宋体"/>
          <w:color w:val="auto"/>
          <w:spacing w:val="0"/>
          <w:highlight w:val="none"/>
        </w:rPr>
        <w:t>   </w:t>
      </w:r>
      <w:r>
        <w:rPr>
          <w:rFonts w:hint="eastAsia" w:ascii="宋体" w:hAnsi="宋体" w:eastAsia="宋体" w:cs="宋体"/>
          <w:color w:val="auto"/>
          <w:highlight w:val="none"/>
        </w:rPr>
        <w:t>①</w:t>
      </w:r>
      <w:r>
        <w:rPr>
          <w:rFonts w:hint="eastAsia" w:ascii="宋体" w:hAnsi="宋体" w:eastAsia="宋体" w:cs="宋体"/>
          <w:color w:val="auto"/>
          <w:spacing w:val="0"/>
          <w:highlight w:val="none"/>
        </w:rPr>
        <w:t>一般资格证明文件：</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308"/>
        <w:gridCol w:w="6018"/>
      </w:tblGrid>
      <w:tr w14:paraId="70C4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2308" w:type="dxa"/>
            <w:shd w:val="clear" w:color="auto" w:fill="auto"/>
            <w:vAlign w:val="center"/>
          </w:tcPr>
          <w:p w14:paraId="1D215DE4">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c>
          <w:tcPr>
            <w:tcW w:w="6018" w:type="dxa"/>
            <w:shd w:val="clear" w:color="auto" w:fill="auto"/>
            <w:vAlign w:val="center"/>
          </w:tcPr>
          <w:p w14:paraId="3B2EBA38">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描述</w:t>
            </w:r>
          </w:p>
        </w:tc>
      </w:tr>
      <w:tr w14:paraId="1351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3117977A">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（1）单位授权书</w:t>
            </w:r>
          </w:p>
        </w:tc>
        <w:tc>
          <w:tcPr>
            <w:tcW w:w="6018" w:type="dxa"/>
            <w:shd w:val="clear" w:color="auto" w:fill="auto"/>
            <w:vAlign w:val="center"/>
          </w:tcPr>
          <w:p w14:paraId="5C3F6838">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4D6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36A05489">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（2）营业执照等证明文件</w:t>
            </w:r>
          </w:p>
        </w:tc>
        <w:tc>
          <w:tcPr>
            <w:tcW w:w="6018" w:type="dxa"/>
            <w:shd w:val="clear" w:color="auto" w:fill="auto"/>
            <w:vAlign w:val="center"/>
          </w:tcPr>
          <w:p w14:paraId="79B4B519">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6B5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297AEDEB">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（3）提供财务状况报告（财务报告、或资信证明）</w:t>
            </w:r>
          </w:p>
        </w:tc>
        <w:tc>
          <w:tcPr>
            <w:tcW w:w="6018" w:type="dxa"/>
            <w:shd w:val="clear" w:color="auto" w:fill="auto"/>
            <w:vAlign w:val="center"/>
          </w:tcPr>
          <w:p w14:paraId="4BAD5083">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2D1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7D432C89">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（4）依法缴纳税收证明材料</w:t>
            </w:r>
          </w:p>
        </w:tc>
        <w:tc>
          <w:tcPr>
            <w:tcW w:w="6018" w:type="dxa"/>
            <w:shd w:val="clear" w:color="auto" w:fill="auto"/>
            <w:vAlign w:val="center"/>
          </w:tcPr>
          <w:p w14:paraId="028311DD">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①投标人提供的税收凭据复印件应符合下列规定： a.投标截止时间前（不含投标截止时间的当月）已依法缴纳税收的投标人，提供投标截止时间前六个月（不含投标截止时间的当月）中任一月份的税收凭据复印件。 b.投标截止时间的当月成立且已依法缴纳税收的投标人，提供投标截止时间当月的税收凭据复印件。 c.投标截止时间的当月成立但因税务机关原因导致其尚未依法缴纳税收的投标人，提供依法缴纳税收承诺书（格式自拟），该承诺书视同税收凭据。</w:t>
            </w:r>
          </w:p>
        </w:tc>
      </w:tr>
      <w:tr w14:paraId="71FE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0CDADBD1">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（5）依法缴纳社会保障资金证明材料</w:t>
            </w:r>
          </w:p>
        </w:tc>
        <w:tc>
          <w:tcPr>
            <w:tcW w:w="6018" w:type="dxa"/>
            <w:shd w:val="clear" w:color="auto" w:fill="auto"/>
            <w:vAlign w:val="center"/>
          </w:tcPr>
          <w:p w14:paraId="1FD20814">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①投标人提供的社会保险凭据复印件应符合下列规定： a.投标截止时间前（不含投标截止时间的当月）已依法缴纳社会保障资金的投标人，提供投标截止时间前六个月（不含投标截止时间的当月）中任一月份的社会保险凭据复印件。 b.投标截止时间的当月成立且已依法缴纳社会保障资金的投标人，提供投标截止时间当月的社会保险凭据复印件。 c.投标截止标截止时间的当月成立但因税务机关/社会保障资金管理机关原因导致其尚未依法缴纳社会保障资金的投标人，提供依法缴纳社会保障资金承诺书（格式自拟），该承诺书视同社会保险凭据。</w:t>
            </w:r>
          </w:p>
        </w:tc>
      </w:tr>
      <w:tr w14:paraId="2151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5690558F">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（6）具备履行合同所必需设备和专业技术能力的声明函(若有)</w:t>
            </w:r>
          </w:p>
        </w:tc>
        <w:tc>
          <w:tcPr>
            <w:tcW w:w="6018" w:type="dxa"/>
            <w:shd w:val="clear" w:color="auto" w:fill="auto"/>
            <w:vAlign w:val="center"/>
          </w:tcPr>
          <w:p w14:paraId="0D2D37B3">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D7A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5980FB8E">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（7）参加采购活动前三年内在经营活动中没有重大违法记录的声明</w:t>
            </w:r>
          </w:p>
        </w:tc>
        <w:tc>
          <w:tcPr>
            <w:tcW w:w="6018" w:type="dxa"/>
            <w:shd w:val="clear" w:color="auto" w:fill="auto"/>
            <w:vAlign w:val="center"/>
          </w:tcPr>
          <w:p w14:paraId="15FF9560">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854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38987248">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（8）信用记录查询结果</w:t>
            </w:r>
          </w:p>
        </w:tc>
        <w:tc>
          <w:tcPr>
            <w:tcW w:w="6018" w:type="dxa"/>
            <w:shd w:val="clear" w:color="auto" w:fill="auto"/>
            <w:vAlign w:val="center"/>
          </w:tcPr>
          <w:p w14:paraId="217FD0A0">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5B6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308" w:type="dxa"/>
            <w:shd w:val="clear" w:color="auto" w:fill="auto"/>
            <w:vAlign w:val="center"/>
          </w:tcPr>
          <w:p w14:paraId="456AF24C">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（9）中小企业声明函（以资格条件落实中小企业扶持政策时适用 ）</w:t>
            </w:r>
          </w:p>
        </w:tc>
        <w:tc>
          <w:tcPr>
            <w:tcW w:w="6018" w:type="dxa"/>
            <w:shd w:val="clear" w:color="auto" w:fill="auto"/>
            <w:vAlign w:val="center"/>
          </w:tcPr>
          <w:p w14:paraId="2236F918">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E9C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trPr>
        <w:tc>
          <w:tcPr>
            <w:tcW w:w="2308" w:type="dxa"/>
            <w:shd w:val="clear" w:color="auto" w:fill="auto"/>
            <w:vAlign w:val="center"/>
          </w:tcPr>
          <w:p w14:paraId="700E52D7">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（10）联合体协议（若有）</w:t>
            </w:r>
          </w:p>
        </w:tc>
        <w:tc>
          <w:tcPr>
            <w:tcW w:w="6018" w:type="dxa"/>
            <w:shd w:val="clear" w:color="auto" w:fill="auto"/>
            <w:vAlign w:val="center"/>
          </w:tcPr>
          <w:p w14:paraId="7B7D15F0">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①招标文件接受联合体投标且投标人为联合体的，投标人应提供本协议；否则无须提供。 ②本协议由委托代理人签字或盖章的，应按照招标文件第七章载明的格式提供“单位授权书”。</w:t>
            </w:r>
          </w:p>
        </w:tc>
      </w:tr>
    </w:tbl>
    <w:p w14:paraId="0EF39FDE">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   </w:t>
      </w:r>
    </w:p>
    <w:p w14:paraId="0299158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备注说明</w:t>
      </w:r>
    </w:p>
    <w:p w14:paraId="5CDFA12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4"/>
          <w:szCs w:val="24"/>
          <w:highlight w:val="none"/>
        </w:rPr>
        <w:t>①投标人应根据自身实际情况提供上述资格要求的证明材料，格式可参考招标文件第七章提供。</w:t>
      </w:r>
    </w:p>
    <w:p w14:paraId="6C9A964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4"/>
          <w:szCs w:val="24"/>
          <w:highlight w:val="none"/>
        </w:rPr>
        <w:t>②投标人提供的相应证明材料复印件均应符合：内容完整、清晰、整洁，并由投标人加盖其单位公章。</w:t>
      </w:r>
    </w:p>
    <w:p w14:paraId="492E4A3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highlight w:val="none"/>
        </w:rPr>
        <w:t>   ②.其他资格证明文件：</w:t>
      </w:r>
    </w:p>
    <w:p w14:paraId="28847911">
      <w:pPr>
        <w:pStyle w:val="14"/>
        <w:keepNext w:val="0"/>
        <w:keepLines w:val="0"/>
        <w:widowControl/>
        <w:suppressLineNumbers w:val="0"/>
        <w:spacing w:before="75" w:beforeAutospacing="0" w:after="75" w:afterAutospacing="0"/>
        <w:ind w:right="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包：1</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747"/>
        <w:gridCol w:w="4579"/>
      </w:tblGrid>
      <w:tr w14:paraId="1A41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3747" w:type="dxa"/>
            <w:shd w:val="clear" w:color="auto" w:fill="auto"/>
            <w:vAlign w:val="center"/>
          </w:tcPr>
          <w:p w14:paraId="04812A82">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c>
          <w:tcPr>
            <w:tcW w:w="4579" w:type="dxa"/>
            <w:shd w:val="clear" w:color="auto" w:fill="auto"/>
            <w:vAlign w:val="center"/>
          </w:tcPr>
          <w:p w14:paraId="5A4EE014">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描述</w:t>
            </w:r>
          </w:p>
        </w:tc>
      </w:tr>
      <w:tr w14:paraId="7945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3747" w:type="dxa"/>
            <w:shd w:val="clear" w:color="auto" w:fill="auto"/>
            <w:vAlign w:val="center"/>
          </w:tcPr>
          <w:p w14:paraId="3B344500">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无</w:t>
            </w:r>
          </w:p>
        </w:tc>
        <w:tc>
          <w:tcPr>
            <w:tcW w:w="4579" w:type="dxa"/>
            <w:shd w:val="clear" w:color="auto" w:fill="auto"/>
            <w:vAlign w:val="center"/>
          </w:tcPr>
          <w:p w14:paraId="25DE56BA">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无</w:t>
            </w:r>
          </w:p>
        </w:tc>
      </w:tr>
    </w:tbl>
    <w:p w14:paraId="30DE272A">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spacing w:val="0"/>
          <w:kern w:val="0"/>
          <w:sz w:val="24"/>
          <w:szCs w:val="24"/>
          <w:highlight w:val="none"/>
          <w:lang w:val="en-US" w:eastAsia="zh-CN" w:bidi="ar"/>
        </w:rPr>
        <w:t>  （3）投标保证金。</w:t>
      </w:r>
    </w:p>
    <w:p w14:paraId="5C2BADB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1.4有下列情形之一的，</w:t>
      </w:r>
      <w:r>
        <w:rPr>
          <w:rStyle w:val="17"/>
          <w:rFonts w:hint="eastAsia" w:ascii="宋体" w:hAnsi="宋体" w:eastAsia="宋体" w:cs="宋体"/>
          <w:color w:val="auto"/>
          <w:spacing w:val="0"/>
          <w:sz w:val="24"/>
          <w:szCs w:val="24"/>
          <w:highlight w:val="none"/>
        </w:rPr>
        <w:t>资格审查不合格：</w:t>
      </w:r>
      <w:r>
        <w:rPr>
          <w:rStyle w:val="17"/>
          <w:rFonts w:hint="eastAsia" w:ascii="宋体" w:hAnsi="宋体" w:eastAsia="宋体" w:cs="宋体"/>
          <w:color w:val="auto"/>
          <w:spacing w:val="0"/>
          <w:sz w:val="24"/>
          <w:szCs w:val="24"/>
          <w:highlight w:val="none"/>
        </w:rPr>
        <w:br w:type="textWrapping"/>
      </w:r>
      <w:r>
        <w:rPr>
          <w:rFonts w:hint="eastAsia" w:ascii="宋体" w:hAnsi="宋体" w:eastAsia="宋体" w:cs="宋体"/>
          <w:color w:val="auto"/>
          <w:highlight w:val="none"/>
        </w:rPr>
        <w:t>  （1）一般情形：</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326"/>
      </w:tblGrid>
      <w:tr w14:paraId="52F2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8326" w:type="dxa"/>
            <w:shd w:val="clear" w:color="auto" w:fill="auto"/>
            <w:vAlign w:val="center"/>
          </w:tcPr>
          <w:p w14:paraId="5DC5AD55">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r>
      <w:tr w14:paraId="26D4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5095761A">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未按照招标文件规定提交投标函</w:t>
            </w:r>
          </w:p>
        </w:tc>
      </w:tr>
      <w:tr w14:paraId="1B85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1B059067">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未按照招标文件规定提交投标人的资格及资信文件</w:t>
            </w:r>
          </w:p>
        </w:tc>
      </w:tr>
      <w:tr w14:paraId="6254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3D3166BB">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未按照招标文件规定提交投标保证金</w:t>
            </w:r>
          </w:p>
        </w:tc>
      </w:tr>
    </w:tbl>
    <w:p w14:paraId="668666E8">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  （2）本项目规定的其他情形：</w:t>
      </w:r>
    </w:p>
    <w:p w14:paraId="2309FEAD">
      <w:pPr>
        <w:pStyle w:val="14"/>
        <w:keepNext w:val="0"/>
        <w:keepLines w:val="0"/>
        <w:widowControl/>
        <w:suppressLineNumbers w:val="0"/>
        <w:ind w:left="0" w:firstLine="480"/>
        <w:rPr>
          <w:rFonts w:hint="eastAsia" w:ascii="宋体" w:hAnsi="宋体" w:eastAsia="宋体" w:cs="宋体"/>
          <w:color w:val="auto"/>
          <w:highlight w:val="none"/>
        </w:rPr>
      </w:pPr>
      <w:r>
        <w:rPr>
          <w:rStyle w:val="17"/>
          <w:rFonts w:hint="eastAsia" w:ascii="宋体" w:hAnsi="宋体" w:eastAsia="宋体" w:cs="宋体"/>
          <w:color w:val="auto"/>
          <w:highlight w:val="none"/>
        </w:rPr>
        <w:t>包：1</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326"/>
      </w:tblGrid>
      <w:tr w14:paraId="0209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8326" w:type="dxa"/>
            <w:shd w:val="clear" w:color="auto" w:fill="auto"/>
            <w:vAlign w:val="center"/>
          </w:tcPr>
          <w:p w14:paraId="7A59DCDA">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r>
      <w:tr w14:paraId="7C56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79FC47A4">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无</w:t>
            </w:r>
          </w:p>
        </w:tc>
      </w:tr>
    </w:tbl>
    <w:p w14:paraId="6007041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F2BF57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2、资格审查情况不得私自外泄，有关信息由</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统一对外发布。</w:t>
      </w:r>
    </w:p>
    <w:p w14:paraId="536B9315">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3、资格审查合格的投标人不足三家的，不进行评标。同时，本次采购活动结束，</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将依法组织后续采购活动（包括但不限于：重新招标、采用其他方式采购等）。</w:t>
      </w:r>
    </w:p>
    <w:p w14:paraId="5E19094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6D9BC24D">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二、评标</w:t>
      </w:r>
    </w:p>
    <w:p w14:paraId="61564D29">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w:t>
      </w:r>
      <w:r>
        <w:rPr>
          <w:rFonts w:hint="eastAsia" w:ascii="宋体" w:hAnsi="宋体" w:eastAsia="宋体" w:cs="宋体"/>
          <w:color w:val="auto"/>
          <w:highlight w:val="none"/>
        </w:rPr>
        <w:t>资格审查结束后，由</w:t>
      </w:r>
      <w:r>
        <w:rPr>
          <w:rFonts w:hint="eastAsia" w:ascii="宋体" w:hAnsi="宋体" w:eastAsia="宋体" w:cs="宋体"/>
          <w:color w:val="auto"/>
          <w:spacing w:val="0"/>
          <w:highlight w:val="none"/>
        </w:rPr>
        <w:t>福建省招标中心有限责任公司负责评标委员会的组建及评标工作的组织。</w:t>
      </w:r>
    </w:p>
    <w:p w14:paraId="6C4432D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5、评标委员会</w:t>
      </w:r>
    </w:p>
    <w:p w14:paraId="0C729BC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5.1评标委员会由采购人代表和评标专家两部分共</w:t>
      </w:r>
      <w:r>
        <w:rPr>
          <w:rFonts w:hint="eastAsia" w:ascii="宋体" w:hAnsi="宋体" w:eastAsia="宋体" w:cs="宋体"/>
          <w:color w:val="auto"/>
          <w:spacing w:val="0"/>
          <w:sz w:val="24"/>
          <w:szCs w:val="24"/>
          <w:highlight w:val="none"/>
          <w:u w:val="single"/>
        </w:rPr>
        <w:t>7</w:t>
      </w:r>
      <w:r>
        <w:rPr>
          <w:rFonts w:hint="eastAsia" w:ascii="宋体" w:hAnsi="宋体" w:eastAsia="宋体" w:cs="宋体"/>
          <w:color w:val="auto"/>
          <w:spacing w:val="0"/>
          <w:sz w:val="24"/>
          <w:szCs w:val="24"/>
          <w:highlight w:val="none"/>
        </w:rPr>
        <w:t>人（以下简称“评委”）组成，其中：由采购人派出的采购人代表</w:t>
      </w:r>
      <w:r>
        <w:rPr>
          <w:rFonts w:hint="eastAsia" w:ascii="宋体" w:hAnsi="宋体" w:eastAsia="宋体" w:cs="宋体"/>
          <w:color w:val="auto"/>
          <w:spacing w:val="0"/>
          <w:sz w:val="24"/>
          <w:szCs w:val="24"/>
          <w:highlight w:val="none"/>
          <w:u w:val="single"/>
        </w:rPr>
        <w:t>2</w:t>
      </w:r>
      <w:r>
        <w:rPr>
          <w:rFonts w:hint="eastAsia" w:ascii="宋体" w:hAnsi="宋体" w:eastAsia="宋体" w:cs="宋体"/>
          <w:color w:val="auto"/>
          <w:spacing w:val="0"/>
          <w:sz w:val="24"/>
          <w:szCs w:val="24"/>
          <w:highlight w:val="none"/>
        </w:rPr>
        <w:t>人，由福建省政府采购评审专家库产生的评标专家</w:t>
      </w:r>
      <w:r>
        <w:rPr>
          <w:rFonts w:hint="eastAsia" w:ascii="宋体" w:hAnsi="宋体" w:eastAsia="宋体" w:cs="宋体"/>
          <w:color w:val="auto"/>
          <w:spacing w:val="0"/>
          <w:sz w:val="24"/>
          <w:szCs w:val="24"/>
          <w:highlight w:val="none"/>
          <w:u w:val="single"/>
        </w:rPr>
        <w:t>5</w:t>
      </w:r>
      <w:r>
        <w:rPr>
          <w:rFonts w:hint="eastAsia" w:ascii="宋体" w:hAnsi="宋体" w:eastAsia="宋体" w:cs="宋体"/>
          <w:color w:val="auto"/>
          <w:spacing w:val="0"/>
          <w:sz w:val="24"/>
          <w:szCs w:val="24"/>
          <w:highlight w:val="none"/>
        </w:rPr>
        <w:t>人。</w:t>
      </w:r>
    </w:p>
    <w:p w14:paraId="51F18BE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5.2评标委员会负责具体评标事务，并按照下列原则依法独立履行有关职责：</w:t>
      </w:r>
    </w:p>
    <w:p w14:paraId="53D3CEE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（1）评标应保护国家利益、社会公共利益和各方当事人合法权益，提高采购效益，保证项目质量。</w:t>
      </w:r>
    </w:p>
    <w:p w14:paraId="36EF7DA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（2）评标应遵循公平、公正、科学、严谨和择优原则。</w:t>
      </w:r>
    </w:p>
    <w:p w14:paraId="559C8DD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（3）评标的依据是招标文件和投标文件。</w:t>
      </w:r>
    </w:p>
    <w:p w14:paraId="0394F1C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（4）应按照招标文件规定推荐中标候选人或确定中标人。</w:t>
      </w:r>
    </w:p>
    <w:p w14:paraId="116ED06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（5）评标应遵守下列评标纪律：</w:t>
      </w:r>
    </w:p>
    <w:p w14:paraId="5C4C6E8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①评标情况不得私自外泄，有关信息由</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统一对外发布。</w:t>
      </w:r>
    </w:p>
    <w:p w14:paraId="127C343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②对</w:t>
      </w:r>
      <w:r>
        <w:rPr>
          <w:rFonts w:hint="eastAsia" w:ascii="宋体" w:hAnsi="宋体" w:eastAsia="宋体" w:cs="宋体"/>
          <w:color w:val="auto"/>
          <w:spacing w:val="0"/>
          <w:sz w:val="24"/>
          <w:szCs w:val="24"/>
          <w:highlight w:val="none"/>
          <w:u w:val="single"/>
        </w:rPr>
        <w:t>福建省招标中心有限责任公司</w:t>
      </w:r>
      <w:r>
        <w:rPr>
          <w:rFonts w:hint="eastAsia" w:ascii="宋体" w:hAnsi="宋体" w:eastAsia="宋体" w:cs="宋体"/>
          <w:color w:val="auto"/>
          <w:spacing w:val="0"/>
          <w:sz w:val="24"/>
          <w:szCs w:val="24"/>
          <w:highlight w:val="none"/>
        </w:rPr>
        <w:t>或投标人提供的要求保密的资料，不得摘记翻印和外传。</w:t>
      </w:r>
    </w:p>
    <w:p w14:paraId="1F728C1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③不得收受投标人或有关人员的任何礼物，不得串联鼓动其他人袒护某投标人。若与投标人存在利害关系，则应主动声明并回避。</w:t>
      </w:r>
    </w:p>
    <w:p w14:paraId="2CBF3D8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④全体评委应按照招标文件规定进行评标，一切认定事项应查有实据且不得弄虚作假。</w:t>
      </w:r>
    </w:p>
    <w:p w14:paraId="35578A5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⑤评标中应充分发扬民主，推荐中标候选人或确定中标人后要服从评标报告。</w:t>
      </w:r>
    </w:p>
    <w:p w14:paraId="308C89E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※对违反评标纪律的评委，将取消其评委资格，对评标工作造成严重损失者将予以通报批评乃至追究法律责任。</w:t>
      </w:r>
    </w:p>
    <w:p w14:paraId="7EC3FBF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6、评标程序</w:t>
      </w:r>
    </w:p>
    <w:p w14:paraId="7597E6F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6.1评标前的准备工作</w:t>
      </w:r>
    </w:p>
    <w:p w14:paraId="0B44E34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（1）全体评委应认真审阅招标文件，了解评委应履行或遵守的职责、义务和评标纪律。</w:t>
      </w:r>
    </w:p>
    <w:p w14:paraId="7E465C5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0353126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6.2符合性审查</w:t>
      </w:r>
    </w:p>
    <w:p w14:paraId="42C17AF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（1）评标委员会依据招标文件的实质性要求，对通过资格审查的投标文件进行符合性审查，以确定其是否满足招标文件的实质性要求。</w:t>
      </w:r>
    </w:p>
    <w:p w14:paraId="3EF0D03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（2）满足招标文件的实质性要求指投标文件对招标文件实质性要求的响应不存在重大偏差或保留。</w:t>
      </w:r>
    </w:p>
    <w:p w14:paraId="219437D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2242EA1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15405B0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（5）评标委员会对所有投标人都执行相同的程序和标准。</w:t>
      </w:r>
    </w:p>
    <w:p w14:paraId="015BFBC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（6）有下列情形之一的，</w:t>
      </w:r>
      <w:r>
        <w:rPr>
          <w:rStyle w:val="17"/>
          <w:rFonts w:hint="eastAsia" w:ascii="宋体" w:hAnsi="宋体" w:eastAsia="宋体" w:cs="宋体"/>
          <w:color w:val="auto"/>
          <w:spacing w:val="0"/>
          <w:sz w:val="24"/>
          <w:szCs w:val="24"/>
          <w:highlight w:val="none"/>
        </w:rPr>
        <w:t>符合性审查不合格：</w:t>
      </w:r>
    </w:p>
    <w:p w14:paraId="754905D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①项目一般情形：</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326"/>
      </w:tblGrid>
      <w:tr w14:paraId="0970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8326" w:type="dxa"/>
            <w:shd w:val="clear" w:color="auto" w:fill="auto"/>
            <w:vAlign w:val="center"/>
          </w:tcPr>
          <w:p w14:paraId="503A15EB">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r>
      <w:tr w14:paraId="0048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7E3443BC">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违反招标文件中载明“投标无效”条款的规定；</w:t>
            </w:r>
          </w:p>
        </w:tc>
      </w:tr>
      <w:tr w14:paraId="632B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1EBD11DE">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属于招标文件第三章第10.12条规定的投标无效情形；</w:t>
            </w:r>
          </w:p>
        </w:tc>
      </w:tr>
      <w:tr w14:paraId="42FA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5FB2A5C3">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投标文件对招标文件实质性要求的响应存在重大偏离或保留。</w:t>
            </w:r>
          </w:p>
        </w:tc>
      </w:tr>
    </w:tbl>
    <w:p w14:paraId="1F69E6A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②本项目规定的其他情形：</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包：1</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包一般情形</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326"/>
      </w:tblGrid>
      <w:tr w14:paraId="02C4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8326" w:type="dxa"/>
            <w:shd w:val="clear" w:color="auto" w:fill="auto"/>
            <w:vAlign w:val="center"/>
          </w:tcPr>
          <w:p w14:paraId="063E4D23">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r>
      <w:tr w14:paraId="130A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4A68C453">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投标人投标文件中的资格及资信证明部分不得出现全部或部分的投标报价信息（或组成资料），否则资格审查不合格。</w:t>
            </w:r>
          </w:p>
        </w:tc>
      </w:tr>
    </w:tbl>
    <w:p w14:paraId="3CD12D4F">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技术符合性</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326"/>
      </w:tblGrid>
      <w:tr w14:paraId="2698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8326" w:type="dxa"/>
            <w:shd w:val="clear" w:color="auto" w:fill="auto"/>
            <w:vAlign w:val="center"/>
          </w:tcPr>
          <w:p w14:paraId="48341118">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r>
      <w:tr w14:paraId="61C8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39AA76F3">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按闽财购〔2010〕28号文件规定，若投标人的技术部分实际得分少于招标文件设定的技术部分总分50%，即视为技术部分未实质性响应招标文件要求，其投标无效。</w:t>
            </w:r>
          </w:p>
        </w:tc>
      </w:tr>
      <w:tr w14:paraId="1039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3A38D081">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技术部分中不得出现报价部分的全部或部分的投标报价信息（或组成资料），否则符合性审查不合格。</w:t>
            </w:r>
          </w:p>
        </w:tc>
      </w:tr>
      <w:tr w14:paraId="5BD7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78280004">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招标文件第五章“二、技术和服务要求”以“★”标示的内容为不允许负偏离的实质性要求，如投标文件内容有负偏离的，其投标无效。</w:t>
            </w:r>
          </w:p>
        </w:tc>
      </w:tr>
      <w:tr w14:paraId="56A5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0078A5D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不符合采购文件中规定的其它实质性要求的条款。</w:t>
            </w:r>
          </w:p>
        </w:tc>
      </w:tr>
    </w:tbl>
    <w:p w14:paraId="6A5094A2">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商务符合性</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326"/>
      </w:tblGrid>
      <w:tr w14:paraId="691C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8326" w:type="dxa"/>
            <w:shd w:val="clear" w:color="auto" w:fill="auto"/>
            <w:vAlign w:val="center"/>
          </w:tcPr>
          <w:p w14:paraId="503FFB2C">
            <w:pPr>
              <w:keepNext w:val="0"/>
              <w:keepLines w:val="0"/>
              <w:widowControl/>
              <w:suppressLineNumbers w:val="0"/>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val="en-US" w:eastAsia="zh-CN" w:bidi="ar"/>
              </w:rPr>
              <w:t>明细</w:t>
            </w:r>
          </w:p>
        </w:tc>
      </w:tr>
      <w:tr w14:paraId="7616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5791CA3D">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招标文件第五章“三、商务条件”均为不允许负偏离的实质性要求，如投标文件内容有负偏离的，其投标无效。</w:t>
            </w:r>
          </w:p>
        </w:tc>
      </w:tr>
      <w:tr w14:paraId="61C8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2F518BC4">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商务部分中不得出现报价部分的全部或部分的投标报价信息（或组成资料），否则符合性审查不合格。</w:t>
            </w:r>
          </w:p>
        </w:tc>
      </w:tr>
      <w:tr w14:paraId="7D73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326" w:type="dxa"/>
            <w:shd w:val="clear" w:color="auto" w:fill="auto"/>
            <w:vAlign w:val="center"/>
          </w:tcPr>
          <w:p w14:paraId="3CF0305F">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不符合采购文件中规定的其它实质性要求的条款。</w:t>
            </w:r>
          </w:p>
        </w:tc>
      </w:tr>
    </w:tbl>
    <w:p w14:paraId="172CA3B6">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附加符合性</w:t>
      </w:r>
      <w:r>
        <w:rPr>
          <w:rFonts w:hint="eastAsia" w:ascii="宋体" w:hAnsi="宋体" w:eastAsia="宋体" w:cs="宋体"/>
          <w:color w:val="auto"/>
          <w:kern w:val="0"/>
          <w:sz w:val="24"/>
          <w:szCs w:val="24"/>
          <w:highlight w:val="none"/>
          <w:lang w:val="en-US" w:eastAsia="zh-CN" w:bidi="ar"/>
        </w:rPr>
        <w:br w:type="textWrapping"/>
      </w:r>
      <w:r>
        <w:rPr>
          <w:rStyle w:val="17"/>
          <w:rFonts w:hint="eastAsia" w:ascii="宋体" w:hAnsi="宋体" w:eastAsia="宋体" w:cs="宋体"/>
          <w:color w:val="auto"/>
          <w:kern w:val="0"/>
          <w:sz w:val="24"/>
          <w:szCs w:val="24"/>
          <w:highlight w:val="none"/>
          <w:lang w:val="en-US" w:eastAsia="zh-CN" w:bidi="ar"/>
        </w:rPr>
        <w:t>         无</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价格符合性</w:t>
      </w:r>
    </w:p>
    <w:p w14:paraId="49DAF69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 xml:space="preserve">                  </w:t>
      </w:r>
      <w:r>
        <w:rPr>
          <w:rStyle w:val="17"/>
          <w:rFonts w:hint="eastAsia" w:ascii="宋体" w:hAnsi="宋体" w:eastAsia="宋体" w:cs="宋体"/>
          <w:color w:val="auto"/>
          <w:kern w:val="0"/>
          <w:sz w:val="24"/>
          <w:szCs w:val="24"/>
          <w:highlight w:val="none"/>
          <w:lang w:val="en-US" w:eastAsia="zh-CN" w:bidi="ar"/>
        </w:rPr>
        <w:t>无</w:t>
      </w:r>
      <w:r>
        <w:rPr>
          <w:rFonts w:hint="eastAsia" w:ascii="宋体" w:hAnsi="宋体" w:eastAsia="宋体" w:cs="宋体"/>
          <w:color w:val="auto"/>
          <w:kern w:val="0"/>
          <w:sz w:val="24"/>
          <w:szCs w:val="24"/>
          <w:highlight w:val="none"/>
          <w:lang w:val="en-US" w:eastAsia="zh-CN" w:bidi="ar"/>
        </w:rPr>
        <w:br w:type="textWrapping"/>
      </w:r>
    </w:p>
    <w:p w14:paraId="15BB911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6.3澄清有关问题</w:t>
      </w:r>
    </w:p>
    <w:p w14:paraId="6A404B30">
      <w:pPr>
        <w:pStyle w:val="14"/>
        <w:keepNext w:val="0"/>
        <w:keepLines w:val="0"/>
        <w:widowControl/>
        <w:suppressLineNumbers w:val="0"/>
        <w:spacing w:before="75" w:beforeAutospacing="0" w:after="75" w:afterAutospacing="0"/>
        <w:ind w:left="0" w:right="0" w:firstLine="42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（1）对通过符合性审查的投标文件中含义不明确、同类问题表述不一致或有明显文字和计算错误的内容，评标委员会将以书面形式要求投标人作出必要的澄清、说明或补正。</w:t>
      </w:r>
    </w:p>
    <w:p w14:paraId="530525F2">
      <w:pPr>
        <w:pStyle w:val="14"/>
        <w:keepNext w:val="0"/>
        <w:keepLines w:val="0"/>
        <w:widowControl/>
        <w:suppressLineNumbers w:val="0"/>
        <w:spacing w:before="75" w:beforeAutospacing="0" w:after="75" w:afterAutospacing="0"/>
        <w:ind w:left="0" w:right="0" w:firstLine="42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6B47999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（3）投标文件报价出现前后不一致的，除招标文件另有规定外，按照下列规定修正：</w:t>
      </w:r>
    </w:p>
    <w:p w14:paraId="10B2ADE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①开标一览表内容与投标文件中相应内容不一致的，以开标一览表为准；</w:t>
      </w:r>
    </w:p>
    <w:p w14:paraId="5AED871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②大写金额和小写金额不一致的，以大写金额为准；</w:t>
      </w:r>
    </w:p>
    <w:p w14:paraId="190B46D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③单价金额小数点或百分比有明显错位的，以开标一览表的总价为准，并修改单价；</w:t>
      </w:r>
    </w:p>
    <w:p w14:paraId="757B8CA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④总价金额与按照单价汇总金额不一致的，以单价金额计算结果为准。</w:t>
      </w:r>
    </w:p>
    <w:p w14:paraId="1205A63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※同时出现两种以上不一致的，按照前款规定的顺序修正。修正后的报价应按照本章第6.3条第（1）、（2）款规定经投标人确认后产生约束力，投标人不确认的，其投标无效。</w:t>
      </w:r>
    </w:p>
    <w:p w14:paraId="470A81C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（4）关于细微偏差</w:t>
      </w:r>
    </w:p>
    <w:p w14:paraId="253DD94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5745ABB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②评标委员会将以书面形式要求存在细微偏差的投标人在评标委员会规定的时间内予以补正。若无法补正，则评标委员会将按照不利于投标人的内容进行认定。</w:t>
      </w:r>
    </w:p>
    <w:p w14:paraId="63CC863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（5）关于投标描述（即投标文件中描述的内容）</w:t>
      </w:r>
    </w:p>
    <w:p w14:paraId="68C5643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①投标描述前后不一致且不涉及证明材料的：按照本章第6.3条第（1）、（2）款规定执行。</w:t>
      </w:r>
    </w:p>
    <w:p w14:paraId="3DD0287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②投标描述与证明材料不一致或多份证明材料之间不一致的：</w:t>
      </w:r>
    </w:p>
    <w:p w14:paraId="766263A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a.评标委员会将要求投标人进行书面澄清，并按照不利于投标人的内容进行评标。</w:t>
      </w:r>
    </w:p>
    <w:p w14:paraId="61ED4F9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11EDEC8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F0D811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6.4比较与评价</w:t>
      </w:r>
    </w:p>
    <w:p w14:paraId="0750E92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（1）按照本章第7条载明的评标方法和标准，对符合性审查合格的投标文件进行比较与评价。</w:t>
      </w:r>
    </w:p>
    <w:p w14:paraId="213538D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（2）关于相同品牌产品</w:t>
      </w:r>
      <w:r>
        <w:rPr>
          <w:rStyle w:val="17"/>
          <w:rFonts w:hint="eastAsia" w:ascii="宋体" w:hAnsi="宋体" w:eastAsia="宋体" w:cs="宋体"/>
          <w:color w:val="auto"/>
          <w:spacing w:val="0"/>
          <w:sz w:val="24"/>
          <w:szCs w:val="24"/>
          <w:highlight w:val="none"/>
        </w:rPr>
        <w:t>（政府采购服务类项目不适用本条款规定）</w:t>
      </w:r>
    </w:p>
    <w:p w14:paraId="0B5483A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E403BD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a.招标文件规定的方式：</w:t>
      </w:r>
      <w:r>
        <w:rPr>
          <w:rFonts w:hint="eastAsia" w:ascii="宋体" w:hAnsi="宋体" w:eastAsia="宋体" w:cs="宋体"/>
          <w:color w:val="auto"/>
          <w:spacing w:val="0"/>
          <w:sz w:val="24"/>
          <w:szCs w:val="24"/>
          <w:highlight w:val="none"/>
          <w:u w:val="single"/>
        </w:rPr>
        <w:t>无</w:t>
      </w:r>
      <w:r>
        <w:rPr>
          <w:rFonts w:hint="eastAsia" w:ascii="宋体" w:hAnsi="宋体" w:eastAsia="宋体" w:cs="宋体"/>
          <w:color w:val="auto"/>
          <w:spacing w:val="0"/>
          <w:sz w:val="24"/>
          <w:szCs w:val="24"/>
          <w:highlight w:val="none"/>
        </w:rPr>
        <w:t>。</w:t>
      </w:r>
    </w:p>
    <w:p w14:paraId="68DC770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b.招标文件未规定的，采取随机抽取方式确定，其他</w:t>
      </w:r>
      <w:r>
        <w:rPr>
          <w:rStyle w:val="17"/>
          <w:rFonts w:hint="eastAsia" w:ascii="宋体" w:hAnsi="宋体" w:eastAsia="宋体" w:cs="宋体"/>
          <w:color w:val="auto"/>
          <w:spacing w:val="0"/>
          <w:sz w:val="24"/>
          <w:szCs w:val="24"/>
          <w:highlight w:val="none"/>
        </w:rPr>
        <w:t>投标无效。</w:t>
      </w:r>
    </w:p>
    <w:p w14:paraId="6BDC179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931EFE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a.招标文件规定的方式：</w:t>
      </w:r>
      <w:r>
        <w:rPr>
          <w:rFonts w:hint="eastAsia" w:ascii="宋体" w:hAnsi="宋体" w:eastAsia="宋体" w:cs="宋体"/>
          <w:color w:val="auto"/>
          <w:spacing w:val="0"/>
          <w:sz w:val="24"/>
          <w:szCs w:val="24"/>
          <w:highlight w:val="none"/>
          <w:u w:val="single"/>
        </w:rPr>
        <w:t>无</w:t>
      </w:r>
      <w:r>
        <w:rPr>
          <w:rFonts w:hint="eastAsia" w:ascii="宋体" w:hAnsi="宋体" w:eastAsia="宋体" w:cs="宋体"/>
          <w:color w:val="auto"/>
          <w:spacing w:val="0"/>
          <w:sz w:val="24"/>
          <w:szCs w:val="24"/>
          <w:highlight w:val="none"/>
        </w:rPr>
        <w:t>。</w:t>
      </w:r>
    </w:p>
    <w:p w14:paraId="48D1F15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b.招标文件未规定的，采取随机抽取方式确定，其他同品牌投标人不作为中标候选人。</w:t>
      </w:r>
    </w:p>
    <w:p w14:paraId="7B6C437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③非单一产品采购项目，多家投标人提供的核心产品品牌相同的，按照本章第6.4条第（2）款第①、②规定处理。</w:t>
      </w:r>
    </w:p>
    <w:p w14:paraId="5300296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（3）漏（缺）项</w:t>
      </w:r>
    </w:p>
    <w:p w14:paraId="4FF780E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①招标文件中要求列入报价的费用（含配置、功能），漏（缺）项的报价视为已经包括在投标总价中。</w:t>
      </w:r>
    </w:p>
    <w:p w14:paraId="4D6BB4A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②对多报项及赠送项的价格评标时不予核减，全部进入评标价评议。</w:t>
      </w:r>
    </w:p>
    <w:p w14:paraId="7C19CADF">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6.5推荐中标候选人：详见本章第7.2条规定。</w:t>
      </w:r>
    </w:p>
    <w:p w14:paraId="75034430">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6.6编写评标报告</w:t>
      </w:r>
    </w:p>
    <w:p w14:paraId="6938D72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（1）评标报告由评标委员会负责编写。</w:t>
      </w:r>
    </w:p>
    <w:p w14:paraId="3B44243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（2）评标报告应包括下列内容：</w:t>
      </w:r>
    </w:p>
    <w:p w14:paraId="385628C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①招标公告刊登的媒体名称、开标日期和地点；</w:t>
      </w:r>
    </w:p>
    <w:p w14:paraId="18B7CFD3">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②投标人名单和评标委员会成员名单；</w:t>
      </w:r>
    </w:p>
    <w:p w14:paraId="491C850F">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③评标方法和标准；</w:t>
      </w:r>
    </w:p>
    <w:p w14:paraId="0F35F04A">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④开标记录和评标情况及说明，包括无效投标人名单及原因；</w:t>
      </w:r>
    </w:p>
    <w:p w14:paraId="4ABDBBB5">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⑤评标结果，包括中标候选人名单或确定的中标人；</w:t>
      </w:r>
    </w:p>
    <w:p w14:paraId="6F9B5CA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⑥其他需要说明的情况，包括但不限于：评标过程中投标人的澄清、说明或补正，评委更换等。</w:t>
      </w:r>
    </w:p>
    <w:p w14:paraId="6395DBD9">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处理。</w:t>
      </w:r>
    </w:p>
    <w:p w14:paraId="41E8DABE">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6.8评委对需要共同认定的事项存在争议的，应按照少数服从多数的原则进行认定。</w:t>
      </w:r>
      <w:r>
        <w:rPr>
          <w:rStyle w:val="17"/>
          <w:rFonts w:hint="eastAsia" w:ascii="宋体" w:hAnsi="宋体" w:eastAsia="宋体" w:cs="宋体"/>
          <w:color w:val="auto"/>
          <w:spacing w:val="0"/>
          <w:sz w:val="24"/>
          <w:szCs w:val="24"/>
          <w:highlight w:val="none"/>
        </w:rPr>
        <w:t>持不同意见的评委应在评标报告上签署不同意见及理由，否则视为同意评标报告。</w:t>
      </w:r>
    </w:p>
    <w:p w14:paraId="5E6CA86B">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6.9在评标过程中发现投标人有下列情形之一的，评标委员会应认定其</w:t>
      </w:r>
      <w:r>
        <w:rPr>
          <w:rStyle w:val="17"/>
          <w:rFonts w:hint="eastAsia" w:ascii="宋体" w:hAnsi="宋体" w:eastAsia="宋体" w:cs="宋体"/>
          <w:color w:val="auto"/>
          <w:spacing w:val="0"/>
          <w:sz w:val="24"/>
          <w:szCs w:val="24"/>
          <w:highlight w:val="none"/>
        </w:rPr>
        <w:t>投标无效</w:t>
      </w:r>
      <w:r>
        <w:rPr>
          <w:rFonts w:hint="eastAsia" w:ascii="宋体" w:hAnsi="宋体" w:eastAsia="宋体" w:cs="宋体"/>
          <w:color w:val="auto"/>
          <w:spacing w:val="0"/>
          <w:sz w:val="24"/>
          <w:szCs w:val="24"/>
          <w:highlight w:val="none"/>
        </w:rPr>
        <w:t>，并书面报告本项目监督管理部门：</w:t>
      </w:r>
    </w:p>
    <w:p w14:paraId="159C4824">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（1）恶意串通（包括但不限于招标文件第三章第9.7条规定情形）；</w:t>
      </w:r>
    </w:p>
    <w:p w14:paraId="148EAA9B">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（2）妨碍其他投标人的竞争行为；</w:t>
      </w:r>
    </w:p>
    <w:p w14:paraId="005CBE6A">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（3）损害采购人或其他投标人的合法权益。</w:t>
      </w:r>
    </w:p>
    <w:p w14:paraId="37B38A30">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6.10评标过程中，有下列情形之一的，应予废标：</w:t>
      </w:r>
    </w:p>
    <w:p w14:paraId="050D213C">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（1）符合性审查合格的投标人不足三家的；</w:t>
      </w:r>
    </w:p>
    <w:p w14:paraId="40D44FE6">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（2）有关法律、法规和规章规定废标的情形。</w:t>
      </w:r>
    </w:p>
    <w:p w14:paraId="449B0FAB">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※若废标，则本次采购活动结束，</w:t>
      </w:r>
      <w:r>
        <w:rPr>
          <w:rFonts w:hint="eastAsia" w:ascii="宋体" w:hAnsi="宋体" w:eastAsia="宋体" w:cs="宋体"/>
          <w:color w:val="auto"/>
          <w:spacing w:val="0"/>
          <w:sz w:val="24"/>
          <w:szCs w:val="24"/>
          <w:highlight w:val="none"/>
          <w:u w:val="single"/>
        </w:rPr>
        <w:t>福建省招标中心有限责任公司</w:t>
      </w:r>
      <w:r>
        <w:rPr>
          <w:rStyle w:val="17"/>
          <w:rFonts w:hint="eastAsia" w:ascii="宋体" w:hAnsi="宋体" w:eastAsia="宋体" w:cs="宋体"/>
          <w:color w:val="auto"/>
          <w:spacing w:val="0"/>
          <w:sz w:val="24"/>
          <w:szCs w:val="24"/>
          <w:highlight w:val="none"/>
        </w:rPr>
        <w:t>将依法组织后续采购活动（包括但不限于：重新招标、采用其他方式采购等）。</w:t>
      </w:r>
    </w:p>
    <w:p w14:paraId="7863CEE3">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7、评标方法和标准</w:t>
      </w:r>
    </w:p>
    <w:p w14:paraId="29DA5F31">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7.1评标方法： 项目包1采用综合评分法。</w:t>
      </w:r>
    </w:p>
    <w:p w14:paraId="7BBAE16A">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7.2评标标准</w:t>
      </w:r>
    </w:p>
    <w:p w14:paraId="5E6AEC12">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1D8A34E7">
      <w:pPr>
        <w:pStyle w:val="14"/>
        <w:keepNext w:val="0"/>
        <w:keepLines w:val="0"/>
        <w:widowControl/>
        <w:suppressLineNumbers w:val="0"/>
        <w:shd w:val="clear" w:fill="FFFFFF"/>
        <w:spacing w:before="0" w:beforeAutospacing="0" w:after="150" w:afterAutospacing="0"/>
        <w:outlineLvl w:val="9"/>
        <w:rPr>
          <w:rFonts w:hint="eastAsia" w:ascii="宋体" w:hAnsi="宋体" w:eastAsia="宋体" w:cs="宋体"/>
          <w:color w:val="auto"/>
          <w:sz w:val="19"/>
          <w:szCs w:val="19"/>
          <w:highlight w:val="none"/>
        </w:rPr>
      </w:pPr>
      <w:r>
        <w:rPr>
          <w:rStyle w:val="17"/>
          <w:rFonts w:hint="eastAsia" w:ascii="宋体" w:hAnsi="宋体" w:eastAsia="宋体" w:cs="宋体"/>
          <w:color w:val="auto"/>
          <w:sz w:val="24"/>
          <w:szCs w:val="24"/>
          <w:highlight w:val="none"/>
          <w:shd w:val="clear" w:fill="FFFFFF"/>
        </w:rPr>
        <w:t>采购包</w:t>
      </w:r>
      <w:r>
        <w:rPr>
          <w:rStyle w:val="17"/>
          <w:rFonts w:hint="eastAsia" w:ascii="宋体" w:hAnsi="宋体" w:eastAsia="宋体" w:cs="宋体"/>
          <w:color w:val="auto"/>
          <w:sz w:val="24"/>
          <w:szCs w:val="24"/>
          <w:highlight w:val="none"/>
          <w:shd w:val="clear" w:fill="FFFFFF"/>
          <w:lang w:val="en-US" w:eastAsia="zh-CN"/>
        </w:rPr>
        <w:t>1</w:t>
      </w:r>
      <w:r>
        <w:rPr>
          <w:rStyle w:val="17"/>
          <w:rFonts w:hint="eastAsia" w:ascii="宋体" w:hAnsi="宋体" w:eastAsia="宋体" w:cs="宋体"/>
          <w:color w:val="auto"/>
          <w:sz w:val="24"/>
          <w:szCs w:val="24"/>
          <w:highlight w:val="none"/>
          <w:shd w:val="clear" w:fill="FFFFFF"/>
        </w:rPr>
        <w:t>采用综合评分法</w:t>
      </w:r>
      <w:r>
        <w:rPr>
          <w:rFonts w:hint="eastAsia" w:ascii="宋体" w:hAnsi="宋体" w:eastAsia="宋体" w:cs="宋体"/>
          <w:color w:val="auto"/>
          <w:sz w:val="24"/>
          <w:szCs w:val="24"/>
          <w:highlight w:val="none"/>
          <w:shd w:val="clear" w:fill="FFFFFF"/>
        </w:rPr>
        <w:t>：</w:t>
      </w:r>
    </w:p>
    <w:p w14:paraId="533B7CD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（1）投标文件满足招标文件全部实质性要求，且按照评审因素的量化指标评审得分（即评标总得分）最高的投标人为中标候选人。</w:t>
      </w:r>
    </w:p>
    <w:p w14:paraId="6A7BB76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14:paraId="2A92021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（3）各项评审因素的设置如下：</w:t>
      </w:r>
    </w:p>
    <w:p w14:paraId="51B61C9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①价格项（F1×A1）满分为</w:t>
      </w:r>
      <w:r>
        <w:rPr>
          <w:rFonts w:hint="eastAsia" w:ascii="宋体" w:hAnsi="宋体" w:eastAsia="宋体" w:cs="宋体"/>
          <w:color w:val="auto"/>
          <w:sz w:val="24"/>
          <w:szCs w:val="24"/>
          <w:highlight w:val="none"/>
          <w:u w:val="single"/>
        </w:rPr>
        <w:t>10</w:t>
      </w:r>
      <w:r>
        <w:rPr>
          <w:rFonts w:hint="eastAsia" w:ascii="宋体" w:hAnsi="宋体" w:eastAsia="宋体" w:cs="宋体"/>
          <w:color w:val="auto"/>
          <w:sz w:val="24"/>
          <w:szCs w:val="24"/>
          <w:highlight w:val="none"/>
        </w:rPr>
        <w:t>分。</w:t>
      </w:r>
    </w:p>
    <w:p w14:paraId="688ACB7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a.价格分采用低价优先法计算，即满足招标文件要求且投标价格最低的投标报价为评标基准价，其价格分为满分。其他投标人的价格分统一按照下列公式计算：投标报价得分=（评标基准价／投标报价）×100。因落实政府采购政策需进行价格扣除的，以扣除后的价格计算评标基准价和投标报价。</w:t>
      </w:r>
    </w:p>
    <w:p w14:paraId="3A61C1C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b.价格扣除的规则如下：</w:t>
      </w:r>
    </w:p>
    <w:tbl>
      <w:tblPr>
        <w:tblStyle w:val="15"/>
        <w:tblW w:w="831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164"/>
        <w:gridCol w:w="7147"/>
      </w:tblGrid>
      <w:tr w14:paraId="3E00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1164" w:type="dxa"/>
            <w:shd w:val="clear" w:color="auto" w:fill="auto"/>
            <w:vAlign w:val="center"/>
          </w:tcPr>
          <w:p w14:paraId="618ED577">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评标项目</w:t>
            </w:r>
          </w:p>
        </w:tc>
        <w:tc>
          <w:tcPr>
            <w:tcW w:w="7147" w:type="dxa"/>
            <w:shd w:val="clear" w:color="auto" w:fill="auto"/>
            <w:vAlign w:val="center"/>
          </w:tcPr>
          <w:p w14:paraId="27D47E28">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评标方法</w:t>
            </w:r>
          </w:p>
        </w:tc>
      </w:tr>
      <w:tr w14:paraId="2253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trPr>
        <w:tc>
          <w:tcPr>
            <w:tcW w:w="1164" w:type="dxa"/>
            <w:shd w:val="clear" w:color="auto" w:fill="auto"/>
            <w:vAlign w:val="center"/>
          </w:tcPr>
          <w:p w14:paraId="2E3C5BC5">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小型、微型企业，监狱企业，残疾人</w:t>
            </w:r>
          </w:p>
        </w:tc>
        <w:tc>
          <w:tcPr>
            <w:tcW w:w="7147" w:type="dxa"/>
            <w:shd w:val="clear" w:color="auto" w:fill="auto"/>
            <w:vAlign w:val="center"/>
          </w:tcPr>
          <w:p w14:paraId="19E08FCD">
            <w:pPr>
              <w:keepNext w:val="0"/>
              <w:keepLines w:val="0"/>
              <w:widowControl/>
              <w:suppressLineNumbers w:val="0"/>
              <w:jc w:val="left"/>
              <w:outlineLvl w:val="9"/>
              <w:rPr>
                <w:rFonts w:hint="eastAsia" w:ascii="宋体" w:hAnsi="宋体" w:eastAsia="宋体" w:cs="宋体"/>
                <w:color w:val="auto"/>
                <w:highlight w:val="none"/>
              </w:rPr>
            </w:pPr>
            <w:r>
              <w:rPr>
                <w:rStyle w:val="17"/>
                <w:rFonts w:hint="eastAsia" w:ascii="宋体" w:hAnsi="宋体" w:eastAsia="宋体" w:cs="宋体"/>
                <w:color w:val="auto"/>
                <w:kern w:val="0"/>
                <w:sz w:val="24"/>
                <w:szCs w:val="24"/>
                <w:highlight w:val="none"/>
                <w:lang w:val="en-US" w:eastAsia="zh-CN" w:bidi="ar"/>
              </w:rPr>
              <w:t>经采购人确认，本合同包不属于专门面向中小企业预留份额的招标项目，因此根据《政府采购促进中小企业发展管理办法》财库〔2020〕46号文的规定，符合以下规则条件的投标人将依法享受相应的价格扣除优惠政策，用扣除后的价格参加评审。参加本合同包的投标人，必须在响应文件中按照招标文件第七章所附格式如实填写《中小企业声明函》，投标人应当对其承诺和提供材料的真实性、合法性和准确性负责。未按招标文件要求提供《中小企业声明函》，视同为相应投标人不满足小微企业条件和标准，不享受价格扣除的优惠政策。 ①本合同包是服务类采购，根据《政府采购促进中小企业发展管理办法》财库〔2020〕46号文的有关规定，服务采购项目中，服务由中小企业主体承接的，才能享受相应扶持政策。本合同包投标人自身承接全部服务内容，且投标人符合政府采购相关法规要求的小微企业划分标准，将依法享受价格扣除的优惠政策，对其报价给予20%的价格扣除，用扣除后的价格参加评审。投标人必须在响应文件中按照招标文件第七章所附格式如实填写《中小企业声明函》，投标人应当对其承诺和提供材料的真实性、合法性和准确性负责。未按招标文件要求提供《中小企业声明函》，视同为投标人不满足小微企业条件和标准，不享受价格扣除的优惠政策。 ②根据关于印发中小企业划型标准规定的通知(工信部联企业〔2011〕300号)有关规定，本项目采购标的对应的中小企业划分标准所属行业为软件和信息技术服务业。 ③根据财政部、司法部联合印发《关于政府采购支持监狱企业发展有关问题的通知》（财库【2014】68号）文以及财政部、民政部、中国残联联合发布关于促进残疾人就业政府采购政策的通知（财库[2017]141号）文的有关规定，监狱企业和残疾人福利性单位视同为小型、微型企业。监狱企业或残疾人福利性单位参加本合同包投标且全部服务内容均由其自身承接的，将依法享受价格扣除的优惠政策，对其报价给予10%的价格扣除，用扣除后的价格参加评审。但监狱企业必须提供由省级以上监狱管理局、戒毒管理局（含新疆生产建设兵团）出具的属于监狱企业的证明文件，否则评审时不享受价格扣除的优惠政策；残疾人福利性单位必须如实提供《残疾人福利性单位声明函》，否则评审时不享受价格扣除的优惠政策。上述规定与政府采购相关法律、法规、制度等有冲突的，以现行法律、法规、制度等执行。</w:t>
            </w:r>
          </w:p>
        </w:tc>
      </w:tr>
    </w:tbl>
    <w:p w14:paraId="4E20F49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②技术项（F2×A2）满分为</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分。</w:t>
      </w:r>
    </w:p>
    <w:tbl>
      <w:tblPr>
        <w:tblStyle w:val="15"/>
        <w:tblW w:w="831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305"/>
        <w:gridCol w:w="570"/>
        <w:gridCol w:w="6436"/>
      </w:tblGrid>
      <w:tr w14:paraId="3BA7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1305" w:type="dxa"/>
            <w:shd w:val="clear" w:color="auto" w:fill="auto"/>
            <w:vAlign w:val="center"/>
          </w:tcPr>
          <w:p w14:paraId="50DA1B34">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评标项目</w:t>
            </w:r>
          </w:p>
        </w:tc>
        <w:tc>
          <w:tcPr>
            <w:tcW w:w="570" w:type="dxa"/>
            <w:shd w:val="clear" w:color="auto" w:fill="auto"/>
            <w:vAlign w:val="center"/>
          </w:tcPr>
          <w:p w14:paraId="2AF2439F">
            <w:pPr>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评标分值</w:t>
            </w:r>
          </w:p>
        </w:tc>
        <w:tc>
          <w:tcPr>
            <w:tcW w:w="6436" w:type="dxa"/>
            <w:shd w:val="clear" w:color="auto" w:fill="auto"/>
            <w:vAlign w:val="center"/>
          </w:tcPr>
          <w:p w14:paraId="1D10DC77">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评标方法描述</w:t>
            </w:r>
          </w:p>
        </w:tc>
      </w:tr>
      <w:tr w14:paraId="58D2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3E9BF223">
            <w:pPr>
              <w:widowControl/>
              <w:jc w:val="left"/>
              <w:rPr>
                <w:rFonts w:hint="eastAsia" w:ascii="宋体" w:hAnsi="宋体" w:eastAsia="宋体" w:cs="宋体"/>
                <w:color w:val="auto"/>
                <w:highlight w:val="none"/>
              </w:rPr>
            </w:pPr>
            <w:r>
              <w:rPr>
                <w:rFonts w:hint="eastAsia"/>
                <w:color w:val="auto"/>
                <w:sz w:val="22"/>
                <w:szCs w:val="22"/>
                <w:highlight w:val="none"/>
              </w:rPr>
              <w:t>1、响应内容对招标要求的响应程度情况</w:t>
            </w:r>
          </w:p>
        </w:tc>
        <w:tc>
          <w:tcPr>
            <w:tcW w:w="570" w:type="dxa"/>
            <w:shd w:val="clear" w:color="auto" w:fill="auto"/>
            <w:vAlign w:val="center"/>
          </w:tcPr>
          <w:p w14:paraId="5A61012F">
            <w:pPr>
              <w:widowControl/>
              <w:jc w:val="center"/>
              <w:rPr>
                <w:rFonts w:hint="eastAsia" w:ascii="宋体" w:hAnsi="宋体" w:eastAsia="宋体" w:cs="宋体"/>
                <w:color w:val="auto"/>
                <w:highlight w:val="none"/>
              </w:rPr>
            </w:pPr>
            <w:r>
              <w:rPr>
                <w:rFonts w:hint="eastAsia"/>
                <w:color w:val="auto"/>
                <w:sz w:val="22"/>
                <w:szCs w:val="22"/>
                <w:highlight w:val="none"/>
              </w:rPr>
              <w:t>26.5</w:t>
            </w:r>
          </w:p>
        </w:tc>
        <w:tc>
          <w:tcPr>
            <w:tcW w:w="6436" w:type="dxa"/>
            <w:shd w:val="clear" w:color="auto" w:fill="auto"/>
            <w:vAlign w:val="bottom"/>
          </w:tcPr>
          <w:p w14:paraId="3FA249A1">
            <w:pPr>
              <w:widowControl/>
              <w:jc w:val="left"/>
              <w:rPr>
                <w:rFonts w:hint="eastAsia" w:ascii="宋体" w:hAnsi="宋体" w:eastAsia="宋体" w:cs="宋体"/>
                <w:color w:val="auto"/>
                <w:highlight w:val="none"/>
              </w:rPr>
            </w:pPr>
            <w:r>
              <w:rPr>
                <w:rFonts w:hint="eastAsia"/>
                <w:color w:val="auto"/>
                <w:sz w:val="22"/>
                <w:szCs w:val="22"/>
                <w:highlight w:val="none"/>
              </w:rPr>
              <w:t>投标人能够全部响应并满足招标文件“第五章招标内容及要求”第二条“技术和服务要求”各项技术服务要求，没有任何负偏离，则响应程度得分为26.5分。以“★”标示的内容为不允许负偏离的实质性要求，若有一项负偏离，按照无效标处理；如果投标人对招标文件“第五章招标内容及要求”第二条“技术和服务要求”中除“★”标示的内容外的各项</w:t>
            </w:r>
            <w:r>
              <w:rPr>
                <w:rFonts w:hint="eastAsia"/>
                <w:color w:val="auto"/>
                <w:sz w:val="22"/>
                <w:szCs w:val="22"/>
                <w:highlight w:val="none"/>
                <w:lang w:eastAsia="zh-CN"/>
              </w:rPr>
              <w:t>（</w:t>
            </w:r>
            <w:r>
              <w:rPr>
                <w:rFonts w:hint="eastAsia"/>
                <w:color w:val="auto"/>
                <w:sz w:val="22"/>
                <w:szCs w:val="22"/>
                <w:highlight w:val="none"/>
                <w:lang w:val="en-US" w:eastAsia="zh-CN"/>
              </w:rPr>
              <w:t>注：</w:t>
            </w:r>
            <w:r>
              <w:rPr>
                <w:rFonts w:hint="eastAsia"/>
                <w:color w:val="auto"/>
                <w:sz w:val="22"/>
                <w:szCs w:val="22"/>
                <w:highlight w:val="none"/>
              </w:rPr>
              <w:t>凡标有最低一级序号的指标项即为一项</w:t>
            </w:r>
            <w:r>
              <w:rPr>
                <w:rFonts w:hint="eastAsia"/>
                <w:color w:val="auto"/>
                <w:sz w:val="22"/>
                <w:szCs w:val="22"/>
                <w:highlight w:val="none"/>
                <w:lang w:eastAsia="zh-CN"/>
              </w:rPr>
              <w:t>）</w:t>
            </w:r>
            <w:r>
              <w:rPr>
                <w:rFonts w:hint="eastAsia"/>
                <w:color w:val="auto"/>
                <w:sz w:val="22"/>
                <w:szCs w:val="22"/>
                <w:highlight w:val="none"/>
              </w:rPr>
              <w:t>技术服务要求有负偏离，则按以下分类分档进行量化评分。（1）负偏离数量为1～3个，则响应程度为优良，并按照负偏离的实际数量从少到多的顺序，分别量化得分为25.5分、24.5分、23.5分。 （2）负偏离数量为4～6个，则响应程度为较好，并按照负偏离的实际数量从少到多的顺序，分别量化得分为22.5分、21.5分、20.5分。（3）负偏离数量为7～9个，则响应程度为一般，并按照负偏离的实际数量从少到多的顺序，分别量化得分为19.5分、18.5分、17.5分。负偏离数量≥10个，视为投标响应重大偏离招标文件要求，响应程度招标人无法接受，该投标人的投标文件将被否决。 正偏离不加分。</w:t>
            </w:r>
          </w:p>
        </w:tc>
      </w:tr>
      <w:tr w14:paraId="1B9C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trPr>
        <w:tc>
          <w:tcPr>
            <w:tcW w:w="1305" w:type="dxa"/>
            <w:shd w:val="clear" w:color="auto" w:fill="auto"/>
            <w:vAlign w:val="center"/>
          </w:tcPr>
          <w:p w14:paraId="1503DE4E">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2、对项目现状分析和理解</w:t>
            </w:r>
          </w:p>
        </w:tc>
        <w:tc>
          <w:tcPr>
            <w:tcW w:w="570" w:type="dxa"/>
            <w:shd w:val="clear" w:color="auto" w:fill="auto"/>
            <w:vAlign w:val="center"/>
          </w:tcPr>
          <w:p w14:paraId="6D76F310">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23464F20">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本项目的基础设施现状、基础平台现状、应用系统现状、密码应用现状、基础数据现状等项目现状情况了解清楚、透彻，内容具体、全面，抓住了本项目的重点得3分；对于项目需求理解较为完整，内容基本全面、分析内容基本符合项目目标得1分；对于项目需求理解有待进一步深入，分析不够透彻的0.5分；未提供或理解存在较大偏差，内容有较大欠缺的不得分。</w:t>
            </w:r>
          </w:p>
        </w:tc>
      </w:tr>
      <w:tr w14:paraId="14E1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66433D7B">
            <w:pPr>
              <w:widowControl/>
              <w:jc w:val="left"/>
              <w:textAlignment w:val="center"/>
              <w:rPr>
                <w:rFonts w:hint="default" w:ascii="宋体" w:hAnsi="宋体" w:cs="宋体" w:eastAsiaTheme="minorEastAsia"/>
                <w:color w:val="auto"/>
                <w:highlight w:val="none"/>
                <w:lang w:val="en-US" w:eastAsia="zh-CN"/>
              </w:rPr>
            </w:pPr>
            <w:r>
              <w:rPr>
                <w:rFonts w:hint="eastAsia"/>
                <w:color w:val="auto"/>
                <w:sz w:val="22"/>
                <w:szCs w:val="22"/>
                <w:highlight w:val="none"/>
              </w:rPr>
              <w:t>3、</w:t>
            </w:r>
            <w:r>
              <w:rPr>
                <w:rFonts w:hint="eastAsia"/>
                <w:color w:val="auto"/>
                <w:sz w:val="22"/>
                <w:szCs w:val="22"/>
                <w:highlight w:val="none"/>
                <w:lang w:val="en-US" w:eastAsia="zh-CN"/>
              </w:rPr>
              <w:t>质量管控方案</w:t>
            </w:r>
          </w:p>
        </w:tc>
        <w:tc>
          <w:tcPr>
            <w:tcW w:w="570" w:type="dxa"/>
            <w:shd w:val="clear" w:color="auto" w:fill="auto"/>
            <w:vAlign w:val="center"/>
          </w:tcPr>
          <w:p w14:paraId="75296770">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0C583E03">
            <w:pPr>
              <w:widowControl/>
              <w:jc w:val="left"/>
              <w:textAlignment w:val="bottom"/>
              <w:rPr>
                <w:rFonts w:hint="eastAsia" w:ascii="宋体" w:hAnsi="宋体" w:eastAsia="宋体" w:cs="宋体"/>
                <w:color w:val="auto"/>
                <w:highlight w:val="none"/>
              </w:rPr>
            </w:pPr>
            <w:r>
              <w:rPr>
                <w:rFonts w:hint="eastAsia"/>
                <w:color w:val="auto"/>
                <w:highlight w:val="none"/>
              </w:rPr>
              <w:t xml:space="preserve">根据投标人提供的项目实施事前、事中、事后质量管控措施方案综合打分：方案对本项目具有较好针对性描述，管控措施包括实施事前、事中、事后全过程，措施能充分保证项目质量的，得3分；方案对本项目描述针对性一般，管控措施包括实施事前、事中、事后全过程，措施能基本保证项目质量的，得1分；方案对本项目不具有针对性描述，管控措施未覆盖实施事前、事中、事后全过程，措施不足以保证项目质量的，得0.5分，未提供方案或重大偏离的不得分。 </w:t>
            </w:r>
          </w:p>
        </w:tc>
      </w:tr>
      <w:tr w14:paraId="08FC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0C9B86A6">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4、项目风险和进度安排</w:t>
            </w:r>
          </w:p>
        </w:tc>
        <w:tc>
          <w:tcPr>
            <w:tcW w:w="570" w:type="dxa"/>
            <w:shd w:val="clear" w:color="auto" w:fill="auto"/>
            <w:vAlign w:val="center"/>
          </w:tcPr>
          <w:p w14:paraId="08FED286">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506907D7">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根据投标人提供的项目风险分析及规避方案、项目建设实践进度控制方案等内容进行综合评价。方案风险点评估准确、完整，规避方案可操作性强、建设进度控制方案详实可行的得3分；方案阐述较详实，方案可操作性较可行的得1分；方案阐述内容简短，方案可操作性较差的得0.5分；未提供或重大偏离的不得分。</w:t>
            </w:r>
          </w:p>
        </w:tc>
      </w:tr>
      <w:tr w14:paraId="38F1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250957DA">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5、项目应急方案</w:t>
            </w:r>
          </w:p>
        </w:tc>
        <w:tc>
          <w:tcPr>
            <w:tcW w:w="570" w:type="dxa"/>
            <w:shd w:val="clear" w:color="auto" w:fill="auto"/>
            <w:vAlign w:val="center"/>
          </w:tcPr>
          <w:p w14:paraId="7C1FD994">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174F7A50">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根据投标人提供的突发事件反应预案情况进行评议，提供完整的应急预案，且应对方式合理的得3分；能针对可预见的突发情况，提供较完整的应急预案，且应对方式基本合理的得1分；能提供出应急预案，但表述欠佳，应对措施不太合理的得0.5分；未提供应急预案或重大偏离的不得分。</w:t>
            </w:r>
          </w:p>
        </w:tc>
      </w:tr>
      <w:tr w14:paraId="7DC5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4A7377BE">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6、公众服务系统</w:t>
            </w:r>
          </w:p>
        </w:tc>
        <w:tc>
          <w:tcPr>
            <w:tcW w:w="570" w:type="dxa"/>
            <w:shd w:val="clear" w:color="auto" w:fill="auto"/>
            <w:vAlign w:val="center"/>
          </w:tcPr>
          <w:p w14:paraId="23C785D6">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05511A03">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公众服务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5C8D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41C3716F">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7、指挥协调系统</w:t>
            </w:r>
          </w:p>
        </w:tc>
        <w:tc>
          <w:tcPr>
            <w:tcW w:w="570" w:type="dxa"/>
            <w:shd w:val="clear" w:color="auto" w:fill="auto"/>
            <w:vAlign w:val="center"/>
          </w:tcPr>
          <w:p w14:paraId="2A6B2013">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6614FC7C">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指挥协调系统做出全面详细可落地性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一般，得0.5分；方案设计可行性差、逻辑混乱或没有提供功能设计方案不得分。</w:t>
            </w:r>
          </w:p>
        </w:tc>
      </w:tr>
      <w:tr w14:paraId="4BA0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71EA83D0">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8、城市事件分类与标准</w:t>
            </w:r>
          </w:p>
        </w:tc>
        <w:tc>
          <w:tcPr>
            <w:tcW w:w="570" w:type="dxa"/>
            <w:shd w:val="clear" w:color="auto" w:fill="auto"/>
            <w:vAlign w:val="center"/>
          </w:tcPr>
          <w:p w14:paraId="6050086B">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2</w:t>
            </w:r>
          </w:p>
        </w:tc>
        <w:tc>
          <w:tcPr>
            <w:tcW w:w="6436" w:type="dxa"/>
            <w:shd w:val="clear" w:color="auto" w:fill="auto"/>
            <w:vAlign w:val="bottom"/>
          </w:tcPr>
          <w:p w14:paraId="43046C9B">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城市事件分类与标准做出全面详细设计，设计合理，技术可行性强，功能划分清晰，逻辑性强，得2分；方案设计较合理，技术可行性较强，功能划分较清晰，逻辑性较强，得1分；设计简单，技术可行性一般，功能划分一般，逻辑性 一般，得0.5分；方案设计可行性差、逻辑混乱或没有提供功能设 计方案不得分。</w:t>
            </w:r>
          </w:p>
        </w:tc>
      </w:tr>
      <w:tr w14:paraId="37C0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3767B09E">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9、网格微服务系统</w:t>
            </w:r>
          </w:p>
        </w:tc>
        <w:tc>
          <w:tcPr>
            <w:tcW w:w="570" w:type="dxa"/>
            <w:shd w:val="clear" w:color="auto" w:fill="auto"/>
            <w:vAlign w:val="center"/>
          </w:tcPr>
          <w:p w14:paraId="4B894027">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2</w:t>
            </w:r>
          </w:p>
        </w:tc>
        <w:tc>
          <w:tcPr>
            <w:tcW w:w="6436" w:type="dxa"/>
            <w:shd w:val="clear" w:color="auto" w:fill="auto"/>
            <w:vAlign w:val="bottom"/>
          </w:tcPr>
          <w:p w14:paraId="5C11F553">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网格微服务系统做出全面详细设计，方案设计合理，技术可行性强，功能划分清晰，逻辑性强，得2分；方案设计较合理，技术可行性，功能划分较清晰，逻辑性较强，得1分；方案设计简单，技术可行性一般，功能划分一般，逻辑性 一般，得0.5分；方案设计可行性差、逻辑混乱或没有提供功能设 计方案不得分。</w:t>
            </w:r>
          </w:p>
        </w:tc>
      </w:tr>
      <w:tr w14:paraId="1CA4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4AFDB70B">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10、舆情监测系统</w:t>
            </w:r>
          </w:p>
        </w:tc>
        <w:tc>
          <w:tcPr>
            <w:tcW w:w="570" w:type="dxa"/>
            <w:shd w:val="clear" w:color="auto" w:fill="auto"/>
            <w:vAlign w:val="center"/>
          </w:tcPr>
          <w:p w14:paraId="6989D4AA">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7BB3DC89">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舆情监测系统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253B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73E14AEA">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11、城市自评价系统</w:t>
            </w:r>
          </w:p>
        </w:tc>
        <w:tc>
          <w:tcPr>
            <w:tcW w:w="570" w:type="dxa"/>
            <w:shd w:val="clear" w:color="auto" w:fill="auto"/>
            <w:vAlign w:val="center"/>
          </w:tcPr>
          <w:p w14:paraId="19BD3A27">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2.5</w:t>
            </w:r>
          </w:p>
        </w:tc>
        <w:tc>
          <w:tcPr>
            <w:tcW w:w="6436" w:type="dxa"/>
            <w:shd w:val="clear" w:color="auto" w:fill="auto"/>
            <w:vAlign w:val="bottom"/>
          </w:tcPr>
          <w:p w14:paraId="1078C0FE">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城市自评价系统做出全面详细设计，方案设计合理，技术可行性强，功能划分清晰，逻辑性强，得2.5分；方案设计较合理，技术可行性，功能划分较清晰，逻辑性较强，得1分；方案设计简单，技术可行性一般，功能划分一般，逻辑性 一般，得0.5分；方案设计可行性差、逻辑混乱或没有提供功能设 计方案不得分。</w:t>
            </w:r>
          </w:p>
        </w:tc>
      </w:tr>
      <w:tr w14:paraId="7BF7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3C472DB6">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12、辅助决策中心</w:t>
            </w:r>
          </w:p>
        </w:tc>
        <w:tc>
          <w:tcPr>
            <w:tcW w:w="570" w:type="dxa"/>
            <w:shd w:val="clear" w:color="auto" w:fill="auto"/>
            <w:vAlign w:val="center"/>
          </w:tcPr>
          <w:p w14:paraId="044E849F">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2DE51907">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辅助决策中心做出全面详细设计，方案设计合理，技术可行性强，功能划分清晰，逻辑性强，得3分；方案设计较合理，技术可行性，功能划分较清晰，逻辑性较强，得1分；方案设计简单，技术可行性一般，功能划分一般，逻辑性 一般，得0.5分；方案设计可行性差、逻辑混乱或没有提供功能设 计方案不得分。</w:t>
            </w:r>
          </w:p>
        </w:tc>
      </w:tr>
      <w:tr w14:paraId="22D5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2A685B9C">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13、城市运行监测系统</w:t>
            </w:r>
          </w:p>
        </w:tc>
        <w:tc>
          <w:tcPr>
            <w:tcW w:w="570" w:type="dxa"/>
            <w:shd w:val="clear" w:color="auto" w:fill="auto"/>
            <w:vAlign w:val="center"/>
          </w:tcPr>
          <w:p w14:paraId="2C031763">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25DC160B">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投标人对城市运行监测系统统做出全面详细设计，方案设计合理，技术可行性强，功能划分清晰，逻辑性强，得3分；方案设计较合理，技术可行性，功能划分较清晰，逻辑性较强，得1分；方案设计简单，技术可行性一般，功能划分一般，逻辑性一般，得0.5分；方案设计可行性差、逻辑混乱或没有提供功能设 计方案不得分。</w:t>
            </w:r>
          </w:p>
        </w:tc>
      </w:tr>
      <w:tr w14:paraId="2797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shd w:val="clear" w:color="auto" w:fill="auto"/>
            <w:vAlign w:val="center"/>
          </w:tcPr>
          <w:p w14:paraId="3430FA1A">
            <w:pPr>
              <w:widowControl/>
              <w:jc w:val="left"/>
              <w:textAlignment w:val="center"/>
              <w:rPr>
                <w:rFonts w:hint="eastAsia" w:ascii="宋体" w:hAnsi="宋体" w:eastAsia="宋体" w:cs="宋体"/>
                <w:color w:val="auto"/>
                <w:highlight w:val="none"/>
              </w:rPr>
            </w:pPr>
            <w:r>
              <w:rPr>
                <w:rFonts w:hint="eastAsia"/>
                <w:color w:val="auto"/>
                <w:sz w:val="22"/>
                <w:szCs w:val="22"/>
                <w:highlight w:val="none"/>
              </w:rPr>
              <w:t>14、技术培训</w:t>
            </w:r>
          </w:p>
        </w:tc>
        <w:tc>
          <w:tcPr>
            <w:tcW w:w="570" w:type="dxa"/>
            <w:shd w:val="clear" w:color="auto" w:fill="auto"/>
            <w:vAlign w:val="center"/>
          </w:tcPr>
          <w:p w14:paraId="4EB4D36D">
            <w:pPr>
              <w:widowControl/>
              <w:jc w:val="center"/>
              <w:textAlignment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5BDB79E6">
            <w:pPr>
              <w:widowControl/>
              <w:jc w:val="left"/>
              <w:textAlignment w:val="bottom"/>
              <w:rPr>
                <w:rFonts w:hint="eastAsia" w:ascii="宋体" w:hAnsi="宋体" w:eastAsia="宋体" w:cs="宋体"/>
                <w:color w:val="auto"/>
                <w:highlight w:val="none"/>
              </w:rPr>
            </w:pPr>
            <w:r>
              <w:rPr>
                <w:rFonts w:hint="eastAsia"/>
                <w:color w:val="auto"/>
                <w:sz w:val="22"/>
                <w:szCs w:val="22"/>
                <w:highlight w:val="none"/>
              </w:rPr>
              <w:t>根据投标人的投标文件中对采购人的管理人员、操作人员及维护人员进行培训、学术支持等</w:t>
            </w:r>
            <w:r>
              <w:rPr>
                <w:rFonts w:hint="eastAsia"/>
                <w:color w:val="auto"/>
                <w:sz w:val="22"/>
                <w:szCs w:val="22"/>
                <w:highlight w:val="none"/>
                <w:lang w:val="en-US" w:eastAsia="zh-Hans"/>
              </w:rPr>
              <w:t>培训计划</w:t>
            </w:r>
            <w:r>
              <w:rPr>
                <w:rFonts w:hint="eastAsia"/>
                <w:color w:val="auto"/>
                <w:sz w:val="22"/>
                <w:szCs w:val="22"/>
                <w:highlight w:val="none"/>
              </w:rPr>
              <w:t>情况，由评委进行评分：培训计划内容符合实际、合理得3分；培训计划内容较符合实际、较合理得1分；培训计划承诺内容一般得0.5分；未提供或培训计划内容不合理的不得分。</w:t>
            </w:r>
          </w:p>
        </w:tc>
      </w:tr>
      <w:tr w14:paraId="34FC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vMerge w:val="restart"/>
            <w:shd w:val="clear" w:color="auto" w:fill="auto"/>
            <w:vAlign w:val="center"/>
          </w:tcPr>
          <w:p w14:paraId="1D8E37F0">
            <w:pPr>
              <w:widowControl/>
              <w:jc w:val="left"/>
              <w:rPr>
                <w:rFonts w:hint="eastAsia" w:ascii="宋体" w:hAnsi="宋体" w:eastAsia="宋体" w:cs="宋体"/>
                <w:color w:val="auto"/>
                <w:highlight w:val="none"/>
              </w:rPr>
            </w:pPr>
            <w:r>
              <w:rPr>
                <w:rFonts w:hint="eastAsia"/>
                <w:color w:val="auto"/>
                <w:highlight w:val="none"/>
              </w:rPr>
              <w:t>15、系统演示（1、在评审现场进行的演示不能为ppt、图片或录制视频；演示现场不能使用互联网网络；2、演示时间控制在15分钟内完成；3、演示用的相关设备由投标人自行提供，包括但不限于笔记本电脑、鼠标、视频输出转换器等；4、本项目如需复议，评标委员会不再对系统演示的内容进行审核。）</w:t>
            </w:r>
          </w:p>
        </w:tc>
        <w:tc>
          <w:tcPr>
            <w:tcW w:w="570" w:type="dxa"/>
            <w:shd w:val="clear" w:color="auto" w:fill="auto"/>
            <w:vAlign w:val="center"/>
          </w:tcPr>
          <w:p w14:paraId="738110A5">
            <w:pPr>
              <w:widowControl/>
              <w:jc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6AEDD66B">
            <w:pPr>
              <w:widowControl/>
              <w:jc w:val="left"/>
              <w:rPr>
                <w:rFonts w:hint="eastAsia" w:ascii="宋体" w:hAnsi="宋体" w:eastAsia="宋体" w:cs="宋体"/>
                <w:color w:val="auto"/>
                <w:highlight w:val="none"/>
              </w:rPr>
            </w:pPr>
            <w:r>
              <w:rPr>
                <w:rFonts w:hint="eastAsia"/>
                <w:color w:val="auto"/>
                <w:sz w:val="22"/>
                <w:szCs w:val="22"/>
                <w:highlight w:val="none"/>
              </w:rPr>
              <w:t>演示内容1：辅助决策中心演示：投标人自行获取演示数据，从区域、专题、宏观指标等维度分析城市运行态势，并演示实现效果。根据演示功能设计的合理性、科学性、实用型等方面进行评议，演示功能合理、科学、实用的得3分；演示功能较合理、较实用的得2分；演示功能不够合理、不够实用的得1分；演示功能不合理或未提供演示的不得分。</w:t>
            </w:r>
          </w:p>
        </w:tc>
      </w:tr>
      <w:tr w14:paraId="4B53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vMerge w:val="continue"/>
            <w:shd w:val="clear" w:color="auto" w:fill="auto"/>
            <w:vAlign w:val="center"/>
          </w:tcPr>
          <w:p w14:paraId="1FA9C1D7">
            <w:pPr>
              <w:widowControl/>
              <w:jc w:val="left"/>
              <w:rPr>
                <w:rFonts w:hint="eastAsia" w:ascii="宋体" w:hAnsi="宋体" w:eastAsia="宋体" w:cs="宋体"/>
                <w:color w:val="auto"/>
                <w:highlight w:val="none"/>
              </w:rPr>
            </w:pPr>
          </w:p>
        </w:tc>
        <w:tc>
          <w:tcPr>
            <w:tcW w:w="570" w:type="dxa"/>
            <w:shd w:val="clear" w:color="auto" w:fill="auto"/>
            <w:vAlign w:val="center"/>
          </w:tcPr>
          <w:p w14:paraId="4FF68066">
            <w:pPr>
              <w:widowControl/>
              <w:jc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3EF9E66B">
            <w:pPr>
              <w:widowControl/>
              <w:jc w:val="left"/>
              <w:rPr>
                <w:rFonts w:hint="eastAsia" w:ascii="宋体" w:hAnsi="宋体" w:eastAsia="宋体" w:cs="宋体"/>
                <w:color w:val="auto"/>
                <w:highlight w:val="none"/>
              </w:rPr>
            </w:pPr>
            <w:r>
              <w:rPr>
                <w:rFonts w:hint="eastAsia"/>
                <w:color w:val="auto"/>
                <w:sz w:val="22"/>
                <w:szCs w:val="22"/>
                <w:highlight w:val="none"/>
              </w:rPr>
              <w:t>演示内容2：公众服务系统演示：投标人自行获取演示数据，从公众上报管理、运行分析、信息管理等维度进行功能演示。根据演示功能设计的合理性、科学性、实用型等方面进行评议，演示功能合理、科学、实用的得3分；演示功能较合理、较实用的得2分；演示功能不够合理、不够实用的得1分；演示功能不合理或未提供演示的不得分。</w:t>
            </w:r>
          </w:p>
        </w:tc>
      </w:tr>
      <w:tr w14:paraId="0BC2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vMerge w:val="continue"/>
            <w:shd w:val="clear" w:color="auto" w:fill="auto"/>
            <w:vAlign w:val="center"/>
          </w:tcPr>
          <w:p w14:paraId="0EF8109F">
            <w:pPr>
              <w:widowControl/>
              <w:jc w:val="left"/>
              <w:rPr>
                <w:rFonts w:hint="eastAsia" w:ascii="宋体" w:hAnsi="宋体" w:eastAsia="宋体" w:cs="宋体"/>
                <w:color w:val="auto"/>
                <w:highlight w:val="none"/>
              </w:rPr>
            </w:pPr>
          </w:p>
        </w:tc>
        <w:tc>
          <w:tcPr>
            <w:tcW w:w="570" w:type="dxa"/>
            <w:shd w:val="clear" w:color="auto" w:fill="auto"/>
            <w:vAlign w:val="center"/>
          </w:tcPr>
          <w:p w14:paraId="7959F293">
            <w:pPr>
              <w:widowControl/>
              <w:jc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688B3FE0">
            <w:pPr>
              <w:widowControl/>
              <w:jc w:val="left"/>
              <w:rPr>
                <w:rFonts w:hint="eastAsia" w:ascii="宋体" w:hAnsi="宋体" w:eastAsia="宋体" w:cs="宋体"/>
                <w:color w:val="auto"/>
                <w:highlight w:val="none"/>
              </w:rPr>
            </w:pPr>
            <w:r>
              <w:rPr>
                <w:rFonts w:hint="eastAsia"/>
                <w:color w:val="auto"/>
                <w:sz w:val="22"/>
                <w:szCs w:val="22"/>
                <w:highlight w:val="none"/>
              </w:rPr>
              <w:t>演示内容3：事件管理中心演示：投标人自行获取演示数据，从功能界面、案件详情字段设置、案件重复判定等维度进行功能演示。根据演示功能设计的合理性、科学性、实用型等方面进行评议，演示功能合理、科学、实用的得3分；演示功能较合理、较实用的得2分；演示功能不够合理、不够实用的得1分；演示功能不合理或未提供演示的不得分。</w:t>
            </w:r>
          </w:p>
        </w:tc>
      </w:tr>
      <w:tr w14:paraId="6E96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305" w:type="dxa"/>
            <w:vMerge w:val="continue"/>
            <w:shd w:val="clear" w:color="auto" w:fill="auto"/>
            <w:vAlign w:val="center"/>
          </w:tcPr>
          <w:p w14:paraId="1DCE06A3">
            <w:pPr>
              <w:widowControl/>
              <w:jc w:val="left"/>
              <w:rPr>
                <w:rFonts w:hint="eastAsia" w:ascii="宋体" w:hAnsi="宋体" w:eastAsia="宋体" w:cs="宋体"/>
                <w:color w:val="auto"/>
                <w:highlight w:val="none"/>
              </w:rPr>
            </w:pPr>
          </w:p>
        </w:tc>
        <w:tc>
          <w:tcPr>
            <w:tcW w:w="570" w:type="dxa"/>
            <w:shd w:val="clear" w:color="auto" w:fill="auto"/>
            <w:vAlign w:val="center"/>
          </w:tcPr>
          <w:p w14:paraId="0B0821C9">
            <w:pPr>
              <w:widowControl/>
              <w:jc w:val="center"/>
              <w:rPr>
                <w:rFonts w:hint="eastAsia" w:ascii="宋体" w:hAnsi="宋体" w:eastAsia="宋体" w:cs="宋体"/>
                <w:color w:val="auto"/>
                <w:highlight w:val="none"/>
              </w:rPr>
            </w:pPr>
            <w:r>
              <w:rPr>
                <w:rFonts w:hint="eastAsia"/>
                <w:color w:val="auto"/>
                <w:sz w:val="22"/>
                <w:szCs w:val="22"/>
                <w:highlight w:val="none"/>
              </w:rPr>
              <w:t>3</w:t>
            </w:r>
          </w:p>
        </w:tc>
        <w:tc>
          <w:tcPr>
            <w:tcW w:w="6436" w:type="dxa"/>
            <w:shd w:val="clear" w:color="auto" w:fill="auto"/>
            <w:vAlign w:val="bottom"/>
          </w:tcPr>
          <w:p w14:paraId="149C5C5D">
            <w:pPr>
              <w:widowControl/>
              <w:jc w:val="left"/>
              <w:rPr>
                <w:rFonts w:hint="eastAsia" w:ascii="宋体" w:hAnsi="宋体" w:eastAsia="宋体" w:cs="宋体"/>
                <w:color w:val="auto"/>
                <w:highlight w:val="none"/>
              </w:rPr>
            </w:pPr>
            <w:r>
              <w:rPr>
                <w:rFonts w:hint="eastAsia"/>
                <w:color w:val="auto"/>
                <w:sz w:val="22"/>
                <w:szCs w:val="22"/>
                <w:highlight w:val="none"/>
              </w:rPr>
              <w:t>演示内容4：联动处置演示：投标人自行获取演示数据，从发起吹哨、吹哨报道处置、吹哨评价等维度进行功能演示。根据演示功能设计的合理性、科学性、实用型等方面进行评议，演示功能合理、科学、实用的得3分；演示功能较合理、较实用的得2分；演示功能不够合理、不够实用的得1分；演示功能不合理或未提供演示的不得分。</w:t>
            </w:r>
          </w:p>
        </w:tc>
      </w:tr>
    </w:tbl>
    <w:p w14:paraId="47F1D28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③商务项（F3×A3）满分为</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分。</w:t>
      </w:r>
    </w:p>
    <w:tbl>
      <w:tblPr>
        <w:tblStyle w:val="15"/>
        <w:tblW w:w="832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30"/>
        <w:gridCol w:w="689"/>
        <w:gridCol w:w="6907"/>
      </w:tblGrid>
      <w:tr w14:paraId="5C99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730" w:type="dxa"/>
            <w:shd w:val="clear" w:color="auto" w:fill="auto"/>
            <w:vAlign w:val="center"/>
          </w:tcPr>
          <w:p w14:paraId="7B919E78">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评标项目</w:t>
            </w:r>
          </w:p>
        </w:tc>
        <w:tc>
          <w:tcPr>
            <w:tcW w:w="689" w:type="dxa"/>
            <w:shd w:val="clear" w:color="auto" w:fill="auto"/>
            <w:vAlign w:val="center"/>
          </w:tcPr>
          <w:p w14:paraId="2B3AC291">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评标分值</w:t>
            </w:r>
          </w:p>
        </w:tc>
        <w:tc>
          <w:tcPr>
            <w:tcW w:w="6907" w:type="dxa"/>
            <w:shd w:val="clear" w:color="auto" w:fill="auto"/>
            <w:vAlign w:val="center"/>
          </w:tcPr>
          <w:p w14:paraId="2B8B3E39">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评标方法描述</w:t>
            </w:r>
          </w:p>
        </w:tc>
      </w:tr>
      <w:tr w14:paraId="667C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tblCellSpacing w:w="0" w:type="dxa"/>
        </w:trPr>
        <w:tc>
          <w:tcPr>
            <w:tcW w:w="730" w:type="dxa"/>
            <w:shd w:val="clear" w:color="auto" w:fill="auto"/>
            <w:vAlign w:val="center"/>
          </w:tcPr>
          <w:p w14:paraId="244689D0">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1、人员1</w:t>
            </w:r>
          </w:p>
        </w:tc>
        <w:tc>
          <w:tcPr>
            <w:tcW w:w="689" w:type="dxa"/>
            <w:shd w:val="clear" w:color="auto" w:fill="auto"/>
            <w:vAlign w:val="center"/>
          </w:tcPr>
          <w:p w14:paraId="63620DA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6907" w:type="dxa"/>
            <w:shd w:val="clear" w:color="auto" w:fill="auto"/>
            <w:vAlign w:val="center"/>
          </w:tcPr>
          <w:p w14:paraId="62723C09">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投标人拟派项目经理具有1.系统分析师2. 信息系统项目管理师 3.注册信息安全专业人员CISP的得3分，每缺少一个扣1分。投标人须提供有效的证书复印件并加盖投标人公章以及技术负责人投标截止时间前三个月（不含投标截止时间的当月）中任一月份的社会保险缴纳凭据复印件，否则不得分。</w:t>
            </w:r>
          </w:p>
        </w:tc>
      </w:tr>
      <w:tr w14:paraId="0050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30" w:type="dxa"/>
            <w:shd w:val="clear" w:color="auto" w:fill="auto"/>
            <w:vAlign w:val="center"/>
          </w:tcPr>
          <w:p w14:paraId="520085D1">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2、人员2</w:t>
            </w:r>
          </w:p>
        </w:tc>
        <w:tc>
          <w:tcPr>
            <w:tcW w:w="689" w:type="dxa"/>
            <w:shd w:val="clear" w:color="auto" w:fill="auto"/>
            <w:vAlign w:val="center"/>
          </w:tcPr>
          <w:p w14:paraId="528DB0B8">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6907" w:type="dxa"/>
            <w:shd w:val="clear" w:color="auto" w:fill="auto"/>
            <w:vAlign w:val="center"/>
          </w:tcPr>
          <w:p w14:paraId="5D895A9D">
            <w:pPr>
              <w:keepNext w:val="0"/>
              <w:keepLines w:val="0"/>
              <w:widowControl/>
              <w:suppressLineNumbers w:val="0"/>
              <w:jc w:val="left"/>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投标人拟派项目技术总负责人具有1.系统架构设计师2.注册信息安全专业人员CISP 3.信息安全保障人员认证证书CISAW的得3分，每缺少一个扣1分。投标人须提供有效的证书复印件并加盖投标人公章以及项目经理投标截止时间前三个月（不含投标截止时间的当月）中任一月份的社会保险缴纳凭据复印件，否则不得分。(人员1和人员2不得为同一人。）</w:t>
            </w:r>
          </w:p>
        </w:tc>
      </w:tr>
      <w:tr w14:paraId="5D5B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30" w:type="dxa"/>
            <w:shd w:val="clear" w:color="auto" w:fill="auto"/>
            <w:vAlign w:val="center"/>
          </w:tcPr>
          <w:p w14:paraId="7D1BD867">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color w:val="auto"/>
                <w:kern w:val="0"/>
                <w:sz w:val="21"/>
                <w:szCs w:val="21"/>
                <w:highlight w:val="none"/>
                <w:u w:val="none"/>
                <w:lang w:val="en-US" w:eastAsia="zh-CN" w:bidi="ar"/>
              </w:rPr>
              <w:t>3、同类业绩</w:t>
            </w:r>
          </w:p>
        </w:tc>
        <w:tc>
          <w:tcPr>
            <w:tcW w:w="689" w:type="dxa"/>
            <w:shd w:val="clear" w:color="auto" w:fill="auto"/>
            <w:vAlign w:val="center"/>
          </w:tcPr>
          <w:p w14:paraId="582765E8">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6907" w:type="dxa"/>
            <w:shd w:val="clear" w:color="auto" w:fill="auto"/>
            <w:vAlign w:val="center"/>
          </w:tcPr>
          <w:p w14:paraId="5E40F900">
            <w:pPr>
              <w:keepNext w:val="0"/>
              <w:keepLines w:val="0"/>
              <w:widowControl/>
              <w:suppressLineNumbers w:val="0"/>
              <w:jc w:val="both"/>
              <w:textAlignment w:val="center"/>
              <w:rPr>
                <w:rFonts w:hint="eastAsia" w:ascii="宋体" w:hAnsi="宋体" w:eastAsia="宋体" w:cs="宋体"/>
                <w:color w:val="auto"/>
                <w:kern w:val="0"/>
                <w:sz w:val="24"/>
                <w:szCs w:val="24"/>
                <w:highlight w:val="none"/>
                <w:lang w:val="en-US" w:eastAsia="zh-CN" w:bidi="ar"/>
              </w:rPr>
            </w:pPr>
            <w:r>
              <w:rPr>
                <w:rStyle w:val="20"/>
                <w:color w:val="auto"/>
                <w:highlight w:val="none"/>
                <w:lang w:val="en-US" w:eastAsia="zh-CN" w:bidi="ar"/>
              </w:rPr>
              <w:t>2017年01月01日以来投标人承担过智慧城市、智慧城管等类似相关案例的每个1分，最多得3分。</w:t>
            </w:r>
            <w:r>
              <w:rPr>
                <w:rStyle w:val="21"/>
                <w:color w:val="auto"/>
                <w:highlight w:val="none"/>
                <w:lang w:val="en-US" w:eastAsia="zh-CN" w:bidi="ar"/>
              </w:rPr>
              <w:t xml:space="preserve"> </w:t>
            </w:r>
            <w:r>
              <w:rPr>
                <w:rStyle w:val="20"/>
                <w:color w:val="auto"/>
                <w:highlight w:val="none"/>
                <w:lang w:val="en-US" w:eastAsia="zh-CN" w:bidi="ar"/>
              </w:rPr>
              <w:t>（投标人需提供项目相关证明材料复印件并加盖公章。证明材料包含但不限于：中标公告（提供相关网站中标公告的下载网页并注明网址）、中标通知书、采购合同、验收证明及建设内容涵盖说明。提供证明材料不齐全的不得分。）</w:t>
            </w:r>
          </w:p>
        </w:tc>
      </w:tr>
      <w:tr w14:paraId="3C5D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30" w:type="dxa"/>
            <w:shd w:val="clear" w:color="auto" w:fill="auto"/>
            <w:vAlign w:val="center"/>
          </w:tcPr>
          <w:p w14:paraId="4C421606">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color w:val="auto"/>
                <w:kern w:val="0"/>
                <w:sz w:val="21"/>
                <w:szCs w:val="21"/>
                <w:highlight w:val="none"/>
                <w:u w:val="none"/>
                <w:lang w:val="en-US" w:eastAsia="zh-CN" w:bidi="ar"/>
              </w:rPr>
              <w:t>4、售后服务1</w:t>
            </w:r>
          </w:p>
        </w:tc>
        <w:tc>
          <w:tcPr>
            <w:tcW w:w="689" w:type="dxa"/>
            <w:shd w:val="clear" w:color="auto" w:fill="auto"/>
            <w:vAlign w:val="center"/>
          </w:tcPr>
          <w:p w14:paraId="52B55DBD">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6907" w:type="dxa"/>
            <w:shd w:val="clear" w:color="auto" w:fill="auto"/>
            <w:vAlign w:val="center"/>
          </w:tcPr>
          <w:p w14:paraId="394DFBEF">
            <w:pPr>
              <w:keepNext w:val="0"/>
              <w:keepLines w:val="0"/>
              <w:widowControl/>
              <w:suppressLineNumbers w:val="0"/>
              <w:jc w:val="both"/>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color w:val="auto"/>
                <w:kern w:val="0"/>
                <w:sz w:val="21"/>
                <w:szCs w:val="21"/>
                <w:highlight w:val="none"/>
                <w:u w:val="none"/>
                <w:lang w:val="en-US" w:eastAsia="zh-CN" w:bidi="ar"/>
              </w:rPr>
              <w:t>根据各投标人的售后服务方案、维修响应计划情况进行综合评价，方案完整且最大限度满足采购需求的得3分；方案较完整且基本满足采购需求的得1.5分；其余不得分。</w:t>
            </w:r>
          </w:p>
        </w:tc>
      </w:tr>
      <w:tr w14:paraId="7FC9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730" w:type="dxa"/>
            <w:shd w:val="clear" w:color="auto" w:fill="auto"/>
            <w:vAlign w:val="center"/>
          </w:tcPr>
          <w:p w14:paraId="1EF82BAF">
            <w:pPr>
              <w:keepNext w:val="0"/>
              <w:keepLines w:val="0"/>
              <w:widowControl/>
              <w:suppressLineNumbers w:val="0"/>
              <w:jc w:val="center"/>
              <w:textAlignment w:val="center"/>
              <w:rPr>
                <w:rFonts w:hint="eastAsia" w:ascii="宋体" w:hAnsi="宋体" w:eastAsia="宋体" w:cs="宋体"/>
                <w:strike/>
                <w:color w:val="auto"/>
                <w:highlight w:val="none"/>
              </w:rPr>
            </w:pPr>
            <w:r>
              <w:rPr>
                <w:rFonts w:hint="eastAsia" w:ascii="宋体" w:hAnsi="宋体" w:eastAsia="宋体" w:cs="宋体"/>
                <w:i w:val="0"/>
                <w:color w:val="auto"/>
                <w:kern w:val="0"/>
                <w:sz w:val="21"/>
                <w:szCs w:val="21"/>
                <w:highlight w:val="none"/>
                <w:u w:val="none"/>
                <w:lang w:val="en-US" w:eastAsia="zh-CN" w:bidi="ar"/>
              </w:rPr>
              <w:t>5、售后服务2</w:t>
            </w:r>
          </w:p>
        </w:tc>
        <w:tc>
          <w:tcPr>
            <w:tcW w:w="689" w:type="dxa"/>
            <w:shd w:val="clear" w:color="auto" w:fill="auto"/>
            <w:vAlign w:val="center"/>
          </w:tcPr>
          <w:p w14:paraId="325C3A9F">
            <w:pPr>
              <w:keepNext w:val="0"/>
              <w:keepLines w:val="0"/>
              <w:widowControl/>
              <w:suppressLineNumbers w:val="0"/>
              <w:jc w:val="center"/>
              <w:textAlignment w:val="center"/>
              <w:rPr>
                <w:rFonts w:hint="eastAsia" w:ascii="宋体" w:hAnsi="宋体" w:eastAsia="宋体" w:cs="宋体"/>
                <w:strike/>
                <w:color w:val="auto"/>
                <w:highlight w:val="none"/>
              </w:rPr>
            </w:pPr>
            <w:r>
              <w:rPr>
                <w:rFonts w:hint="eastAsia" w:ascii="宋体" w:hAnsi="宋体" w:eastAsia="宋体" w:cs="宋体"/>
                <w:i w:val="0"/>
                <w:color w:val="auto"/>
                <w:kern w:val="0"/>
                <w:sz w:val="21"/>
                <w:szCs w:val="21"/>
                <w:highlight w:val="none"/>
                <w:u w:val="none"/>
                <w:lang w:val="en-US" w:eastAsia="zh-CN" w:bidi="ar"/>
              </w:rPr>
              <w:t>3</w:t>
            </w:r>
          </w:p>
        </w:tc>
        <w:tc>
          <w:tcPr>
            <w:tcW w:w="6907" w:type="dxa"/>
            <w:shd w:val="clear" w:color="auto" w:fill="auto"/>
            <w:vAlign w:val="center"/>
          </w:tcPr>
          <w:p w14:paraId="00B8316A">
            <w:pPr>
              <w:keepNext w:val="0"/>
              <w:keepLines w:val="0"/>
              <w:widowControl/>
              <w:suppressLineNumbers w:val="0"/>
              <w:jc w:val="both"/>
              <w:textAlignment w:val="center"/>
              <w:rPr>
                <w:rFonts w:hint="eastAsia" w:ascii="宋体" w:hAnsi="宋体" w:eastAsia="宋体" w:cs="宋体"/>
                <w:strike/>
                <w:color w:val="auto"/>
                <w:highlight w:val="none"/>
              </w:rPr>
            </w:pPr>
            <w:r>
              <w:rPr>
                <w:rFonts w:hint="eastAsia" w:ascii="宋体" w:hAnsi="宋体" w:eastAsia="宋体" w:cs="宋体"/>
                <w:i w:val="0"/>
                <w:color w:val="auto"/>
                <w:kern w:val="0"/>
                <w:sz w:val="21"/>
                <w:szCs w:val="21"/>
                <w:highlight w:val="none"/>
                <w:u w:val="none"/>
                <w:lang w:val="en-US" w:eastAsia="zh-CN" w:bidi="ar"/>
              </w:rPr>
              <w:t>投标人承诺自接到招标人服务通知时，故障处理响应时间承诺为：响应时间≤4小时，得2分；4小时＜响应时间≤5小时，得1分；承诺自接到招标人服务通知响应时间超过5小时，本项得0分。需提供相应内容承诺函，未提供承诺函的不得分。</w:t>
            </w:r>
          </w:p>
        </w:tc>
      </w:tr>
    </w:tbl>
    <w:p w14:paraId="6E0220A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④加分项（F4×A4）</w:t>
      </w:r>
    </w:p>
    <w:p w14:paraId="43B6864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a.优先类节能产品、环境标志产品：</w:t>
      </w:r>
    </w:p>
    <w:p w14:paraId="31EEDE0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a1若同一采购包内节能、环境标志产品报价总金额低于该采购包报价总金额20%（含20%）以下，将分别给予节能、环境标志产品价格项（F1×A1，按照满分计）和技术项（F2×A2，按照满分计）4%的加分；若同一采购包内节能、环境标志产品报价总金额占该采购包报价总金额20%-50%（含50%），将分别给予节能、环境标志产品价格项（F1×A1，按照满分计）和技术项（F2×A2，按照满分计）6%的加分；若同一采购包内节能、环境标志产品报价总金额占该采购包报价总金额50%以上的，将分别给予节能、环境标志产品价格项（F1×A1，按照满分计）和技术项（F2×A2，按照满分计）8%的加分。</w:t>
      </w:r>
    </w:p>
    <w:p w14:paraId="692CBFB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a2若节能、环境标志产品仅是构成投标产品的部件、组件或零件，则该投标产品不享受鼓励优惠政策。同一品目中各认证证书不重复计算加分。强制类节能产品不享受加分。</w:t>
      </w:r>
    </w:p>
    <w:p w14:paraId="4682C1C6">
      <w:pPr>
        <w:pStyle w:val="14"/>
        <w:keepNext w:val="0"/>
        <w:keepLines w:val="0"/>
        <w:widowControl/>
        <w:suppressLineNumbers w:val="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         无</w:t>
      </w:r>
    </w:p>
    <w:p w14:paraId="6ED52D9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（4）中标候选人排列规则顺序如下：</w:t>
      </w:r>
    </w:p>
    <w:p w14:paraId="008C000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a.按照评标总得分（FA）由高到低顺序排列。</w:t>
      </w:r>
    </w:p>
    <w:p w14:paraId="7D7F8EE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b.评标总得分（FA）相同的，按照评标价（即价格扣除后的投标报价）由低到高顺序排列。</w:t>
      </w:r>
    </w:p>
    <w:p w14:paraId="257F990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c.评标总得分（FA）且评标价（即价格扣除后的投标报价）相同的并列。</w:t>
      </w:r>
    </w:p>
    <w:p w14:paraId="13043FBB">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8、其他规定</w:t>
      </w:r>
    </w:p>
    <w:p w14:paraId="33E5F3E1">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8.1评标应全程保密且不得透露给任一投标人或与评标工作无关的人员。</w:t>
      </w:r>
    </w:p>
    <w:p w14:paraId="22446D37">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8.2评标将进行全程实时录音录像，录音录像资料随采购文件一并存档。</w:t>
      </w:r>
    </w:p>
    <w:p w14:paraId="2A016084">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8.3若投标人有任何试图干扰具体评标事务，影响评标委员会独立履行职责的行为，其投标无效且不予退还投标保证金。情节严重的，由财政部门列入不良行为记录。</w:t>
      </w:r>
    </w:p>
    <w:p w14:paraId="379BDAC9">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8.4其他：无。</w:t>
      </w:r>
    </w:p>
    <w:p w14:paraId="524416BA">
      <w:pPr>
        <w:pStyle w:val="14"/>
        <w:keepNext w:val="0"/>
        <w:keepLines w:val="0"/>
        <w:widowControl/>
        <w:suppressLineNumbers w:val="0"/>
        <w:spacing w:before="75" w:beforeAutospacing="0" w:after="75" w:afterAutospacing="0"/>
        <w:ind w:left="0" w:right="0" w:firstLine="0"/>
        <w:jc w:val="center"/>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478FAD24">
      <w:pPr>
        <w:pStyle w:val="14"/>
        <w:keepNext w:val="0"/>
        <w:keepLines w:val="0"/>
        <w:widowControl/>
        <w:suppressLineNumbers w:val="0"/>
        <w:spacing w:before="75" w:beforeAutospacing="0" w:after="75" w:afterAutospacing="0"/>
        <w:ind w:left="0" w:right="0" w:firstLine="0"/>
        <w:jc w:val="center"/>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28503C5B">
      <w:pPr>
        <w:pStyle w:val="14"/>
        <w:keepNext w:val="0"/>
        <w:keepLines w:val="0"/>
        <w:widowControl/>
        <w:suppressLineNumbers w:val="0"/>
        <w:spacing w:before="75" w:beforeAutospacing="0" w:after="75" w:afterAutospacing="0"/>
        <w:ind w:left="0" w:righ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6643287D">
      <w:pPr>
        <w:rPr>
          <w:rStyle w:val="17"/>
          <w:rFonts w:hint="eastAsia" w:ascii="宋体" w:hAnsi="宋体" w:eastAsia="宋体" w:cs="宋体"/>
          <w:color w:val="auto"/>
          <w:spacing w:val="0"/>
          <w:sz w:val="31"/>
          <w:szCs w:val="31"/>
          <w:highlight w:val="none"/>
        </w:rPr>
      </w:pPr>
      <w:r>
        <w:rPr>
          <w:rStyle w:val="17"/>
          <w:rFonts w:hint="eastAsia" w:ascii="宋体" w:hAnsi="宋体" w:eastAsia="宋体" w:cs="宋体"/>
          <w:color w:val="auto"/>
          <w:spacing w:val="0"/>
          <w:sz w:val="31"/>
          <w:szCs w:val="31"/>
          <w:highlight w:val="none"/>
        </w:rPr>
        <w:br w:type="page"/>
      </w:r>
    </w:p>
    <w:p w14:paraId="7E5A0F88">
      <w:pPr>
        <w:pStyle w:val="14"/>
        <w:keepNext w:val="0"/>
        <w:keepLines w:val="0"/>
        <w:widowControl/>
        <w:suppressLineNumbers w:val="0"/>
        <w:spacing w:before="75" w:beforeAutospacing="0" w:after="75" w:afterAutospacing="0"/>
        <w:ind w:left="0" w:right="0" w:firstLine="0"/>
        <w:jc w:val="center"/>
        <w:outlineLvl w:val="0"/>
        <w:rPr>
          <w:rFonts w:hint="eastAsia" w:ascii="宋体" w:hAnsi="宋体" w:eastAsia="宋体" w:cs="宋体"/>
          <w:color w:val="auto"/>
          <w:highlight w:val="none"/>
        </w:rPr>
      </w:pPr>
      <w:bookmarkStart w:id="6" w:name="_Toc24345"/>
      <w:r>
        <w:rPr>
          <w:rStyle w:val="17"/>
          <w:rFonts w:hint="eastAsia" w:ascii="宋体" w:hAnsi="宋体" w:eastAsia="宋体" w:cs="宋体"/>
          <w:color w:val="auto"/>
          <w:spacing w:val="0"/>
          <w:sz w:val="31"/>
          <w:szCs w:val="31"/>
          <w:highlight w:val="none"/>
        </w:rPr>
        <w:t>第五章   招标内容及要求</w:t>
      </w:r>
      <w:bookmarkEnd w:id="6"/>
    </w:p>
    <w:p w14:paraId="259AB204">
      <w:pPr>
        <w:pStyle w:val="14"/>
        <w:keepNext w:val="0"/>
        <w:keepLines w:val="0"/>
        <w:widowControl/>
        <w:suppressLineNumbers w:val="0"/>
        <w:spacing w:before="75" w:beforeAutospacing="0" w:after="75" w:afterAutospacing="0"/>
        <w:ind w:left="0" w:right="0" w:firstLine="0"/>
        <w:outlineLvl w:val="1"/>
        <w:rPr>
          <w:rFonts w:hint="eastAsia" w:ascii="宋体" w:hAnsi="宋体" w:eastAsia="宋体" w:cs="宋体"/>
          <w:color w:val="auto"/>
          <w:highlight w:val="none"/>
        </w:rPr>
      </w:pPr>
      <w:bookmarkStart w:id="7" w:name="_Toc3157"/>
      <w:r>
        <w:rPr>
          <w:rFonts w:hint="eastAsia" w:ascii="宋体" w:hAnsi="宋体" w:eastAsia="宋体" w:cs="宋体"/>
          <w:color w:val="auto"/>
          <w:spacing w:val="0"/>
          <w:sz w:val="24"/>
          <w:szCs w:val="24"/>
          <w:highlight w:val="none"/>
        </w:rPr>
        <w:t>一、项目概况（采购标的）</w:t>
      </w:r>
      <w:bookmarkEnd w:id="7"/>
    </w:p>
    <w:p w14:paraId="0A997079">
      <w:pPr>
        <w:pStyle w:val="14"/>
        <w:keepNext w:val="0"/>
        <w:keepLines w:val="0"/>
        <w:widowControl/>
        <w:suppressLineNumbers w:val="0"/>
        <w:spacing w:before="75" w:beforeAutospacing="0" w:after="75" w:afterAutospacing="0"/>
        <w:ind w:left="0" w:firstLine="285"/>
        <w:outlineLvl w:val="9"/>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1.项目名称</w:t>
      </w:r>
    </w:p>
    <w:p w14:paraId="6C574FBD">
      <w:pPr>
        <w:pStyle w:val="14"/>
        <w:keepNext w:val="0"/>
        <w:keepLines w:val="0"/>
        <w:widowControl/>
        <w:suppressLineNumbers w:val="0"/>
        <w:spacing w:before="75" w:beforeAutospacing="0" w:after="7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福州市城市综合管理服务平台项目建设</w:t>
      </w:r>
    </w:p>
    <w:p w14:paraId="6587C10C">
      <w:pPr>
        <w:pStyle w:val="14"/>
        <w:keepNext w:val="0"/>
        <w:keepLines w:val="0"/>
        <w:widowControl/>
        <w:suppressLineNumbers w:val="0"/>
        <w:spacing w:before="75" w:beforeAutospacing="0" w:after="75" w:afterAutospacing="0"/>
        <w:ind w:left="0" w:firstLine="285"/>
        <w:outlineLvl w:val="9"/>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2.项目建设单位</w:t>
      </w:r>
    </w:p>
    <w:p w14:paraId="6B8BEEC5">
      <w:pPr>
        <w:pStyle w:val="14"/>
        <w:keepNext w:val="0"/>
        <w:keepLines w:val="0"/>
        <w:widowControl/>
        <w:suppressLineNumbers w:val="0"/>
        <w:spacing w:before="75" w:beforeAutospacing="0" w:after="7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建设单位：福州市“智慧福州”管理服务中心</w:t>
      </w:r>
    </w:p>
    <w:p w14:paraId="1E835B85">
      <w:pPr>
        <w:pStyle w:val="14"/>
        <w:keepNext w:val="0"/>
        <w:keepLines w:val="0"/>
        <w:widowControl/>
        <w:suppressLineNumbers w:val="0"/>
        <w:spacing w:before="75" w:beforeAutospacing="0" w:after="75" w:afterAutospacing="0"/>
        <w:ind w:left="0" w:firstLine="285"/>
        <w:outlineLvl w:val="9"/>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3.建设目标</w:t>
      </w:r>
    </w:p>
    <w:p w14:paraId="3CDF8D4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城市综合管理服务市 级平台基于现有网格化管理综合服务平台系统，纵向对接国家、省 级平台，联通县（市、区）平台，横向整合或共享城市管理相关部门数据资源，统筹协调、指挥调度、监督考核、综合评价全市城市综合管理服务工作，推动形成党委政府领导下的“大城管”工作格局。</w:t>
      </w:r>
    </w:p>
    <w:p w14:paraId="6CA15B3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照住建部关于城市运行管理服务平台工作要求，平台建设需完善平台应用体系、平台数据体系、平台运行环境和平台运行规范，建设11个应用系统，包括城市运行监测系统、指挥协调系统、公众服务系统、城市自评价系统、舆情监测系统、辅助决策中心、共性服务和支撑平台、网格微服务系统、数据交换与管理系统、容器微服务系统、知识图谱和人工智能自动化系统；1套福州市城市事件分类与标准体系，以及1个系统硬件支撑环境建设。</w:t>
      </w:r>
    </w:p>
    <w:p w14:paraId="126CF84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微服务架构，在网格化管理综合服务平台的事件与流程基础之上，对现有的指挥协调系统进行能力提升；充分整合现有系统能力，强化城市事件的智能采集，建设城市安全普查与预警等能力支撑系统；加强城市各类运行数据的综合汇聚与分析，搭建数据汇聚系统，形成综合性城市管理数据库；依托政务外网，建设数据交换系统，实现国家、省、市间数据共享与交换，建立辅助决策中心，实现对相关单位、部门数据的实时监测、态势分析、调度指挥与督查督办，实现条块联动、纵向到底、横向到边的城市网格管理，形成“党政领导、统一指挥、诸力联动、各司其职、分级负责、属地管理为主”的工作体系，最终建立一个高效运转的城市管理服务信息化机制，实现城市的扁平化管理服务，进一步提升城市管理、社会服务的综合效能，有效解决当前城市管理中的复杂问题和疑难杂症。建设市 级城市运行管理服务数据库，包括城市基础数据库，运行、管理、服务和综合评价等数据库。同时建设可拓展、安全高效的基础运行环境，打造横到边纵到底的“大城管”体系，树立城市管理与服务的福州经验与福州品 牌。</w:t>
      </w:r>
    </w:p>
    <w:p w14:paraId="5C2620BB">
      <w:pPr>
        <w:pStyle w:val="14"/>
        <w:keepNext w:val="0"/>
        <w:keepLines w:val="0"/>
        <w:widowControl/>
        <w:suppressLineNumbers w:val="0"/>
        <w:spacing w:before="75" w:beforeAutospacing="0" w:after="75" w:afterAutospacing="0"/>
        <w:ind w:left="0" w:firstLine="285"/>
        <w:outlineLvl w:val="9"/>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4.建设内容</w:t>
      </w:r>
    </w:p>
    <w:p w14:paraId="2B202E7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对标住建部试点要求，我市平台建设，在原有系统基础上，同时结合福州城市管理实际情况需要，建设城市综合管理服务平台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highlight w:val="none"/>
        </w:rPr>
        <w:t>承建单位负责建设平台相关应用系统并具体对接各委办局相关系统，采购人提供协调支持。</w:t>
      </w:r>
      <w:r>
        <w:rPr>
          <w:rFonts w:hint="eastAsia" w:ascii="宋体" w:hAnsi="宋体" w:eastAsia="宋体" w:cs="宋体"/>
          <w:color w:val="auto"/>
          <w:sz w:val="24"/>
          <w:szCs w:val="24"/>
          <w:highlight w:val="none"/>
        </w:rPr>
        <w:t>具体建设内容如下：</w:t>
      </w:r>
    </w:p>
    <w:p w14:paraId="472C67E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1、城市运行监测系统</w:t>
      </w:r>
    </w:p>
    <w:p w14:paraId="3F242EC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运行监测系统包括监测预警、风险排查等系统，基于现有e福州综合指挥平台能力，对标《城市运行管理服务平台建设指南与实务》，建设城市运行监测系统，升级构建横向联动“市政、园林、环卫、城管”等多部门、纵向贯穿“市、区县、街镇、社区、网格”五级的事件处置体系，完成城市管理事件的统一预防准备与指挥联动处置，实现对城市管理问题的监测预警、隐患排查等功能；其中</w:t>
      </w:r>
    </w:p>
    <w:p w14:paraId="56968E1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（1）监测预警系统</w:t>
      </w:r>
    </w:p>
    <w:p w14:paraId="0268606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现有e福州综合指挥平台对自然灾害、环境保护、安全生产等领域运行监测基础上，拓展对市政公用、市容环卫、园林绿化、城市内涝、井盖安全、城市噪音、城市事件处置、应急事件、社会治安、公共安全等领域的监测预警分析功能，建立城市管理动态运行在线监测、预警报警应用。</w:t>
      </w:r>
    </w:p>
    <w:p w14:paraId="3356C6E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（2）风险排查系统</w:t>
      </w:r>
    </w:p>
    <w:p w14:paraId="4DA42B2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现有e福州综合指挥平台基础上，拓展风险隐患排查功能。建立城市风险隐患事件排查治理系统，通过网格化监督管理，以排查整治流程为干线，快速排查和复查风险隐患情况；对隐患排查整治信息及时、有效地进行跟踪、整改，并将统计数据及时上报，形成各级政府、监管职能部门、社区协同工作的“群防群控”网络应用体系。</w:t>
      </w:r>
    </w:p>
    <w:p w14:paraId="2F3879B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2、指挥协调系统</w:t>
      </w:r>
    </w:p>
    <w:p w14:paraId="174FD6E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平台核心系统，该系统在我市现有数字城管系统基础上进行升级改造，同时通过时空信息公共服务平台和e福州综合指挥平台对其进行赋能实现功能要求。通过以微服务方式建设，提升指挥协调效率。基于网格化平台，构建统一的事件管理中心。基于e福州综合指挥平台，升级改造日常指挥协同系统，实现城市的立体化日常指挥协同管理功能，系统以网格化管理为基础，以社会化服务为方向，实现隐患排查、社会维稳、治安防控、灾害预防及应急宣传教育等服务工作，建立防控力量管理、防控目标掌控、防控任务追踪、日常视频巡查及防控形势研判等管理功能模块。基于e福州综合指挥平台，升级改造应急指挥调度系统，实现突发事件处置的全过程联动指挥管理，能够调用组织公安、消防、急救、交警、城建等多部门、多行业、多层次的应急力量和信息资源，实现对突发事件处置全过程的跟踪、指挥，快速、及时、准确地收集到应急信息，为政府的科学决策提供有效的信息支持。</w:t>
      </w:r>
    </w:p>
    <w:p w14:paraId="0A2495E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3、公众服务系统</w:t>
      </w:r>
    </w:p>
    <w:p w14:paraId="36BF851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建设多元的公众服务系统，该系统依托我市现有12345便民（惠企）服务平台，增加与国家12319公众服务号、e福州APP等服务渠道有关城市管理诉求的受理功能，实现对各项服务进行满意度评价回访。</w:t>
      </w:r>
    </w:p>
    <w:p w14:paraId="5A2A1E6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4、城市自评价系统</w:t>
      </w:r>
    </w:p>
    <w:p w14:paraId="0602991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结合现有数字城管考评系统，融合市政、市容、环卫、园林、渣土、综合执法等行业考评办法，开展全市综合管理城市自评价系统建设，确保平台长效运行。</w:t>
      </w:r>
    </w:p>
    <w:p w14:paraId="35BA9E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5、舆情监测系统</w:t>
      </w:r>
    </w:p>
    <w:p w14:paraId="519E060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舆情监测系统用于采集本市范围内的城市运行管理服务相 关舆情监测数据，实时掌握本市城市管理工作舆情、重大负面 舆情，转相关部门办理并跟踪督办。与省 级平台舆情监测系统 功能一致，市 级平台舆情监测系统应包括舆情采集、舆情督办、 舆情分析和舆情报告等功能模块。</w:t>
      </w:r>
    </w:p>
    <w:p w14:paraId="62F870C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6、辅助决策中心系统</w:t>
      </w:r>
    </w:p>
    <w:p w14:paraId="190D42F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辅助决策中心基于市政公用、市容环卫、园林绿化、城市执法等城市管理行业领域的建设，感知更全面的城市运行态势，目标是让区领导及管理人员方便快速地掌握城市运行信息，为各级领导提供统揽全局的数据支撑。辅助决策中心作为城市综合管理服务平台项目的一部分，充分利用现有的平台和技术能力，在现有的平台基础之上定制开发驾驶舱应用，并实现与现有平台的集成和数据融合。</w:t>
      </w:r>
    </w:p>
    <w:p w14:paraId="4E3FFE2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、网格微服务系统</w:t>
      </w:r>
    </w:p>
    <w:p w14:paraId="7ECABAC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建立容器化、微服务的城市统一网格数据底座，为综合管理平台的各类应用系统提供统一的网格数据与应用共享服务，支撑城市综合管理平台业务。</w:t>
      </w:r>
    </w:p>
    <w:p w14:paraId="6FEA5FC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、城市事件分类与标准</w:t>
      </w:r>
    </w:p>
    <w:p w14:paraId="59116868">
      <w:pPr>
        <w:pStyle w:val="14"/>
        <w:keepNext w:val="0"/>
        <w:keepLines w:val="0"/>
        <w:widowControl/>
        <w:suppressLineNumbers w:val="0"/>
        <w:ind w:left="0" w:firstLine="48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城市事件分类与标准是城市综合管理服务平台的业务范围，涉及了城市城市综合管理服务方方面面的事项，涉及党政工团类、公安政法类、科教文卫类、经济综合类、建设规划类、社会管理类等多个纬度。</w:t>
      </w:r>
    </w:p>
    <w:p w14:paraId="44797D48">
      <w:pPr>
        <w:pStyle w:val="14"/>
        <w:keepNext w:val="0"/>
        <w:keepLines w:val="0"/>
        <w:widowControl/>
        <w:suppressLineNumbers w:val="0"/>
        <w:ind w:left="0" w:firstLine="480"/>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9、业务指导系统</w:t>
      </w:r>
    </w:p>
    <w:p w14:paraId="1B98F157">
      <w:pPr>
        <w:pStyle w:val="14"/>
        <w:keepNext w:val="0"/>
        <w:keepLines w:val="0"/>
        <w:widowControl/>
        <w:suppressLineNumbers w:val="0"/>
        <w:ind w:left="0" w:firstLine="480"/>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业务指导系统包括政策法规、行业动态、经验交流等功能模块</w:t>
      </w:r>
    </w:p>
    <w:p w14:paraId="7B3B2F43">
      <w:pPr>
        <w:pStyle w:val="14"/>
        <w:keepNext w:val="0"/>
        <w:keepLines w:val="0"/>
        <w:widowControl/>
        <w:numPr>
          <w:ilvl w:val="0"/>
          <w:numId w:val="3"/>
        </w:numPr>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行业应用系统</w:t>
      </w:r>
    </w:p>
    <w:p w14:paraId="66E99FD2">
      <w:pPr>
        <w:pStyle w:val="14"/>
        <w:keepNext w:val="0"/>
        <w:keepLines w:val="0"/>
        <w:widowControl/>
        <w:suppressLineNumbers w:val="0"/>
        <w:ind w:left="0" w:firstLine="480"/>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行业应用系统主要是围绕城市管理主要职责，建设市政公用、市容环卫、园林绿化和城市管理执法等行业应用系统，支撑城市管理部门行业监管工作需要。</w:t>
      </w:r>
    </w:p>
    <w:p w14:paraId="153C3F61">
      <w:pPr>
        <w:pStyle w:val="14"/>
        <w:keepNext w:val="0"/>
        <w:keepLines w:val="0"/>
        <w:widowControl/>
        <w:suppressLineNumbers w:val="0"/>
        <w:spacing w:before="75" w:beforeAutospacing="0" w:after="75" w:afterAutospacing="0"/>
        <w:ind w:left="0" w:right="0" w:firstLine="0"/>
        <w:outlineLvl w:val="1"/>
        <w:rPr>
          <w:rFonts w:hint="eastAsia" w:ascii="宋体" w:hAnsi="宋体" w:eastAsia="宋体" w:cs="宋体"/>
          <w:color w:val="auto"/>
          <w:highlight w:val="none"/>
        </w:rPr>
      </w:pPr>
      <w:bookmarkStart w:id="8" w:name="_Toc4536"/>
      <w:r>
        <w:rPr>
          <w:rFonts w:hint="eastAsia" w:ascii="宋体" w:hAnsi="宋体" w:eastAsia="宋体" w:cs="宋体"/>
          <w:color w:val="auto"/>
          <w:spacing w:val="0"/>
          <w:sz w:val="24"/>
          <w:szCs w:val="24"/>
          <w:highlight w:val="none"/>
        </w:rPr>
        <w:t>二、技术和服务要求</w:t>
      </w:r>
      <w:r>
        <w:rPr>
          <w:rStyle w:val="17"/>
          <w:rFonts w:hint="eastAsia" w:ascii="宋体" w:hAnsi="宋体" w:eastAsia="宋体" w:cs="宋体"/>
          <w:color w:val="auto"/>
          <w:spacing w:val="0"/>
          <w:sz w:val="24"/>
          <w:szCs w:val="24"/>
          <w:highlight w:val="none"/>
        </w:rPr>
        <w:t>（以“★”标示的内容为不允许负偏离的实质性要求）</w:t>
      </w:r>
      <w:bookmarkEnd w:id="8"/>
    </w:p>
    <w:p w14:paraId="5DB309E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FD050AC">
      <w:pPr>
        <w:pStyle w:val="14"/>
        <w:keepNext w:val="0"/>
        <w:keepLines w:val="0"/>
        <w:widowControl/>
        <w:suppressLineNumbers w:val="0"/>
        <w:spacing w:before="75" w:beforeAutospacing="0" w:after="240" w:afterAutospacing="0" w:line="360" w:lineRule="atLeast"/>
        <w:ind w:left="0" w:firstLine="285"/>
        <w:outlineLvl w:val="9"/>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合同包</w:t>
      </w:r>
      <w:r>
        <w:rPr>
          <w:rStyle w:val="17"/>
          <w:rFonts w:hint="eastAsia" w:ascii="宋体" w:hAnsi="宋体" w:eastAsia="宋体" w:cs="宋体"/>
          <w:color w:val="auto"/>
          <w:sz w:val="28"/>
          <w:szCs w:val="28"/>
          <w:highlight w:val="none"/>
          <w:lang w:val="en-US" w:eastAsia="zh-CN"/>
        </w:rPr>
        <w:t>1</w:t>
      </w:r>
      <w:r>
        <w:rPr>
          <w:rStyle w:val="17"/>
          <w:rFonts w:hint="eastAsia" w:ascii="宋体" w:hAnsi="宋体" w:eastAsia="宋体" w:cs="宋体"/>
          <w:color w:val="auto"/>
          <w:sz w:val="28"/>
          <w:szCs w:val="28"/>
          <w:highlight w:val="none"/>
        </w:rPr>
        <w:t>：福州市城市综合管理服务平台集成、业务系统包。</w:t>
      </w:r>
    </w:p>
    <w:p w14:paraId="4683230D">
      <w:pPr>
        <w:pStyle w:val="14"/>
        <w:keepNext w:val="0"/>
        <w:keepLines w:val="0"/>
        <w:widowControl/>
        <w:suppressLineNumbers w:val="0"/>
        <w:ind w:left="0" w:firstLine="195"/>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1.1.1 </w:t>
      </w:r>
      <w:r>
        <w:rPr>
          <w:rFonts w:hint="eastAsia" w:ascii="宋体" w:hAnsi="宋体" w:eastAsia="宋体" w:cs="宋体"/>
          <w:color w:val="auto"/>
          <w:sz w:val="28"/>
          <w:szCs w:val="28"/>
          <w:highlight w:val="none"/>
        </w:rPr>
        <w:t>系统集成与培训</w:t>
      </w:r>
    </w:p>
    <w:p w14:paraId="1524DF1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r>
        <w:rPr>
          <w:rStyle w:val="17"/>
          <w:rFonts w:hint="eastAsia" w:ascii="宋体" w:hAnsi="宋体" w:eastAsia="宋体" w:cs="宋体"/>
          <w:color w:val="auto"/>
          <w:sz w:val="24"/>
          <w:szCs w:val="24"/>
          <w:highlight w:val="none"/>
        </w:rPr>
        <w:t>★ 中标方负责项目的总集</w:t>
      </w:r>
      <w:r>
        <w:rPr>
          <w:rFonts w:hint="eastAsia" w:ascii="宋体" w:hAnsi="宋体" w:eastAsia="宋体" w:cs="宋体"/>
          <w:color w:val="auto"/>
          <w:sz w:val="24"/>
          <w:szCs w:val="24"/>
          <w:highlight w:val="none"/>
        </w:rPr>
        <w:t>，具体工作包含整个城市综合管理服务平台的项目管理，牵头整个项目的业务分析和设计，边界划分，接口定义，协调与其它系统之间的规范和标准，对接共享服务。同时负责协调整体项目的实施。组织所有的服务商在统一的业务分析和设计，以及定义接口与边界统一协议和规范，组织协调各个服务商协调分析、设计、开发、测试，以及实现系统生产部署，交接和运维的工作。</w:t>
      </w:r>
      <w:r>
        <w:rPr>
          <w:rStyle w:val="17"/>
          <w:rFonts w:hint="eastAsia" w:ascii="宋体" w:hAnsi="宋体" w:eastAsia="宋体" w:cs="宋体"/>
          <w:color w:val="auto"/>
          <w:sz w:val="24"/>
          <w:szCs w:val="24"/>
          <w:highlight w:val="none"/>
        </w:rPr>
        <w:t>承担总集责任，确保平台的整体贯通。应对整体项目进行系统集成与培训。投标人必须单独提供关于本条内容的专项承诺函，否则视为无效投标。</w:t>
      </w:r>
    </w:p>
    <w:p w14:paraId="05C0116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1.1.1.1 </w:t>
      </w:r>
      <w:r>
        <w:rPr>
          <w:rFonts w:hint="eastAsia" w:ascii="宋体" w:hAnsi="宋体" w:eastAsia="宋体" w:cs="宋体"/>
          <w:color w:val="auto"/>
          <w:sz w:val="28"/>
          <w:szCs w:val="28"/>
          <w:highlight w:val="none"/>
        </w:rPr>
        <w:t>培训目标</w:t>
      </w:r>
    </w:p>
    <w:p w14:paraId="6540B1D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为项目涉及工作人员提供软硬件基本操作原理、调试、操作使用和保养维修等有关内容的免费培训。</w:t>
      </w:r>
    </w:p>
    <w:p w14:paraId="6DD4808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1.围绕城市综合管理服务平台的功能向各类使用人员进行项目的应用软件功能操作的培训。</w:t>
      </w:r>
    </w:p>
    <w:p w14:paraId="56B3E14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2.主要培训信息系统建设的理论、国内外先进的IT理念、信息系统建设目标、硬软件应用知识、系统运维等内容。</w:t>
      </w:r>
    </w:p>
    <w:p w14:paraId="67C47B5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1.1.1.2 </w:t>
      </w:r>
      <w:r>
        <w:rPr>
          <w:rFonts w:hint="eastAsia" w:ascii="宋体" w:hAnsi="宋体" w:eastAsia="宋体" w:cs="宋体"/>
          <w:color w:val="auto"/>
          <w:sz w:val="28"/>
          <w:szCs w:val="28"/>
          <w:highlight w:val="none"/>
        </w:rPr>
        <w:t>培训计划</w:t>
      </w:r>
    </w:p>
    <w:p w14:paraId="0DCD572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1.系统平台操作培训</w:t>
      </w:r>
    </w:p>
    <w:p w14:paraId="2F15F8B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面向工作人员，不少于 3 场。</w:t>
      </w:r>
    </w:p>
    <w:p w14:paraId="05A96D9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2.系统操作管理培训</w:t>
      </w:r>
    </w:p>
    <w:p w14:paraId="00D0526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面向管理者，不少于 2 场。</w:t>
      </w:r>
    </w:p>
    <w:p w14:paraId="39B7EC1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1.1.1.3 </w:t>
      </w:r>
      <w:r>
        <w:rPr>
          <w:rFonts w:hint="eastAsia" w:ascii="宋体" w:hAnsi="宋体" w:eastAsia="宋体" w:cs="宋体"/>
          <w:color w:val="auto"/>
          <w:sz w:val="28"/>
          <w:szCs w:val="28"/>
          <w:highlight w:val="none"/>
        </w:rPr>
        <w:t>培训方式</w:t>
      </w:r>
    </w:p>
    <w:p w14:paraId="55032B3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1.现场培训</w:t>
      </w:r>
    </w:p>
    <w:p w14:paraId="3F7628D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现场培训是在现场安装调试相关设备和系统时，相关技术人员在现场观看和学习，并给予适当实际操作机会，针对本项目的特点和应用系统维护要求作相应的讲解，对相关技术人员产生的问题随即解答并直到相关人员学会为止，具有很强的实践和交互性。这种方式的培训在所有设备的安装和调试中都将积极予以实现。</w:t>
      </w:r>
    </w:p>
    <w:p w14:paraId="40C523F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2.授课培训</w:t>
      </w:r>
    </w:p>
    <w:p w14:paraId="72C13F1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授课培训一般提供较为系统的理论学习，并根据不同课程辅以实验环境下的实际操作，学习过程中还提供完备的学习资料，是正规培训主要采用的方式。为使培训收到良好的效果，应针对不同水平需求的人员因材施教。</w:t>
      </w:r>
    </w:p>
    <w:p w14:paraId="155F73E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3.日常交流</w:t>
      </w:r>
    </w:p>
    <w:p w14:paraId="14FAB96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在项目执行过程中，设立网上信息交流和培训社区，并经常与使用者交流工作经验和存在的问题。</w:t>
      </w:r>
    </w:p>
    <w:p w14:paraId="31B2ED8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1.1.1.4 </w:t>
      </w:r>
      <w:r>
        <w:rPr>
          <w:rFonts w:hint="eastAsia" w:ascii="宋体" w:hAnsi="宋体" w:eastAsia="宋体" w:cs="宋体"/>
          <w:color w:val="auto"/>
          <w:sz w:val="28"/>
          <w:szCs w:val="28"/>
          <w:highlight w:val="none"/>
        </w:rPr>
        <w:t>培训内容</w:t>
      </w:r>
    </w:p>
    <w:p w14:paraId="7084548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实施前进行系统及产品培训，以便对系统有详细了解；在建设过程中进行安装培训，以达到能够独立进行系统安装及维护；在工程结束后进行应用培训，使他们能够熟练掌握系统在各种应用环境中的使用。培训内容包括安装配置、日常使用维持、一般故障诊断和修复等内容，具体如下：</w:t>
      </w:r>
    </w:p>
    <w:p w14:paraId="7FFAB61D">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系统的体系结构及相关技术；</w:t>
      </w:r>
    </w:p>
    <w:p w14:paraId="192E9ACD">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系统的安装调试、系统性能特点、参数设置；</w:t>
      </w:r>
    </w:p>
    <w:p w14:paraId="2BA70B03">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系统维护、系统常见故障分析；</w:t>
      </w:r>
    </w:p>
    <w:p w14:paraId="1637CD56">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系统管理员和使用者培训。</w:t>
      </w:r>
    </w:p>
    <w:p w14:paraId="4A38129A">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培训的内容能达到：</w:t>
      </w:r>
    </w:p>
    <w:p w14:paraId="2E0F21ED">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熟悉整个系统的硬件和软件结构、系统的配置；</w:t>
      </w:r>
    </w:p>
    <w:p w14:paraId="73F14F10">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熟练掌握系统基本组成及原理；</w:t>
      </w:r>
    </w:p>
    <w:p w14:paraId="627DAAF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熟练掌握系统的操作与运行管理；</w:t>
      </w:r>
    </w:p>
    <w:p w14:paraId="0877F25F">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熟练掌握权限、使用者配置等系统管理；</w:t>
      </w:r>
    </w:p>
    <w:p w14:paraId="423F26BE">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熟练掌握系统的安装、检测、维护；</w:t>
      </w:r>
    </w:p>
    <w:p w14:paraId="3F1E4173">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熟练掌握排除故障的基本技术 。</w:t>
      </w:r>
    </w:p>
    <w:p w14:paraId="0E4DD2E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1.信息采集员工作培训内容：</w:t>
      </w:r>
    </w:p>
    <w:p w14:paraId="475F5148">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登录采集器系统，能够登录和打卡下班；</w:t>
      </w:r>
    </w:p>
    <w:p w14:paraId="5C041BC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能够进行问题上报，能够正确识别部件和事件类型；</w:t>
      </w:r>
    </w:p>
    <w:p w14:paraId="04846134">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能够对核实和核查任务进行反馈；</w:t>
      </w:r>
    </w:p>
    <w:p w14:paraId="042E46CD">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能够查看管理今日提示；</w:t>
      </w:r>
    </w:p>
    <w:p w14:paraId="76D0C546">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2.受理员及值班长工作培训内容：</w:t>
      </w:r>
    </w:p>
    <w:p w14:paraId="0D4B6E0E">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熟练登录城市综合管理服务平台，并设置常用参数；</w:t>
      </w:r>
    </w:p>
    <w:p w14:paraId="6D0E788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能够通过受理系统成功受理城市管理问题；</w:t>
      </w:r>
    </w:p>
    <w:p w14:paraId="06B78CAA">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进行立案审核和批转；</w:t>
      </w:r>
    </w:p>
    <w:p w14:paraId="783E52F5">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熟练进行地图操作；</w:t>
      </w:r>
    </w:p>
    <w:p w14:paraId="79E70B74">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熟练发送核查请求；</w:t>
      </w:r>
    </w:p>
    <w:p w14:paraId="0C843C3B">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消息发送功能；</w:t>
      </w:r>
    </w:p>
    <w:p w14:paraId="2639869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案卷督办；</w:t>
      </w:r>
    </w:p>
    <w:p w14:paraId="02C1B2CF">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其他相关功能；</w:t>
      </w:r>
    </w:p>
    <w:p w14:paraId="2867F298">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3.协同指挥平台培训内容：</w:t>
      </w:r>
    </w:p>
    <w:p w14:paraId="27DC29CE">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问题派遣；</w:t>
      </w:r>
    </w:p>
    <w:p w14:paraId="04C4F55A">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问题督查；</w:t>
      </w:r>
    </w:p>
    <w:p w14:paraId="487C3E9E">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案卷回退；</w:t>
      </w:r>
    </w:p>
    <w:p w14:paraId="039FBB10">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授权审核；</w:t>
      </w:r>
    </w:p>
    <w:p w14:paraId="52F0B005">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4.承办单位培训内容：</w:t>
      </w:r>
    </w:p>
    <w:p w14:paraId="515E488C">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登录系统；</w:t>
      </w:r>
    </w:p>
    <w:p w14:paraId="66422E70">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正常业务办理；</w:t>
      </w:r>
    </w:p>
    <w:p w14:paraId="26C1D5B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答复督办；</w:t>
      </w:r>
    </w:p>
    <w:p w14:paraId="31B9241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5.大屏幕控制员培训内容：</w:t>
      </w:r>
    </w:p>
    <w:p w14:paraId="73B279B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监督指挥中心案卷办理情况；</w:t>
      </w:r>
    </w:p>
    <w:p w14:paraId="5952472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信息采集员在岗分布情况；</w:t>
      </w:r>
    </w:p>
    <w:p w14:paraId="71441298">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评价内容；</w:t>
      </w:r>
    </w:p>
    <w:p w14:paraId="7C5B3BB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6.系统管理员培训内容：</w:t>
      </w:r>
    </w:p>
    <w:p w14:paraId="3D3B194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主机系统操作培训；</w:t>
      </w:r>
    </w:p>
    <w:p w14:paraId="20E8CD7E">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对 PC 服务器的基本操作与维护；</w:t>
      </w:r>
    </w:p>
    <w:p w14:paraId="11E9A5B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对存储设备的管理；</w:t>
      </w:r>
    </w:p>
    <w:p w14:paraId="3A0778B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网络系统培训；</w:t>
      </w:r>
    </w:p>
    <w:p w14:paraId="0172EEDB">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基础网络知识培训；</w:t>
      </w:r>
    </w:p>
    <w:p w14:paraId="5CFF173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数据中心机房网络设备培训；</w:t>
      </w:r>
    </w:p>
    <w:p w14:paraId="3EBF055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对网络与安全设备的操作与维护；</w:t>
      </w:r>
    </w:p>
    <w:p w14:paraId="7A64A60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业务管理平台：</w:t>
      </w:r>
    </w:p>
    <w:p w14:paraId="4A440E34">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部门人员岗位的维护；</w:t>
      </w:r>
    </w:p>
    <w:p w14:paraId="5140461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信息采集员的配置；</w:t>
      </w:r>
    </w:p>
    <w:p w14:paraId="5D009E1E">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工作流程的配置；</w:t>
      </w:r>
    </w:p>
    <w:p w14:paraId="1E1C9BDB">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权限的配置；</w:t>
      </w:r>
    </w:p>
    <w:p w14:paraId="0E4EEB19">
      <w:pPr>
        <w:rPr>
          <w:color w:val="auto"/>
          <w:highlight w:val="none"/>
        </w:rPr>
      </w:pPr>
    </w:p>
    <w:p w14:paraId="76CA2105">
      <w:pPr>
        <w:pStyle w:val="14"/>
        <w:keepNext w:val="0"/>
        <w:keepLines w:val="0"/>
        <w:widowControl/>
        <w:suppressLineNumbers w:val="0"/>
        <w:ind w:left="0" w:firstLine="195"/>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1.1.2 </w:t>
      </w:r>
      <w:r>
        <w:rPr>
          <w:rFonts w:hint="eastAsia" w:ascii="宋体" w:hAnsi="宋体" w:eastAsia="宋体" w:cs="宋体"/>
          <w:color w:val="auto"/>
          <w:sz w:val="28"/>
          <w:szCs w:val="28"/>
          <w:highlight w:val="none"/>
        </w:rPr>
        <w:t>公众服务系统</w:t>
      </w:r>
    </w:p>
    <w:p w14:paraId="7250B9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公众服务平台是全体市民与数字化城市管理系统之间的一个桥梁。全体市民可以随时将发现的城管问题、投诉建议、问题咨询等信息通过微信平台公众号编辑问题后上报到城管系统监督中心，城管中心收到市民上报的问题后可以及时回复、反馈市民，实时处理问题；市民则可通过微信平台及时查看监督中心处理后的回复意见及咨询、投诉处理建议。具备通过指挥协调系统对公众诉求进行派遣、处置、核查和结案功能，具备对服务结果及服务的满意度进行调查回访的功能。</w:t>
      </w:r>
    </w:p>
    <w:p w14:paraId="4207395E">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公众服务系统改造对照表</w:t>
      </w:r>
    </w:p>
    <w:tbl>
      <w:tblPr>
        <w:tblStyle w:val="15"/>
        <w:tblW w:w="8757"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158"/>
        <w:gridCol w:w="1311"/>
        <w:gridCol w:w="1411"/>
        <w:gridCol w:w="2612"/>
        <w:gridCol w:w="1479"/>
        <w:gridCol w:w="786"/>
      </w:tblGrid>
      <w:tr w14:paraId="0783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3" w:hRule="atLeast"/>
          <w:tblCellSpacing w:w="15" w:type="dxa"/>
        </w:trPr>
        <w:tc>
          <w:tcPr>
            <w:tcW w:w="1113" w:type="dxa"/>
            <w:shd w:val="clear" w:color="auto" w:fill="auto"/>
            <w:tcMar>
              <w:top w:w="0" w:type="dxa"/>
              <w:left w:w="105" w:type="dxa"/>
              <w:bottom w:w="0" w:type="dxa"/>
              <w:right w:w="105" w:type="dxa"/>
            </w:tcMar>
            <w:vAlign w:val="center"/>
          </w:tcPr>
          <w:p w14:paraId="08E9661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序号</w:t>
            </w:r>
          </w:p>
        </w:tc>
        <w:tc>
          <w:tcPr>
            <w:tcW w:w="1281" w:type="dxa"/>
            <w:shd w:val="clear" w:color="auto" w:fill="auto"/>
            <w:tcMar>
              <w:top w:w="0" w:type="dxa"/>
              <w:left w:w="105" w:type="dxa"/>
              <w:bottom w:w="0" w:type="dxa"/>
              <w:right w:w="105" w:type="dxa"/>
            </w:tcMar>
            <w:vAlign w:val="center"/>
          </w:tcPr>
          <w:p w14:paraId="4A737A6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系统名称</w:t>
            </w:r>
          </w:p>
        </w:tc>
        <w:tc>
          <w:tcPr>
            <w:tcW w:w="1381" w:type="dxa"/>
            <w:shd w:val="clear" w:color="auto" w:fill="auto"/>
            <w:tcMar>
              <w:top w:w="0" w:type="dxa"/>
              <w:left w:w="105" w:type="dxa"/>
              <w:bottom w:w="0" w:type="dxa"/>
              <w:right w:w="105" w:type="dxa"/>
            </w:tcMar>
            <w:vAlign w:val="center"/>
          </w:tcPr>
          <w:p w14:paraId="20D01DC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模块</w:t>
            </w:r>
          </w:p>
        </w:tc>
        <w:tc>
          <w:tcPr>
            <w:tcW w:w="2582" w:type="dxa"/>
            <w:shd w:val="clear" w:color="auto" w:fill="auto"/>
            <w:tcMar>
              <w:top w:w="0" w:type="dxa"/>
              <w:left w:w="105" w:type="dxa"/>
              <w:bottom w:w="0" w:type="dxa"/>
              <w:right w:w="105" w:type="dxa"/>
            </w:tcMar>
            <w:vAlign w:val="center"/>
          </w:tcPr>
          <w:p w14:paraId="1862A51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功能</w:t>
            </w:r>
          </w:p>
        </w:tc>
        <w:tc>
          <w:tcPr>
            <w:tcW w:w="1449" w:type="dxa"/>
            <w:shd w:val="clear" w:color="auto" w:fill="auto"/>
            <w:tcMar>
              <w:top w:w="0" w:type="dxa"/>
              <w:left w:w="105" w:type="dxa"/>
              <w:bottom w:w="0" w:type="dxa"/>
              <w:right w:w="105" w:type="dxa"/>
            </w:tcMar>
            <w:vAlign w:val="center"/>
          </w:tcPr>
          <w:p w14:paraId="29E84D4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改造情况</w:t>
            </w:r>
          </w:p>
        </w:tc>
        <w:tc>
          <w:tcPr>
            <w:tcW w:w="741" w:type="dxa"/>
            <w:shd w:val="clear" w:color="auto" w:fill="auto"/>
            <w:tcMar>
              <w:top w:w="0" w:type="dxa"/>
              <w:left w:w="105" w:type="dxa"/>
              <w:bottom w:w="0" w:type="dxa"/>
              <w:right w:w="105" w:type="dxa"/>
            </w:tcMar>
            <w:vAlign w:val="center"/>
          </w:tcPr>
          <w:p w14:paraId="4200E6B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备注</w:t>
            </w:r>
          </w:p>
        </w:tc>
      </w:tr>
      <w:tr w14:paraId="68AB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blCellSpacing w:w="15" w:type="dxa"/>
        </w:trPr>
        <w:tc>
          <w:tcPr>
            <w:tcW w:w="1113" w:type="dxa"/>
            <w:shd w:val="clear" w:color="auto" w:fill="auto"/>
            <w:tcMar>
              <w:top w:w="0" w:type="dxa"/>
              <w:left w:w="105" w:type="dxa"/>
              <w:bottom w:w="0" w:type="dxa"/>
              <w:right w:w="105" w:type="dxa"/>
            </w:tcMar>
            <w:vAlign w:val="center"/>
          </w:tcPr>
          <w:p w14:paraId="02E6FCB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1</w:t>
            </w:r>
          </w:p>
        </w:tc>
        <w:tc>
          <w:tcPr>
            <w:tcW w:w="1281" w:type="dxa"/>
            <w:vMerge w:val="restart"/>
            <w:shd w:val="clear" w:color="auto" w:fill="auto"/>
            <w:tcMar>
              <w:top w:w="0" w:type="dxa"/>
              <w:left w:w="105" w:type="dxa"/>
              <w:bottom w:w="0" w:type="dxa"/>
              <w:right w:w="105" w:type="dxa"/>
            </w:tcMar>
            <w:vAlign w:val="center"/>
          </w:tcPr>
          <w:p w14:paraId="40E8B03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公众服务系统</w:t>
            </w:r>
          </w:p>
        </w:tc>
        <w:tc>
          <w:tcPr>
            <w:tcW w:w="1381" w:type="dxa"/>
            <w:vMerge w:val="restart"/>
            <w:shd w:val="clear" w:color="auto" w:fill="auto"/>
            <w:tcMar>
              <w:top w:w="0" w:type="dxa"/>
              <w:left w:w="105" w:type="dxa"/>
              <w:bottom w:w="0" w:type="dxa"/>
              <w:right w:w="105" w:type="dxa"/>
            </w:tcMar>
            <w:vAlign w:val="center"/>
          </w:tcPr>
          <w:p w14:paraId="4EBAB5A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对接服务</w:t>
            </w:r>
          </w:p>
        </w:tc>
        <w:tc>
          <w:tcPr>
            <w:tcW w:w="2582" w:type="dxa"/>
            <w:shd w:val="clear" w:color="auto" w:fill="auto"/>
            <w:tcMar>
              <w:top w:w="0" w:type="dxa"/>
              <w:left w:w="105" w:type="dxa"/>
              <w:bottom w:w="0" w:type="dxa"/>
              <w:right w:w="105" w:type="dxa"/>
            </w:tcMar>
            <w:vAlign w:val="center"/>
          </w:tcPr>
          <w:p w14:paraId="054EDF7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对接国家12319公众号</w:t>
            </w:r>
          </w:p>
        </w:tc>
        <w:tc>
          <w:tcPr>
            <w:tcW w:w="1449" w:type="dxa"/>
            <w:shd w:val="clear" w:color="auto" w:fill="auto"/>
            <w:tcMar>
              <w:top w:w="0" w:type="dxa"/>
              <w:left w:w="105" w:type="dxa"/>
              <w:bottom w:w="0" w:type="dxa"/>
              <w:right w:w="105" w:type="dxa"/>
            </w:tcMar>
            <w:vAlign w:val="center"/>
          </w:tcPr>
          <w:p w14:paraId="045351F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新建</w:t>
            </w:r>
          </w:p>
        </w:tc>
        <w:tc>
          <w:tcPr>
            <w:tcW w:w="741" w:type="dxa"/>
            <w:shd w:val="clear" w:color="auto" w:fill="auto"/>
            <w:tcMar>
              <w:top w:w="0" w:type="dxa"/>
              <w:left w:w="105" w:type="dxa"/>
              <w:bottom w:w="0" w:type="dxa"/>
              <w:right w:w="105" w:type="dxa"/>
            </w:tcMar>
            <w:vAlign w:val="center"/>
          </w:tcPr>
          <w:p w14:paraId="1BF2F59C">
            <w:pPr>
              <w:keepNext w:val="0"/>
              <w:keepLines w:val="0"/>
              <w:widowControl/>
              <w:suppressLineNumbers w:val="0"/>
              <w:jc w:val="left"/>
              <w:outlineLvl w:val="9"/>
              <w:rPr>
                <w:rFonts w:hint="eastAsia" w:ascii="宋体" w:hAnsi="宋体" w:eastAsia="宋体" w:cs="宋体"/>
                <w:color w:val="auto"/>
                <w:highlight w:val="none"/>
              </w:rPr>
            </w:pPr>
          </w:p>
        </w:tc>
      </w:tr>
      <w:tr w14:paraId="1E4D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blCellSpacing w:w="15" w:type="dxa"/>
        </w:trPr>
        <w:tc>
          <w:tcPr>
            <w:tcW w:w="1113" w:type="dxa"/>
            <w:shd w:val="clear" w:color="auto" w:fill="auto"/>
            <w:tcMar>
              <w:top w:w="0" w:type="dxa"/>
              <w:left w:w="105" w:type="dxa"/>
              <w:bottom w:w="0" w:type="dxa"/>
              <w:right w:w="105" w:type="dxa"/>
            </w:tcMar>
            <w:vAlign w:val="center"/>
          </w:tcPr>
          <w:p w14:paraId="51B014F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2</w:t>
            </w:r>
          </w:p>
        </w:tc>
        <w:tc>
          <w:tcPr>
            <w:tcW w:w="1281" w:type="dxa"/>
            <w:vMerge w:val="continue"/>
            <w:shd w:val="clear" w:color="auto" w:fill="auto"/>
            <w:tcMar>
              <w:top w:w="0" w:type="dxa"/>
              <w:left w:w="105" w:type="dxa"/>
              <w:bottom w:w="0" w:type="dxa"/>
              <w:right w:w="105" w:type="dxa"/>
            </w:tcMar>
            <w:vAlign w:val="center"/>
          </w:tcPr>
          <w:p w14:paraId="31F0F1FC">
            <w:pPr>
              <w:outlineLvl w:val="9"/>
              <w:rPr>
                <w:rFonts w:hint="eastAsia" w:ascii="宋体" w:hAnsi="宋体" w:eastAsia="宋体" w:cs="宋体"/>
                <w:color w:val="auto"/>
                <w:sz w:val="24"/>
                <w:szCs w:val="24"/>
                <w:highlight w:val="none"/>
              </w:rPr>
            </w:pPr>
          </w:p>
        </w:tc>
        <w:tc>
          <w:tcPr>
            <w:tcW w:w="1381" w:type="dxa"/>
            <w:vMerge w:val="continue"/>
            <w:shd w:val="clear" w:color="auto" w:fill="auto"/>
            <w:tcMar>
              <w:top w:w="0" w:type="dxa"/>
              <w:left w:w="105" w:type="dxa"/>
              <w:bottom w:w="0" w:type="dxa"/>
              <w:right w:w="105" w:type="dxa"/>
            </w:tcMar>
            <w:vAlign w:val="center"/>
          </w:tcPr>
          <w:p w14:paraId="6F5ABE77">
            <w:pPr>
              <w:outlineLvl w:val="9"/>
              <w:rPr>
                <w:rFonts w:hint="eastAsia" w:ascii="宋体" w:hAnsi="宋体" w:eastAsia="宋体" w:cs="宋体"/>
                <w:color w:val="auto"/>
                <w:sz w:val="24"/>
                <w:szCs w:val="24"/>
                <w:highlight w:val="none"/>
              </w:rPr>
            </w:pPr>
          </w:p>
        </w:tc>
        <w:tc>
          <w:tcPr>
            <w:tcW w:w="2582" w:type="dxa"/>
            <w:shd w:val="clear" w:color="auto" w:fill="auto"/>
            <w:tcMar>
              <w:top w:w="0" w:type="dxa"/>
              <w:left w:w="105" w:type="dxa"/>
              <w:bottom w:w="0" w:type="dxa"/>
              <w:right w:w="105" w:type="dxa"/>
            </w:tcMar>
            <w:vAlign w:val="center"/>
          </w:tcPr>
          <w:p w14:paraId="27FBBB8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e福州对接</w:t>
            </w:r>
          </w:p>
        </w:tc>
        <w:tc>
          <w:tcPr>
            <w:tcW w:w="1449" w:type="dxa"/>
            <w:shd w:val="clear" w:color="auto" w:fill="auto"/>
            <w:tcMar>
              <w:top w:w="0" w:type="dxa"/>
              <w:left w:w="105" w:type="dxa"/>
              <w:bottom w:w="0" w:type="dxa"/>
              <w:right w:w="105" w:type="dxa"/>
            </w:tcMar>
            <w:vAlign w:val="center"/>
          </w:tcPr>
          <w:p w14:paraId="74B4F23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新建</w:t>
            </w:r>
          </w:p>
        </w:tc>
        <w:tc>
          <w:tcPr>
            <w:tcW w:w="741" w:type="dxa"/>
            <w:shd w:val="clear" w:color="auto" w:fill="auto"/>
            <w:tcMar>
              <w:top w:w="0" w:type="dxa"/>
              <w:left w:w="105" w:type="dxa"/>
              <w:bottom w:w="0" w:type="dxa"/>
              <w:right w:w="105" w:type="dxa"/>
            </w:tcMar>
            <w:vAlign w:val="center"/>
          </w:tcPr>
          <w:p w14:paraId="55FC3AA5">
            <w:pPr>
              <w:keepNext w:val="0"/>
              <w:keepLines w:val="0"/>
              <w:widowControl/>
              <w:suppressLineNumbers w:val="0"/>
              <w:jc w:val="left"/>
              <w:outlineLvl w:val="9"/>
              <w:rPr>
                <w:rFonts w:hint="eastAsia" w:ascii="宋体" w:hAnsi="宋体" w:eastAsia="宋体" w:cs="宋体"/>
                <w:color w:val="auto"/>
                <w:highlight w:val="none"/>
              </w:rPr>
            </w:pPr>
          </w:p>
        </w:tc>
      </w:tr>
      <w:tr w14:paraId="0090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blCellSpacing w:w="15" w:type="dxa"/>
        </w:trPr>
        <w:tc>
          <w:tcPr>
            <w:tcW w:w="1113" w:type="dxa"/>
            <w:shd w:val="clear" w:color="auto" w:fill="auto"/>
            <w:tcMar>
              <w:top w:w="0" w:type="dxa"/>
              <w:left w:w="105" w:type="dxa"/>
              <w:bottom w:w="0" w:type="dxa"/>
              <w:right w:w="105" w:type="dxa"/>
            </w:tcMar>
            <w:vAlign w:val="center"/>
          </w:tcPr>
          <w:p w14:paraId="16E7E4C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3</w:t>
            </w:r>
          </w:p>
        </w:tc>
        <w:tc>
          <w:tcPr>
            <w:tcW w:w="1281" w:type="dxa"/>
            <w:vMerge w:val="continue"/>
            <w:shd w:val="clear" w:color="auto" w:fill="auto"/>
            <w:tcMar>
              <w:top w:w="0" w:type="dxa"/>
              <w:left w:w="105" w:type="dxa"/>
              <w:bottom w:w="0" w:type="dxa"/>
              <w:right w:w="105" w:type="dxa"/>
            </w:tcMar>
            <w:vAlign w:val="center"/>
          </w:tcPr>
          <w:p w14:paraId="4E1E65FC">
            <w:pPr>
              <w:outlineLvl w:val="9"/>
              <w:rPr>
                <w:rFonts w:hint="eastAsia" w:ascii="宋体" w:hAnsi="宋体" w:eastAsia="宋体" w:cs="宋体"/>
                <w:color w:val="auto"/>
                <w:sz w:val="24"/>
                <w:szCs w:val="24"/>
                <w:highlight w:val="none"/>
              </w:rPr>
            </w:pPr>
          </w:p>
        </w:tc>
        <w:tc>
          <w:tcPr>
            <w:tcW w:w="1381" w:type="dxa"/>
            <w:vMerge w:val="continue"/>
            <w:shd w:val="clear" w:color="auto" w:fill="auto"/>
            <w:tcMar>
              <w:top w:w="0" w:type="dxa"/>
              <w:left w:w="105" w:type="dxa"/>
              <w:bottom w:w="0" w:type="dxa"/>
              <w:right w:w="105" w:type="dxa"/>
            </w:tcMar>
            <w:vAlign w:val="center"/>
          </w:tcPr>
          <w:p w14:paraId="1D9ABD22">
            <w:pPr>
              <w:outlineLvl w:val="9"/>
              <w:rPr>
                <w:rFonts w:hint="eastAsia" w:ascii="宋体" w:hAnsi="宋体" w:eastAsia="宋体" w:cs="宋体"/>
                <w:color w:val="auto"/>
                <w:sz w:val="24"/>
                <w:szCs w:val="24"/>
                <w:highlight w:val="none"/>
              </w:rPr>
            </w:pPr>
          </w:p>
        </w:tc>
        <w:tc>
          <w:tcPr>
            <w:tcW w:w="2582" w:type="dxa"/>
            <w:shd w:val="clear" w:color="auto" w:fill="auto"/>
            <w:tcMar>
              <w:top w:w="0" w:type="dxa"/>
              <w:left w:w="105" w:type="dxa"/>
              <w:bottom w:w="0" w:type="dxa"/>
              <w:right w:w="105" w:type="dxa"/>
            </w:tcMar>
            <w:vAlign w:val="center"/>
          </w:tcPr>
          <w:p w14:paraId="7ACCCAD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12345对接</w:t>
            </w:r>
          </w:p>
        </w:tc>
        <w:tc>
          <w:tcPr>
            <w:tcW w:w="1449" w:type="dxa"/>
            <w:shd w:val="clear" w:color="auto" w:fill="auto"/>
            <w:tcMar>
              <w:top w:w="0" w:type="dxa"/>
              <w:left w:w="105" w:type="dxa"/>
              <w:bottom w:w="0" w:type="dxa"/>
              <w:right w:w="105" w:type="dxa"/>
            </w:tcMar>
            <w:vAlign w:val="center"/>
          </w:tcPr>
          <w:p w14:paraId="65DB43B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新建</w:t>
            </w:r>
          </w:p>
        </w:tc>
        <w:tc>
          <w:tcPr>
            <w:tcW w:w="741" w:type="dxa"/>
            <w:shd w:val="clear" w:color="auto" w:fill="auto"/>
            <w:tcMar>
              <w:top w:w="0" w:type="dxa"/>
              <w:left w:w="105" w:type="dxa"/>
              <w:bottom w:w="0" w:type="dxa"/>
              <w:right w:w="105" w:type="dxa"/>
            </w:tcMar>
            <w:vAlign w:val="center"/>
          </w:tcPr>
          <w:p w14:paraId="54A58CDE">
            <w:pPr>
              <w:keepNext w:val="0"/>
              <w:keepLines w:val="0"/>
              <w:widowControl/>
              <w:suppressLineNumbers w:val="0"/>
              <w:jc w:val="left"/>
              <w:outlineLvl w:val="9"/>
              <w:rPr>
                <w:rFonts w:hint="eastAsia" w:ascii="宋体" w:hAnsi="宋体" w:eastAsia="宋体" w:cs="宋体"/>
                <w:color w:val="auto"/>
                <w:highlight w:val="none"/>
              </w:rPr>
            </w:pPr>
          </w:p>
        </w:tc>
      </w:tr>
      <w:tr w14:paraId="66E1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blCellSpacing w:w="15" w:type="dxa"/>
        </w:trPr>
        <w:tc>
          <w:tcPr>
            <w:tcW w:w="1113" w:type="dxa"/>
            <w:shd w:val="clear" w:color="auto" w:fill="auto"/>
            <w:tcMar>
              <w:top w:w="0" w:type="dxa"/>
              <w:left w:w="105" w:type="dxa"/>
              <w:bottom w:w="0" w:type="dxa"/>
              <w:right w:w="105" w:type="dxa"/>
            </w:tcMar>
            <w:vAlign w:val="center"/>
          </w:tcPr>
          <w:p w14:paraId="182E578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4</w:t>
            </w:r>
          </w:p>
        </w:tc>
        <w:tc>
          <w:tcPr>
            <w:tcW w:w="1281" w:type="dxa"/>
            <w:vMerge w:val="continue"/>
            <w:shd w:val="clear" w:color="auto" w:fill="auto"/>
            <w:tcMar>
              <w:top w:w="0" w:type="dxa"/>
              <w:left w:w="105" w:type="dxa"/>
              <w:bottom w:w="0" w:type="dxa"/>
              <w:right w:w="105" w:type="dxa"/>
            </w:tcMar>
            <w:vAlign w:val="center"/>
          </w:tcPr>
          <w:p w14:paraId="0F0BFBBC">
            <w:pPr>
              <w:outlineLvl w:val="9"/>
              <w:rPr>
                <w:rFonts w:hint="eastAsia" w:ascii="宋体" w:hAnsi="宋体" w:eastAsia="宋体" w:cs="宋体"/>
                <w:color w:val="auto"/>
                <w:sz w:val="24"/>
                <w:szCs w:val="24"/>
                <w:highlight w:val="none"/>
              </w:rPr>
            </w:pPr>
          </w:p>
        </w:tc>
        <w:tc>
          <w:tcPr>
            <w:tcW w:w="1381" w:type="dxa"/>
            <w:shd w:val="clear" w:color="auto" w:fill="auto"/>
            <w:tcMar>
              <w:top w:w="0" w:type="dxa"/>
              <w:left w:w="105" w:type="dxa"/>
              <w:bottom w:w="0" w:type="dxa"/>
              <w:right w:w="105" w:type="dxa"/>
            </w:tcMar>
            <w:vAlign w:val="center"/>
          </w:tcPr>
          <w:p w14:paraId="44F1B9A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问题上报</w:t>
            </w:r>
          </w:p>
        </w:tc>
        <w:tc>
          <w:tcPr>
            <w:tcW w:w="2582" w:type="dxa"/>
            <w:shd w:val="clear" w:color="auto" w:fill="auto"/>
            <w:tcMar>
              <w:top w:w="0" w:type="dxa"/>
              <w:left w:w="105" w:type="dxa"/>
              <w:bottom w:w="0" w:type="dxa"/>
              <w:right w:w="105" w:type="dxa"/>
            </w:tcMar>
            <w:vAlign w:val="center"/>
          </w:tcPr>
          <w:p w14:paraId="0B625A5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问题上报功能</w:t>
            </w:r>
          </w:p>
        </w:tc>
        <w:tc>
          <w:tcPr>
            <w:tcW w:w="1449" w:type="dxa"/>
            <w:shd w:val="clear" w:color="auto" w:fill="auto"/>
            <w:tcMar>
              <w:top w:w="0" w:type="dxa"/>
              <w:left w:w="105" w:type="dxa"/>
              <w:bottom w:w="0" w:type="dxa"/>
              <w:right w:w="105" w:type="dxa"/>
            </w:tcMar>
            <w:vAlign w:val="center"/>
          </w:tcPr>
          <w:p w14:paraId="6F2758E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容器化改造</w:t>
            </w:r>
          </w:p>
        </w:tc>
        <w:tc>
          <w:tcPr>
            <w:tcW w:w="741" w:type="dxa"/>
            <w:shd w:val="clear" w:color="auto" w:fill="auto"/>
            <w:tcMar>
              <w:top w:w="0" w:type="dxa"/>
              <w:left w:w="105" w:type="dxa"/>
              <w:bottom w:w="0" w:type="dxa"/>
              <w:right w:w="105" w:type="dxa"/>
            </w:tcMar>
            <w:vAlign w:val="center"/>
          </w:tcPr>
          <w:p w14:paraId="28FBA968">
            <w:pPr>
              <w:keepNext w:val="0"/>
              <w:keepLines w:val="0"/>
              <w:widowControl/>
              <w:suppressLineNumbers w:val="0"/>
              <w:jc w:val="left"/>
              <w:outlineLvl w:val="9"/>
              <w:rPr>
                <w:rFonts w:hint="eastAsia" w:ascii="宋体" w:hAnsi="宋体" w:eastAsia="宋体" w:cs="宋体"/>
                <w:color w:val="auto"/>
                <w:highlight w:val="none"/>
              </w:rPr>
            </w:pPr>
          </w:p>
        </w:tc>
      </w:tr>
      <w:tr w14:paraId="4FBF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blCellSpacing w:w="15" w:type="dxa"/>
        </w:trPr>
        <w:tc>
          <w:tcPr>
            <w:tcW w:w="1113" w:type="dxa"/>
            <w:shd w:val="clear" w:color="auto" w:fill="auto"/>
            <w:tcMar>
              <w:top w:w="0" w:type="dxa"/>
              <w:left w:w="105" w:type="dxa"/>
              <w:bottom w:w="0" w:type="dxa"/>
              <w:right w:w="105" w:type="dxa"/>
            </w:tcMar>
            <w:vAlign w:val="center"/>
          </w:tcPr>
          <w:p w14:paraId="1391D80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5</w:t>
            </w:r>
          </w:p>
        </w:tc>
        <w:tc>
          <w:tcPr>
            <w:tcW w:w="1281" w:type="dxa"/>
            <w:vMerge w:val="continue"/>
            <w:shd w:val="clear" w:color="auto" w:fill="auto"/>
            <w:tcMar>
              <w:top w:w="0" w:type="dxa"/>
              <w:left w:w="105" w:type="dxa"/>
              <w:bottom w:w="0" w:type="dxa"/>
              <w:right w:w="105" w:type="dxa"/>
            </w:tcMar>
            <w:vAlign w:val="center"/>
          </w:tcPr>
          <w:p w14:paraId="29D43412">
            <w:pPr>
              <w:outlineLvl w:val="9"/>
              <w:rPr>
                <w:rFonts w:hint="eastAsia" w:ascii="宋体" w:hAnsi="宋体" w:eastAsia="宋体" w:cs="宋体"/>
                <w:color w:val="auto"/>
                <w:sz w:val="24"/>
                <w:szCs w:val="24"/>
                <w:highlight w:val="none"/>
              </w:rPr>
            </w:pPr>
          </w:p>
        </w:tc>
        <w:tc>
          <w:tcPr>
            <w:tcW w:w="1381" w:type="dxa"/>
            <w:vMerge w:val="restart"/>
            <w:shd w:val="clear" w:color="auto" w:fill="auto"/>
            <w:tcMar>
              <w:top w:w="0" w:type="dxa"/>
              <w:left w:w="105" w:type="dxa"/>
              <w:bottom w:w="0" w:type="dxa"/>
              <w:right w:w="105" w:type="dxa"/>
            </w:tcMar>
            <w:vAlign w:val="center"/>
          </w:tcPr>
          <w:p w14:paraId="2AB78AA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便民服务</w:t>
            </w:r>
          </w:p>
        </w:tc>
        <w:tc>
          <w:tcPr>
            <w:tcW w:w="2582" w:type="dxa"/>
            <w:shd w:val="clear" w:color="auto" w:fill="auto"/>
            <w:tcMar>
              <w:top w:w="0" w:type="dxa"/>
              <w:left w:w="105" w:type="dxa"/>
              <w:bottom w:w="0" w:type="dxa"/>
              <w:right w:w="105" w:type="dxa"/>
            </w:tcMar>
            <w:vAlign w:val="center"/>
          </w:tcPr>
          <w:p w14:paraId="39941C9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便民查询</w:t>
            </w:r>
          </w:p>
        </w:tc>
        <w:tc>
          <w:tcPr>
            <w:tcW w:w="1449" w:type="dxa"/>
            <w:shd w:val="clear" w:color="auto" w:fill="auto"/>
            <w:tcMar>
              <w:top w:w="0" w:type="dxa"/>
              <w:left w:w="105" w:type="dxa"/>
              <w:bottom w:w="0" w:type="dxa"/>
              <w:right w:w="105" w:type="dxa"/>
            </w:tcMar>
            <w:vAlign w:val="center"/>
          </w:tcPr>
          <w:p w14:paraId="7DFE2CC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容器化改造</w:t>
            </w:r>
          </w:p>
        </w:tc>
        <w:tc>
          <w:tcPr>
            <w:tcW w:w="741" w:type="dxa"/>
            <w:shd w:val="clear" w:color="auto" w:fill="auto"/>
            <w:tcMar>
              <w:top w:w="0" w:type="dxa"/>
              <w:left w:w="105" w:type="dxa"/>
              <w:bottom w:w="0" w:type="dxa"/>
              <w:right w:w="105" w:type="dxa"/>
            </w:tcMar>
            <w:vAlign w:val="center"/>
          </w:tcPr>
          <w:p w14:paraId="4E7F472B">
            <w:pPr>
              <w:keepNext w:val="0"/>
              <w:keepLines w:val="0"/>
              <w:widowControl/>
              <w:suppressLineNumbers w:val="0"/>
              <w:jc w:val="left"/>
              <w:outlineLvl w:val="9"/>
              <w:rPr>
                <w:rFonts w:hint="eastAsia" w:ascii="宋体" w:hAnsi="宋体" w:eastAsia="宋体" w:cs="宋体"/>
                <w:color w:val="auto"/>
                <w:highlight w:val="none"/>
              </w:rPr>
            </w:pPr>
          </w:p>
        </w:tc>
      </w:tr>
      <w:tr w14:paraId="156E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blCellSpacing w:w="15" w:type="dxa"/>
        </w:trPr>
        <w:tc>
          <w:tcPr>
            <w:tcW w:w="1113" w:type="dxa"/>
            <w:shd w:val="clear" w:color="auto" w:fill="auto"/>
            <w:tcMar>
              <w:top w:w="0" w:type="dxa"/>
              <w:left w:w="105" w:type="dxa"/>
              <w:bottom w:w="0" w:type="dxa"/>
              <w:right w:w="105" w:type="dxa"/>
            </w:tcMar>
            <w:vAlign w:val="center"/>
          </w:tcPr>
          <w:p w14:paraId="475C028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6</w:t>
            </w:r>
          </w:p>
        </w:tc>
        <w:tc>
          <w:tcPr>
            <w:tcW w:w="1281" w:type="dxa"/>
            <w:vMerge w:val="continue"/>
            <w:shd w:val="clear" w:color="auto" w:fill="auto"/>
            <w:tcMar>
              <w:top w:w="0" w:type="dxa"/>
              <w:left w:w="105" w:type="dxa"/>
              <w:bottom w:w="0" w:type="dxa"/>
              <w:right w:w="105" w:type="dxa"/>
            </w:tcMar>
            <w:vAlign w:val="center"/>
          </w:tcPr>
          <w:p w14:paraId="54A6993B">
            <w:pPr>
              <w:outlineLvl w:val="9"/>
              <w:rPr>
                <w:rFonts w:hint="eastAsia" w:ascii="宋体" w:hAnsi="宋体" w:eastAsia="宋体" w:cs="宋体"/>
                <w:color w:val="auto"/>
                <w:sz w:val="24"/>
                <w:szCs w:val="24"/>
                <w:highlight w:val="none"/>
              </w:rPr>
            </w:pPr>
          </w:p>
        </w:tc>
        <w:tc>
          <w:tcPr>
            <w:tcW w:w="1381" w:type="dxa"/>
            <w:vMerge w:val="continue"/>
            <w:shd w:val="clear" w:color="auto" w:fill="auto"/>
            <w:tcMar>
              <w:top w:w="0" w:type="dxa"/>
              <w:left w:w="105" w:type="dxa"/>
              <w:bottom w:w="0" w:type="dxa"/>
              <w:right w:w="105" w:type="dxa"/>
            </w:tcMar>
            <w:vAlign w:val="center"/>
          </w:tcPr>
          <w:p w14:paraId="5AE91943">
            <w:pPr>
              <w:outlineLvl w:val="9"/>
              <w:rPr>
                <w:rFonts w:hint="eastAsia" w:ascii="宋体" w:hAnsi="宋体" w:eastAsia="宋体" w:cs="宋体"/>
                <w:color w:val="auto"/>
                <w:sz w:val="24"/>
                <w:szCs w:val="24"/>
                <w:highlight w:val="none"/>
              </w:rPr>
            </w:pPr>
          </w:p>
        </w:tc>
        <w:tc>
          <w:tcPr>
            <w:tcW w:w="2582" w:type="dxa"/>
            <w:shd w:val="clear" w:color="auto" w:fill="auto"/>
            <w:tcMar>
              <w:top w:w="0" w:type="dxa"/>
              <w:left w:w="105" w:type="dxa"/>
              <w:bottom w:w="0" w:type="dxa"/>
              <w:right w:w="105" w:type="dxa"/>
            </w:tcMar>
            <w:vAlign w:val="center"/>
          </w:tcPr>
          <w:p w14:paraId="3899C1C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新闻公告</w:t>
            </w:r>
          </w:p>
        </w:tc>
        <w:tc>
          <w:tcPr>
            <w:tcW w:w="1449" w:type="dxa"/>
            <w:shd w:val="clear" w:color="auto" w:fill="auto"/>
            <w:tcMar>
              <w:top w:w="0" w:type="dxa"/>
              <w:left w:w="105" w:type="dxa"/>
              <w:bottom w:w="0" w:type="dxa"/>
              <w:right w:w="105" w:type="dxa"/>
            </w:tcMar>
            <w:vAlign w:val="center"/>
          </w:tcPr>
          <w:p w14:paraId="2D12697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容器化改造</w:t>
            </w:r>
          </w:p>
        </w:tc>
        <w:tc>
          <w:tcPr>
            <w:tcW w:w="741" w:type="dxa"/>
            <w:shd w:val="clear" w:color="auto" w:fill="auto"/>
            <w:tcMar>
              <w:top w:w="0" w:type="dxa"/>
              <w:left w:w="105" w:type="dxa"/>
              <w:bottom w:w="0" w:type="dxa"/>
              <w:right w:w="105" w:type="dxa"/>
            </w:tcMar>
            <w:vAlign w:val="center"/>
          </w:tcPr>
          <w:p w14:paraId="55647569">
            <w:pPr>
              <w:keepNext w:val="0"/>
              <w:keepLines w:val="0"/>
              <w:widowControl/>
              <w:suppressLineNumbers w:val="0"/>
              <w:jc w:val="left"/>
              <w:outlineLvl w:val="9"/>
              <w:rPr>
                <w:rFonts w:hint="eastAsia" w:ascii="宋体" w:hAnsi="宋体" w:eastAsia="宋体" w:cs="宋体"/>
                <w:color w:val="auto"/>
                <w:highlight w:val="none"/>
              </w:rPr>
            </w:pPr>
          </w:p>
        </w:tc>
      </w:tr>
      <w:tr w14:paraId="61F0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3" w:hRule="atLeast"/>
          <w:tblCellSpacing w:w="15" w:type="dxa"/>
        </w:trPr>
        <w:tc>
          <w:tcPr>
            <w:tcW w:w="1113" w:type="dxa"/>
            <w:shd w:val="clear" w:color="auto" w:fill="auto"/>
            <w:tcMar>
              <w:top w:w="0" w:type="dxa"/>
              <w:left w:w="105" w:type="dxa"/>
              <w:bottom w:w="0" w:type="dxa"/>
              <w:right w:w="105" w:type="dxa"/>
            </w:tcMar>
            <w:vAlign w:val="center"/>
          </w:tcPr>
          <w:p w14:paraId="4A744EB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7</w:t>
            </w:r>
          </w:p>
        </w:tc>
        <w:tc>
          <w:tcPr>
            <w:tcW w:w="1281" w:type="dxa"/>
            <w:vMerge w:val="continue"/>
            <w:shd w:val="clear" w:color="auto" w:fill="auto"/>
            <w:tcMar>
              <w:top w:w="0" w:type="dxa"/>
              <w:left w:w="105" w:type="dxa"/>
              <w:bottom w:w="0" w:type="dxa"/>
              <w:right w:w="105" w:type="dxa"/>
            </w:tcMar>
            <w:vAlign w:val="center"/>
          </w:tcPr>
          <w:p w14:paraId="42576B8A">
            <w:pPr>
              <w:outlineLvl w:val="9"/>
              <w:rPr>
                <w:rFonts w:hint="eastAsia" w:ascii="宋体" w:hAnsi="宋体" w:eastAsia="宋体" w:cs="宋体"/>
                <w:color w:val="auto"/>
                <w:sz w:val="24"/>
                <w:szCs w:val="24"/>
                <w:highlight w:val="none"/>
              </w:rPr>
            </w:pPr>
          </w:p>
        </w:tc>
        <w:tc>
          <w:tcPr>
            <w:tcW w:w="1381" w:type="dxa"/>
            <w:vMerge w:val="continue"/>
            <w:shd w:val="clear" w:color="auto" w:fill="auto"/>
            <w:tcMar>
              <w:top w:w="0" w:type="dxa"/>
              <w:left w:w="105" w:type="dxa"/>
              <w:bottom w:w="0" w:type="dxa"/>
              <w:right w:w="105" w:type="dxa"/>
            </w:tcMar>
            <w:vAlign w:val="center"/>
          </w:tcPr>
          <w:p w14:paraId="2B3C548D">
            <w:pPr>
              <w:outlineLvl w:val="9"/>
              <w:rPr>
                <w:rFonts w:hint="eastAsia" w:ascii="宋体" w:hAnsi="宋体" w:eastAsia="宋体" w:cs="宋体"/>
                <w:color w:val="auto"/>
                <w:sz w:val="24"/>
                <w:szCs w:val="24"/>
                <w:highlight w:val="none"/>
              </w:rPr>
            </w:pPr>
          </w:p>
        </w:tc>
        <w:tc>
          <w:tcPr>
            <w:tcW w:w="2582" w:type="dxa"/>
            <w:shd w:val="clear" w:color="auto" w:fill="auto"/>
            <w:tcMar>
              <w:top w:w="0" w:type="dxa"/>
              <w:left w:w="105" w:type="dxa"/>
              <w:bottom w:w="0" w:type="dxa"/>
              <w:right w:w="105" w:type="dxa"/>
            </w:tcMar>
            <w:vAlign w:val="center"/>
          </w:tcPr>
          <w:p w14:paraId="2FAB1EC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积分管理</w:t>
            </w:r>
          </w:p>
        </w:tc>
        <w:tc>
          <w:tcPr>
            <w:tcW w:w="1449" w:type="dxa"/>
            <w:shd w:val="clear" w:color="auto" w:fill="auto"/>
            <w:tcMar>
              <w:top w:w="0" w:type="dxa"/>
              <w:left w:w="105" w:type="dxa"/>
              <w:bottom w:w="0" w:type="dxa"/>
              <w:right w:w="105" w:type="dxa"/>
            </w:tcMar>
            <w:vAlign w:val="center"/>
          </w:tcPr>
          <w:p w14:paraId="288D49B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19"/>
                <w:szCs w:val="19"/>
                <w:highlight w:val="none"/>
              </w:rPr>
              <w:t>新建</w:t>
            </w:r>
          </w:p>
        </w:tc>
        <w:tc>
          <w:tcPr>
            <w:tcW w:w="741" w:type="dxa"/>
            <w:shd w:val="clear" w:color="auto" w:fill="auto"/>
            <w:tcMar>
              <w:top w:w="0" w:type="dxa"/>
              <w:left w:w="105" w:type="dxa"/>
              <w:bottom w:w="0" w:type="dxa"/>
              <w:right w:w="105" w:type="dxa"/>
            </w:tcMar>
            <w:vAlign w:val="center"/>
          </w:tcPr>
          <w:p w14:paraId="0E25A1B5">
            <w:pPr>
              <w:keepNext w:val="0"/>
              <w:keepLines w:val="0"/>
              <w:widowControl/>
              <w:suppressLineNumbers w:val="0"/>
              <w:jc w:val="left"/>
              <w:outlineLvl w:val="9"/>
              <w:rPr>
                <w:rFonts w:hint="eastAsia" w:ascii="宋体" w:hAnsi="宋体" w:eastAsia="宋体" w:cs="宋体"/>
                <w:color w:val="auto"/>
                <w:highlight w:val="none"/>
              </w:rPr>
            </w:pPr>
          </w:p>
        </w:tc>
      </w:tr>
    </w:tbl>
    <w:p w14:paraId="4C167B1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1.1.2.1 </w:t>
      </w:r>
      <w:r>
        <w:rPr>
          <w:rStyle w:val="17"/>
          <w:rFonts w:hint="eastAsia" w:ascii="宋体" w:hAnsi="宋体" w:eastAsia="宋体" w:cs="宋体"/>
          <w:color w:val="auto"/>
          <w:spacing w:val="0"/>
          <w:sz w:val="28"/>
          <w:szCs w:val="28"/>
          <w:highlight w:val="none"/>
        </w:rPr>
        <w:t>对接服务</w:t>
      </w:r>
    </w:p>
    <w:p w14:paraId="2ACA6F3C">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1.1.2.1.1 对接国家12319公众号</w:t>
      </w:r>
    </w:p>
    <w:p w14:paraId="4F28E608">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12319公众服务号由国家平台统一开发，市平台对接国家平台获取本市12319公众诉求数据，查看本市的12319微信公众诉求及处置情况，督办超期未处置类问题，并对公众诉求数据进行综合展示查看。</w:t>
      </w:r>
    </w:p>
    <w:p w14:paraId="76451AA8">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1.1.2.1.2 e福州对接</w:t>
      </w:r>
    </w:p>
    <w:p w14:paraId="2F4CF88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通过对接，获取e福州APP提交市民的投诉建议和网格相关的上报信息等，对于投诉建议能够将处置状态和处置情况进行反馈，对网格相关的上报信息可以反馈是否被采纳。</w:t>
      </w:r>
    </w:p>
    <w:p w14:paraId="709946CD">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平台对接采取基于XML标准协议的Web Service接口.</w:t>
      </w:r>
    </w:p>
    <w:p w14:paraId="0933376B">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1.1.2.1.3 12345对接</w:t>
      </w:r>
    </w:p>
    <w:p w14:paraId="75186DB4">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12345平台提交市民的投诉建议和网格相关的上报信息等在统一流程引擎处置，对于投诉建议能够将处置状态和处置情况进行反馈，对网格相关的上报信息可以反馈是否被采纳。</w:t>
      </w:r>
    </w:p>
    <w:p w14:paraId="50AC57A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1.1.2.2 </w:t>
      </w:r>
      <w:r>
        <w:rPr>
          <w:rStyle w:val="17"/>
          <w:rFonts w:hint="eastAsia" w:ascii="宋体" w:hAnsi="宋体" w:eastAsia="宋体" w:cs="宋体"/>
          <w:color w:val="auto"/>
          <w:spacing w:val="0"/>
          <w:sz w:val="28"/>
          <w:szCs w:val="28"/>
          <w:highlight w:val="none"/>
        </w:rPr>
        <w:t>问题上报</w:t>
      </w:r>
    </w:p>
    <w:p w14:paraId="2A2B3716">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通过所提供的随手怕、违停上报等功能，让市民上报身边所发生的问题，扩展问题来源，了解群众所关心的问题，提高群众参入度。</w:t>
      </w:r>
    </w:p>
    <w:p w14:paraId="1D64D5FF">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1.1.2.2.1 随手拍</w:t>
      </w:r>
    </w:p>
    <w:p w14:paraId="77B15D2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市民可通过随手拍上传图片、音频、视频等多媒体信息，通过调用手机资源完成信息的实时上报。</w:t>
      </w:r>
    </w:p>
    <w:p w14:paraId="17DBB868">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1.1.2.2.2 违停上报</w:t>
      </w:r>
    </w:p>
    <w:p w14:paraId="6BC757A6">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针对市民较为关心的违停案件进行上报，须填写车牌号、违停照片、位置信息等，可提供车牌简写选择功能，方便车牌填写。</w:t>
      </w:r>
    </w:p>
    <w:p w14:paraId="14654B9F">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1.1.2.2.3 问题类型</w:t>
      </w:r>
    </w:p>
    <w:p w14:paraId="5590C50D">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针对市民关心的热点问题类型，以标签形式简洁明了的提供给市民选择，上报后自动关联所属大类；同时问题类型可配置，可配置成全部大小类选择、仅相关大类选择、仅相关小类选择、自定义等方式。</w:t>
      </w:r>
    </w:p>
    <w:p w14:paraId="360C20E9">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1.1.2.2.4 问题描述</w:t>
      </w:r>
    </w:p>
    <w:p w14:paraId="48FBD5D5">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案卷上报时需描述问题发生情况，同时提示至少添加1张问题相关图片。</w:t>
      </w:r>
    </w:p>
    <w:p w14:paraId="5375C906">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1.1.2.2.5 是否回访</w:t>
      </w:r>
    </w:p>
    <w:p w14:paraId="71BB3F1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市民上报时可选择是否需要回访，若需要则会在案件完成后，可通过电话或其他方式回访上报人对于案件处理的满意程度等相关情况。</w:t>
      </w:r>
    </w:p>
    <w:p w14:paraId="5A22516D">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1.1.2.2.6 位置信息</w:t>
      </w:r>
    </w:p>
    <w:p w14:paraId="5A31954D">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位置信息会通过定位自动显示，如有误差可手动选择定位信息。</w:t>
      </w:r>
    </w:p>
    <w:p w14:paraId="4361B069">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1.1.2.2.7 填写提醒</w:t>
      </w:r>
    </w:p>
    <w:p w14:paraId="160FBDB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上报前对于未填写内容进行填写提醒。</w:t>
      </w:r>
    </w:p>
    <w:p w14:paraId="73622DD7">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1.1.2.2.8 相似案件提醒</w:t>
      </w:r>
    </w:p>
    <w:p w14:paraId="4FB6CAEF">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针对市民上报的案件，系统结合历史上报信息，对该案件相似的案件情况进行提醒，避免重复上报，可以取消该案件或选择继续上报该案件。</w:t>
      </w:r>
    </w:p>
    <w:p w14:paraId="3BEAC565">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1.1.2.2.9 相似案件查看</w:t>
      </w:r>
    </w:p>
    <w:p w14:paraId="7EB75054">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针对相似案件提醒可查看相似案件情况，以列表的形式展现所有相似案件，同时还可查看案件具体情况，则可自行判断是否为相似案件。</w:t>
      </w:r>
    </w:p>
    <w:p w14:paraId="45188981">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1.1.2.2.10 上报反馈</w:t>
      </w:r>
    </w:p>
    <w:p w14:paraId="624A4F9A">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案件信息填写完全，待多媒体信息上传成功后，系统提醒案件上报成功。</w:t>
      </w:r>
    </w:p>
    <w:p w14:paraId="03DAF798">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1.1.2.2.11 历史上报案件列表</w:t>
      </w:r>
    </w:p>
    <w:p w14:paraId="45BFD39A">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用户可查看历史上报案件，以列表的形式展现。</w:t>
      </w:r>
    </w:p>
    <w:p w14:paraId="5ADE06C7">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1.1.2.2.12 历史案件查询</w:t>
      </w:r>
    </w:p>
    <w:p w14:paraId="57E8BF6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历史上报列表可通过关键字进行案件的查询。</w:t>
      </w:r>
    </w:p>
    <w:p w14:paraId="4DC8270A">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1.1.2.2.13 历史案件详情查看</w:t>
      </w:r>
    </w:p>
    <w:p w14:paraId="0E2F218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同时还可对历史上报案件的详情进行查看。</w:t>
      </w:r>
    </w:p>
    <w:p w14:paraId="0562BBA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1.1.2.3 </w:t>
      </w:r>
      <w:r>
        <w:rPr>
          <w:rStyle w:val="17"/>
          <w:rFonts w:hint="eastAsia" w:ascii="宋体" w:hAnsi="宋体" w:eastAsia="宋体" w:cs="宋体"/>
          <w:color w:val="auto"/>
          <w:spacing w:val="0"/>
          <w:sz w:val="28"/>
          <w:szCs w:val="28"/>
          <w:highlight w:val="none"/>
        </w:rPr>
        <w:t>便民服务</w:t>
      </w:r>
    </w:p>
    <w:p w14:paraId="1B408A84">
      <w:pPr>
        <w:pStyle w:val="14"/>
        <w:keepNext w:val="0"/>
        <w:keepLines w:val="0"/>
        <w:widowControl/>
        <w:suppressLineNumbers w:val="0"/>
        <w:spacing w:before="150" w:beforeAutospacing="0" w:after="150"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群众通过微信城管平台，可以了解城市管理事件处理、各类证件办理的详细业务流程，在线查找附近的公园、公厕等便民设施，并提供自动导航，为广大市民提供优质、高效、便捷的服务。</w:t>
      </w:r>
    </w:p>
    <w:p w14:paraId="0176B057">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1.1.2.3.1 办事机构</w:t>
      </w:r>
    </w:p>
    <w:p w14:paraId="3E93C601">
      <w:pPr>
        <w:pStyle w:val="14"/>
        <w:keepNext w:val="0"/>
        <w:keepLines w:val="0"/>
        <w:widowControl/>
        <w:suppressLineNumbers w:val="0"/>
        <w:spacing w:before="150" w:beforeAutospacing="0" w:after="150"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目前群众在办理各类业务时，存在大量的问题，相关负责单位难寻找，各类证件要求不明确，需要在多个部门间来回往返跑腿，办理一个业务及其不方便，市民可以查阅办事机构地址和详情，提高了政府在市民中的形象。</w:t>
      </w:r>
    </w:p>
    <w:p w14:paraId="0B862BD7">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1.1.2.3.2 城市公厕</w:t>
      </w:r>
    </w:p>
    <w:p w14:paraId="68C082E6">
      <w:pPr>
        <w:pStyle w:val="14"/>
        <w:keepNext w:val="0"/>
        <w:keepLines w:val="0"/>
        <w:widowControl/>
        <w:suppressLineNumbers w:val="0"/>
        <w:spacing w:before="150" w:beforeAutospacing="0" w:after="150"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在微信公众平台中加载城市公厕信息，提供公厕具体定位信息，公厕开放时间等，市民可以快速在地图上查找距离自己最近的公厕，对于道路不熟悉的市民，可以根据系统提供的导航服务寻找公厕。</w:t>
      </w:r>
    </w:p>
    <w:p w14:paraId="63524A2F">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1.1.2.3.3 附近菜场</w:t>
      </w:r>
    </w:p>
    <w:p w14:paraId="4FAAEE81">
      <w:pPr>
        <w:pStyle w:val="14"/>
        <w:keepNext w:val="0"/>
        <w:keepLines w:val="0"/>
        <w:widowControl/>
        <w:suppressLineNumbers w:val="0"/>
        <w:spacing w:before="150" w:beforeAutospacing="0" w:after="150"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在微信公众平台中加载附近菜场信息，提供菜场具体定位信息，市民可以快速在地图上查找距离自己最近的菜市场，对于道路不熟悉的市民，可以根据系统提供的导航服务寻找菜场。</w:t>
      </w:r>
    </w:p>
    <w:p w14:paraId="641D13EC">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1.1.2.3.4 城市公园</w:t>
      </w:r>
    </w:p>
    <w:p w14:paraId="191318BF">
      <w:pPr>
        <w:pStyle w:val="14"/>
        <w:keepNext w:val="0"/>
        <w:keepLines w:val="0"/>
        <w:widowControl/>
        <w:suppressLineNumbers w:val="0"/>
        <w:spacing w:before="150" w:beforeAutospacing="0" w:after="150"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在微信公众平台中加载城市公园信息，提供公园具体定位信息，公园开放时间等，市民可以快速在地图上查找距离自己最近的公园，对于道路不熟悉的市民，可以根据系统提供的导航服务寻找公园。</w:t>
      </w:r>
    </w:p>
    <w:p w14:paraId="5B13BA85">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1.1.2.3.5 新闻资讯</w:t>
      </w:r>
    </w:p>
    <w:p w14:paraId="04B46B17">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用户可查看推送的新闻资讯，了解相关典型消息，以达到宣传互动的目的。</w:t>
      </w:r>
    </w:p>
    <w:p w14:paraId="0D6C1D05">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1.1.2.3.6 通知公告</w:t>
      </w:r>
    </w:p>
    <w:p w14:paraId="4BC51A26">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对于重要消息提供了通知公告功能，滚动展现相关通知消息。</w:t>
      </w:r>
    </w:p>
    <w:p w14:paraId="3B8D0448">
      <w:pPr>
        <w:keepNext w:val="0"/>
        <w:keepLines w:val="0"/>
        <w:widowControl/>
        <w:suppressLineNumbers w:val="0"/>
        <w:ind w:left="0" w:firstLine="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1.1.2.3.7 积分管理</w:t>
      </w:r>
    </w:p>
    <w:p w14:paraId="1D357B70">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为鼓励市民参入城市管理，加强与处置部门的互动，建立相应的积分体系，通过签到、上报案件等获取积分，在积分商城中进行各种奖品的兑换，以提高市民参入的积极性。</w:t>
      </w:r>
    </w:p>
    <w:p w14:paraId="2A7D9A9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1.1.2.3.7.1 </w:t>
      </w:r>
      <w:r>
        <w:rPr>
          <w:rStyle w:val="17"/>
          <w:rFonts w:hint="eastAsia" w:ascii="宋体" w:hAnsi="宋体" w:eastAsia="宋体" w:cs="宋体"/>
          <w:color w:val="auto"/>
          <w:spacing w:val="0"/>
          <w:sz w:val="28"/>
          <w:szCs w:val="28"/>
          <w:highlight w:val="none"/>
        </w:rPr>
        <w:t>个人积分信息</w:t>
      </w:r>
    </w:p>
    <w:p w14:paraId="2500CBF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在个人中心可查看个人积分情况，包括个人累计积分、当前积分以及已兑换积分等信息。</w:t>
      </w:r>
    </w:p>
    <w:p w14:paraId="774FF0A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1.1.2.3.7.2 </w:t>
      </w:r>
      <w:r>
        <w:rPr>
          <w:rStyle w:val="17"/>
          <w:rFonts w:hint="eastAsia" w:ascii="宋体" w:hAnsi="宋体" w:eastAsia="宋体" w:cs="宋体"/>
          <w:color w:val="auto"/>
          <w:spacing w:val="0"/>
          <w:sz w:val="28"/>
          <w:szCs w:val="28"/>
          <w:highlight w:val="none"/>
        </w:rPr>
        <w:t>积分商城</w:t>
      </w:r>
    </w:p>
    <w:p w14:paraId="0D710D1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通过我的积分栏可进入积分商城。</w:t>
      </w:r>
    </w:p>
    <w:p w14:paraId="334A94A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1.1.2.3.7.3 </w:t>
      </w:r>
      <w:r>
        <w:rPr>
          <w:rStyle w:val="17"/>
          <w:rFonts w:hint="eastAsia" w:ascii="宋体" w:hAnsi="宋体" w:eastAsia="宋体" w:cs="宋体"/>
          <w:color w:val="auto"/>
          <w:spacing w:val="0"/>
          <w:sz w:val="28"/>
          <w:szCs w:val="28"/>
          <w:highlight w:val="none"/>
        </w:rPr>
        <w:t>商城主页</w:t>
      </w:r>
    </w:p>
    <w:p w14:paraId="0DF6BCA2">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积分商城主页展示了个人积分情况、积分规则以及可用积分类别情况。</w:t>
      </w:r>
    </w:p>
    <w:p w14:paraId="0FEF1A6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1.1.2.3.7.4 </w:t>
      </w:r>
      <w:r>
        <w:rPr>
          <w:rStyle w:val="17"/>
          <w:rFonts w:hint="eastAsia" w:ascii="宋体" w:hAnsi="宋体" w:eastAsia="宋体" w:cs="宋体"/>
          <w:color w:val="auto"/>
          <w:spacing w:val="0"/>
          <w:sz w:val="28"/>
          <w:szCs w:val="28"/>
          <w:highlight w:val="none"/>
        </w:rPr>
        <w:t>商品列表</w:t>
      </w:r>
    </w:p>
    <w:p w14:paraId="419228CB">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针对不同类别的积分以列表的显示展示可兑换的商品，同时对商品进行分类，并可按照积分、兑换数等进行排名展示，可查看各商品照片及所需兑换积分。</w:t>
      </w:r>
    </w:p>
    <w:p w14:paraId="280E26B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1.1.2.3.7.5 </w:t>
      </w:r>
      <w:r>
        <w:rPr>
          <w:rStyle w:val="17"/>
          <w:rFonts w:hint="eastAsia" w:ascii="宋体" w:hAnsi="宋体" w:eastAsia="宋体" w:cs="宋体"/>
          <w:color w:val="auto"/>
          <w:spacing w:val="0"/>
          <w:sz w:val="28"/>
          <w:szCs w:val="28"/>
          <w:highlight w:val="none"/>
        </w:rPr>
        <w:t>商品兑换</w:t>
      </w:r>
    </w:p>
    <w:p w14:paraId="0B8B61E8">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针对所需兑换商品可查看库存量并进行兑换。</w:t>
      </w:r>
    </w:p>
    <w:p w14:paraId="241194B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1.1.2.3.7.6 </w:t>
      </w:r>
      <w:r>
        <w:rPr>
          <w:rStyle w:val="17"/>
          <w:rFonts w:hint="eastAsia" w:ascii="宋体" w:hAnsi="宋体" w:eastAsia="宋体" w:cs="宋体"/>
          <w:color w:val="auto"/>
          <w:spacing w:val="0"/>
          <w:sz w:val="28"/>
          <w:szCs w:val="28"/>
          <w:highlight w:val="none"/>
        </w:rPr>
        <w:t>订单管理</w:t>
      </w:r>
    </w:p>
    <w:p w14:paraId="10AAEB95">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用户可对所兑换商品的订单进行管理。</w:t>
      </w:r>
    </w:p>
    <w:p w14:paraId="288B4FD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1.1.2.3.7.7 </w:t>
      </w:r>
      <w:r>
        <w:rPr>
          <w:rStyle w:val="17"/>
          <w:rFonts w:hint="eastAsia" w:ascii="宋体" w:hAnsi="宋体" w:eastAsia="宋体" w:cs="宋体"/>
          <w:color w:val="auto"/>
          <w:spacing w:val="0"/>
          <w:sz w:val="28"/>
          <w:szCs w:val="28"/>
          <w:highlight w:val="none"/>
        </w:rPr>
        <w:t>订单详情</w:t>
      </w:r>
    </w:p>
    <w:p w14:paraId="43A83069">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用户可查看兑换商品的订单详情。</w:t>
      </w:r>
    </w:p>
    <w:p w14:paraId="24B27B6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1.1.2.3.7.8 </w:t>
      </w:r>
      <w:r>
        <w:rPr>
          <w:rStyle w:val="17"/>
          <w:rFonts w:hint="eastAsia" w:ascii="宋体" w:hAnsi="宋体" w:eastAsia="宋体" w:cs="宋体"/>
          <w:color w:val="auto"/>
          <w:spacing w:val="0"/>
          <w:sz w:val="28"/>
          <w:szCs w:val="28"/>
          <w:highlight w:val="none"/>
        </w:rPr>
        <w:t>地址管理</w:t>
      </w:r>
    </w:p>
    <w:p w14:paraId="0FD68F91">
      <w:pPr>
        <w:pStyle w:val="14"/>
        <w:keepNext w:val="0"/>
        <w:keepLines w:val="0"/>
        <w:widowControl/>
        <w:suppressLineNumbers w:val="0"/>
        <w:spacing w:before="75" w:beforeAutospacing="0" w:after="75" w:afterAutospacing="0"/>
        <w:ind w:left="0" w:right="0" w:firstLine="48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用户可对兑换商品订单的收货地址进行编辑修改。</w:t>
      </w:r>
    </w:p>
    <w:p w14:paraId="2E13D2C3">
      <w:pPr>
        <w:pStyle w:val="14"/>
        <w:keepNext w:val="0"/>
        <w:keepLines w:val="0"/>
        <w:widowControl/>
        <w:suppressLineNumbers w:val="0"/>
        <w:ind w:left="0" w:firstLine="195"/>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1.1.3 </w:t>
      </w:r>
      <w:r>
        <w:rPr>
          <w:rFonts w:hint="eastAsia" w:ascii="宋体" w:hAnsi="宋体" w:eastAsia="宋体" w:cs="宋体"/>
          <w:color w:val="auto"/>
          <w:sz w:val="28"/>
          <w:szCs w:val="28"/>
          <w:highlight w:val="none"/>
        </w:rPr>
        <w:t>指挥协调系统</w:t>
      </w:r>
    </w:p>
    <w:p w14:paraId="17F239A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指挥协调系统是平台核心系统。依据《城市市政综合监管信息系统技术规范》（CJJ/T 106-2010）,实现城市管理问题，“信息采集、案件建立、任务派遣、任务处理、处理反馈、核查结案、绩效考核“等7个阶段的闭环管理。基于福州市网格化管理服务平台，根据《城市综合管理服务平台建设标准》及福州市实际应用需求，整合现有12345处置平台增加统一身份认证，拓展受理渠道，升级事件管理中心、日常指挥协同、应急指挥调度等系统。</w:t>
      </w:r>
    </w:p>
    <w:p w14:paraId="7B57F36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实现城市运行管理服务协调工作子系统功能，具备接收、办理和反馈国家和省级平台监督检查系统布置的重点工作任务的功能。</w:t>
      </w:r>
    </w:p>
    <w:p w14:paraId="2105570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实现城市运行管理服务监督指挥子系统功能，具备市政公用、市容环卫、园林绿化和城市执法，以及城市部件事件等数据的分析展示功能。</w:t>
      </w:r>
    </w:p>
    <w:p w14:paraId="0B9027D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对标住建部《城市运行管理服务平台建设指南》，充分利用原有业务系统功能，基于微服务架构，对原有功能进行容器化改造，对缺少的功能进行补充建设。系统个功能模块升级改造情况如下表所示：</w:t>
      </w:r>
    </w:p>
    <w:p w14:paraId="6B1E7F4E">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指挥协调系统升级改造情况表</w:t>
      </w:r>
    </w:p>
    <w:tbl>
      <w:tblPr>
        <w:tblStyle w:val="15"/>
        <w:tblW w:w="990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77"/>
        <w:gridCol w:w="1236"/>
        <w:gridCol w:w="917"/>
        <w:gridCol w:w="3154"/>
        <w:gridCol w:w="1730"/>
        <w:gridCol w:w="1986"/>
      </w:tblGrid>
      <w:tr w14:paraId="2E29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9F5198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序号</w:t>
            </w:r>
          </w:p>
        </w:tc>
        <w:tc>
          <w:tcPr>
            <w:tcW w:w="1206" w:type="dxa"/>
            <w:shd w:val="clear" w:color="auto" w:fill="auto"/>
            <w:tcMar>
              <w:top w:w="0" w:type="dxa"/>
              <w:left w:w="105" w:type="dxa"/>
              <w:bottom w:w="0" w:type="dxa"/>
              <w:right w:w="105" w:type="dxa"/>
            </w:tcMar>
            <w:vAlign w:val="center"/>
          </w:tcPr>
          <w:p w14:paraId="5D4656B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系统名称</w:t>
            </w:r>
          </w:p>
        </w:tc>
        <w:tc>
          <w:tcPr>
            <w:tcW w:w="887" w:type="dxa"/>
            <w:shd w:val="clear" w:color="auto" w:fill="auto"/>
            <w:tcMar>
              <w:top w:w="0" w:type="dxa"/>
              <w:left w:w="105" w:type="dxa"/>
              <w:bottom w:w="0" w:type="dxa"/>
              <w:right w:w="105" w:type="dxa"/>
            </w:tcMar>
            <w:vAlign w:val="center"/>
          </w:tcPr>
          <w:p w14:paraId="7499576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模块</w:t>
            </w:r>
          </w:p>
        </w:tc>
        <w:tc>
          <w:tcPr>
            <w:tcW w:w="3124" w:type="dxa"/>
            <w:shd w:val="clear" w:color="auto" w:fill="auto"/>
            <w:tcMar>
              <w:top w:w="0" w:type="dxa"/>
              <w:left w:w="105" w:type="dxa"/>
              <w:bottom w:w="0" w:type="dxa"/>
              <w:right w:w="105" w:type="dxa"/>
            </w:tcMar>
            <w:vAlign w:val="center"/>
          </w:tcPr>
          <w:p w14:paraId="31E3965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功能</w:t>
            </w:r>
          </w:p>
        </w:tc>
        <w:tc>
          <w:tcPr>
            <w:tcW w:w="1700" w:type="dxa"/>
            <w:shd w:val="clear" w:color="auto" w:fill="auto"/>
            <w:tcMar>
              <w:top w:w="0" w:type="dxa"/>
              <w:left w:w="105" w:type="dxa"/>
              <w:bottom w:w="0" w:type="dxa"/>
              <w:right w:w="105" w:type="dxa"/>
            </w:tcMar>
            <w:vAlign w:val="center"/>
          </w:tcPr>
          <w:p w14:paraId="385E41C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改造情况</w:t>
            </w:r>
          </w:p>
        </w:tc>
        <w:tc>
          <w:tcPr>
            <w:tcW w:w="1941" w:type="dxa"/>
            <w:shd w:val="clear" w:color="auto" w:fill="auto"/>
            <w:tcMar>
              <w:top w:w="0" w:type="dxa"/>
              <w:left w:w="105" w:type="dxa"/>
              <w:bottom w:w="0" w:type="dxa"/>
              <w:right w:w="105" w:type="dxa"/>
            </w:tcMar>
            <w:vAlign w:val="center"/>
          </w:tcPr>
          <w:p w14:paraId="0F2194D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备注</w:t>
            </w:r>
          </w:p>
        </w:tc>
      </w:tr>
      <w:tr w14:paraId="3C4A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82913B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w:t>
            </w:r>
          </w:p>
        </w:tc>
        <w:tc>
          <w:tcPr>
            <w:tcW w:w="1206" w:type="dxa"/>
            <w:vMerge w:val="restart"/>
            <w:shd w:val="clear" w:color="auto" w:fill="auto"/>
            <w:tcMar>
              <w:top w:w="0" w:type="dxa"/>
              <w:left w:w="105" w:type="dxa"/>
              <w:bottom w:w="0" w:type="dxa"/>
              <w:right w:w="105" w:type="dxa"/>
            </w:tcMar>
            <w:vAlign w:val="center"/>
          </w:tcPr>
          <w:p w14:paraId="10EE666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事件管理中心</w:t>
            </w:r>
          </w:p>
        </w:tc>
        <w:tc>
          <w:tcPr>
            <w:tcW w:w="887" w:type="dxa"/>
            <w:vMerge w:val="restart"/>
            <w:shd w:val="clear" w:color="auto" w:fill="auto"/>
            <w:tcMar>
              <w:top w:w="0" w:type="dxa"/>
              <w:left w:w="105" w:type="dxa"/>
              <w:bottom w:w="0" w:type="dxa"/>
              <w:right w:w="105" w:type="dxa"/>
            </w:tcMar>
            <w:vAlign w:val="center"/>
          </w:tcPr>
          <w:p w14:paraId="1D92D81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统一数据采集</w:t>
            </w:r>
          </w:p>
        </w:tc>
        <w:tc>
          <w:tcPr>
            <w:tcW w:w="3124" w:type="dxa"/>
            <w:shd w:val="clear" w:color="auto" w:fill="auto"/>
            <w:tcMar>
              <w:top w:w="0" w:type="dxa"/>
              <w:left w:w="105" w:type="dxa"/>
              <w:bottom w:w="0" w:type="dxa"/>
              <w:right w:w="105" w:type="dxa"/>
            </w:tcMar>
            <w:vAlign w:val="center"/>
          </w:tcPr>
          <w:p w14:paraId="7863505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手机端应用-基础功能</w:t>
            </w:r>
          </w:p>
        </w:tc>
        <w:tc>
          <w:tcPr>
            <w:tcW w:w="1700" w:type="dxa"/>
            <w:shd w:val="clear" w:color="auto" w:fill="auto"/>
            <w:tcMar>
              <w:top w:w="0" w:type="dxa"/>
              <w:left w:w="105" w:type="dxa"/>
              <w:bottom w:w="0" w:type="dxa"/>
              <w:right w:w="105" w:type="dxa"/>
            </w:tcMar>
            <w:vAlign w:val="center"/>
          </w:tcPr>
          <w:p w14:paraId="1692087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1F36117">
            <w:pPr>
              <w:keepNext w:val="0"/>
              <w:keepLines w:val="0"/>
              <w:widowControl/>
              <w:suppressLineNumbers w:val="0"/>
              <w:jc w:val="left"/>
              <w:outlineLvl w:val="9"/>
              <w:rPr>
                <w:rFonts w:hint="eastAsia" w:ascii="宋体" w:hAnsi="宋体" w:eastAsia="宋体" w:cs="宋体"/>
                <w:color w:val="auto"/>
                <w:highlight w:val="none"/>
              </w:rPr>
            </w:pPr>
          </w:p>
        </w:tc>
      </w:tr>
      <w:tr w14:paraId="1A41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99D816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w:t>
            </w:r>
          </w:p>
        </w:tc>
        <w:tc>
          <w:tcPr>
            <w:tcW w:w="1206" w:type="dxa"/>
            <w:vMerge w:val="continue"/>
            <w:shd w:val="clear" w:color="auto" w:fill="auto"/>
            <w:tcMar>
              <w:top w:w="0" w:type="dxa"/>
              <w:left w:w="105" w:type="dxa"/>
              <w:bottom w:w="0" w:type="dxa"/>
              <w:right w:w="105" w:type="dxa"/>
            </w:tcMar>
            <w:vAlign w:val="center"/>
          </w:tcPr>
          <w:p w14:paraId="39B5F118">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DE5881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8312A3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手机端应用-网格工作</w:t>
            </w:r>
          </w:p>
        </w:tc>
        <w:tc>
          <w:tcPr>
            <w:tcW w:w="1700" w:type="dxa"/>
            <w:shd w:val="clear" w:color="auto" w:fill="auto"/>
            <w:tcMar>
              <w:top w:w="0" w:type="dxa"/>
              <w:left w:w="105" w:type="dxa"/>
              <w:bottom w:w="0" w:type="dxa"/>
              <w:right w:w="105" w:type="dxa"/>
            </w:tcMar>
            <w:vAlign w:val="center"/>
          </w:tcPr>
          <w:p w14:paraId="22C56B3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176F4F18">
            <w:pPr>
              <w:keepNext w:val="0"/>
              <w:keepLines w:val="0"/>
              <w:widowControl/>
              <w:suppressLineNumbers w:val="0"/>
              <w:jc w:val="left"/>
              <w:outlineLvl w:val="9"/>
              <w:rPr>
                <w:rFonts w:hint="eastAsia" w:ascii="宋体" w:hAnsi="宋体" w:eastAsia="宋体" w:cs="宋体"/>
                <w:color w:val="auto"/>
                <w:highlight w:val="none"/>
              </w:rPr>
            </w:pPr>
          </w:p>
        </w:tc>
      </w:tr>
      <w:tr w14:paraId="3BF8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AF2171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w:t>
            </w:r>
          </w:p>
        </w:tc>
        <w:tc>
          <w:tcPr>
            <w:tcW w:w="1206" w:type="dxa"/>
            <w:vMerge w:val="continue"/>
            <w:shd w:val="clear" w:color="auto" w:fill="auto"/>
            <w:tcMar>
              <w:top w:w="0" w:type="dxa"/>
              <w:left w:w="105" w:type="dxa"/>
              <w:bottom w:w="0" w:type="dxa"/>
              <w:right w:w="105" w:type="dxa"/>
            </w:tcMar>
            <w:vAlign w:val="center"/>
          </w:tcPr>
          <w:p w14:paraId="511E4C3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ABFAAA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E7F38A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手机端应用-处置员工作</w:t>
            </w:r>
          </w:p>
        </w:tc>
        <w:tc>
          <w:tcPr>
            <w:tcW w:w="1700" w:type="dxa"/>
            <w:shd w:val="clear" w:color="auto" w:fill="auto"/>
            <w:tcMar>
              <w:top w:w="0" w:type="dxa"/>
              <w:left w:w="105" w:type="dxa"/>
              <w:bottom w:w="0" w:type="dxa"/>
              <w:right w:w="105" w:type="dxa"/>
            </w:tcMar>
            <w:vAlign w:val="center"/>
          </w:tcPr>
          <w:p w14:paraId="39F7CA7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35655599">
            <w:pPr>
              <w:keepNext w:val="0"/>
              <w:keepLines w:val="0"/>
              <w:widowControl/>
              <w:suppressLineNumbers w:val="0"/>
              <w:jc w:val="left"/>
              <w:outlineLvl w:val="9"/>
              <w:rPr>
                <w:rFonts w:hint="eastAsia" w:ascii="宋体" w:hAnsi="宋体" w:eastAsia="宋体" w:cs="宋体"/>
                <w:color w:val="auto"/>
                <w:highlight w:val="none"/>
              </w:rPr>
            </w:pPr>
          </w:p>
        </w:tc>
      </w:tr>
      <w:tr w14:paraId="1DC6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C57937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w:t>
            </w:r>
          </w:p>
        </w:tc>
        <w:tc>
          <w:tcPr>
            <w:tcW w:w="1206" w:type="dxa"/>
            <w:vMerge w:val="continue"/>
            <w:shd w:val="clear" w:color="auto" w:fill="auto"/>
            <w:tcMar>
              <w:top w:w="0" w:type="dxa"/>
              <w:left w:w="105" w:type="dxa"/>
              <w:bottom w:w="0" w:type="dxa"/>
              <w:right w:w="105" w:type="dxa"/>
            </w:tcMar>
            <w:vAlign w:val="center"/>
          </w:tcPr>
          <w:p w14:paraId="2E502C6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EA8E34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913BB5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电脑端应用-基础数据管理</w:t>
            </w:r>
          </w:p>
        </w:tc>
        <w:tc>
          <w:tcPr>
            <w:tcW w:w="1700" w:type="dxa"/>
            <w:shd w:val="clear" w:color="auto" w:fill="auto"/>
            <w:tcMar>
              <w:top w:w="0" w:type="dxa"/>
              <w:left w:w="105" w:type="dxa"/>
              <w:bottom w:w="0" w:type="dxa"/>
              <w:right w:w="105" w:type="dxa"/>
            </w:tcMar>
            <w:vAlign w:val="center"/>
          </w:tcPr>
          <w:p w14:paraId="2C48143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78B43063">
            <w:pPr>
              <w:keepNext w:val="0"/>
              <w:keepLines w:val="0"/>
              <w:widowControl/>
              <w:suppressLineNumbers w:val="0"/>
              <w:jc w:val="left"/>
              <w:outlineLvl w:val="9"/>
              <w:rPr>
                <w:rFonts w:hint="eastAsia" w:ascii="宋体" w:hAnsi="宋体" w:eastAsia="宋体" w:cs="宋体"/>
                <w:color w:val="auto"/>
                <w:highlight w:val="none"/>
              </w:rPr>
            </w:pPr>
          </w:p>
        </w:tc>
      </w:tr>
      <w:tr w14:paraId="419C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4EF930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w:t>
            </w:r>
          </w:p>
        </w:tc>
        <w:tc>
          <w:tcPr>
            <w:tcW w:w="1206" w:type="dxa"/>
            <w:vMerge w:val="continue"/>
            <w:shd w:val="clear" w:color="auto" w:fill="auto"/>
            <w:tcMar>
              <w:top w:w="0" w:type="dxa"/>
              <w:left w:w="105" w:type="dxa"/>
              <w:bottom w:w="0" w:type="dxa"/>
              <w:right w:w="105" w:type="dxa"/>
            </w:tcMar>
            <w:vAlign w:val="center"/>
          </w:tcPr>
          <w:p w14:paraId="0178847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806F7D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7849E3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电脑端应用-专业部门数据管理</w:t>
            </w:r>
          </w:p>
        </w:tc>
        <w:tc>
          <w:tcPr>
            <w:tcW w:w="1700" w:type="dxa"/>
            <w:shd w:val="clear" w:color="auto" w:fill="auto"/>
            <w:tcMar>
              <w:top w:w="0" w:type="dxa"/>
              <w:left w:w="105" w:type="dxa"/>
              <w:bottom w:w="0" w:type="dxa"/>
              <w:right w:w="105" w:type="dxa"/>
            </w:tcMar>
            <w:vAlign w:val="center"/>
          </w:tcPr>
          <w:p w14:paraId="73C4C07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96A1E8E">
            <w:pPr>
              <w:keepNext w:val="0"/>
              <w:keepLines w:val="0"/>
              <w:widowControl/>
              <w:suppressLineNumbers w:val="0"/>
              <w:jc w:val="left"/>
              <w:outlineLvl w:val="9"/>
              <w:rPr>
                <w:rFonts w:hint="eastAsia" w:ascii="宋体" w:hAnsi="宋体" w:eastAsia="宋体" w:cs="宋体"/>
                <w:color w:val="auto"/>
                <w:highlight w:val="none"/>
              </w:rPr>
            </w:pPr>
          </w:p>
        </w:tc>
      </w:tr>
      <w:tr w14:paraId="0DF9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DB6C47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w:t>
            </w:r>
          </w:p>
        </w:tc>
        <w:tc>
          <w:tcPr>
            <w:tcW w:w="1206" w:type="dxa"/>
            <w:vMerge w:val="continue"/>
            <w:shd w:val="clear" w:color="auto" w:fill="auto"/>
            <w:tcMar>
              <w:top w:w="0" w:type="dxa"/>
              <w:left w:w="105" w:type="dxa"/>
              <w:bottom w:w="0" w:type="dxa"/>
              <w:right w:w="105" w:type="dxa"/>
            </w:tcMar>
            <w:vAlign w:val="center"/>
          </w:tcPr>
          <w:p w14:paraId="06B63EF7">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4BF60C1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业务受理</w:t>
            </w:r>
          </w:p>
        </w:tc>
        <w:tc>
          <w:tcPr>
            <w:tcW w:w="3124" w:type="dxa"/>
            <w:shd w:val="clear" w:color="auto" w:fill="auto"/>
            <w:tcMar>
              <w:top w:w="0" w:type="dxa"/>
              <w:left w:w="105" w:type="dxa"/>
              <w:bottom w:w="0" w:type="dxa"/>
              <w:right w:w="105" w:type="dxa"/>
            </w:tcMar>
            <w:vAlign w:val="center"/>
          </w:tcPr>
          <w:p w14:paraId="471990A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网格化管理问题受理</w:t>
            </w:r>
          </w:p>
        </w:tc>
        <w:tc>
          <w:tcPr>
            <w:tcW w:w="1700" w:type="dxa"/>
            <w:shd w:val="clear" w:color="auto" w:fill="auto"/>
            <w:tcMar>
              <w:top w:w="0" w:type="dxa"/>
              <w:left w:w="105" w:type="dxa"/>
              <w:bottom w:w="0" w:type="dxa"/>
              <w:right w:w="105" w:type="dxa"/>
            </w:tcMar>
            <w:vAlign w:val="center"/>
          </w:tcPr>
          <w:p w14:paraId="0952036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80C0826">
            <w:pPr>
              <w:keepNext w:val="0"/>
              <w:keepLines w:val="0"/>
              <w:widowControl/>
              <w:suppressLineNumbers w:val="0"/>
              <w:jc w:val="left"/>
              <w:outlineLvl w:val="9"/>
              <w:rPr>
                <w:rFonts w:hint="eastAsia" w:ascii="宋体" w:hAnsi="宋体" w:eastAsia="宋体" w:cs="宋体"/>
                <w:color w:val="auto"/>
                <w:highlight w:val="none"/>
              </w:rPr>
            </w:pPr>
          </w:p>
        </w:tc>
      </w:tr>
      <w:tr w14:paraId="2BF8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B517AF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w:t>
            </w:r>
          </w:p>
        </w:tc>
        <w:tc>
          <w:tcPr>
            <w:tcW w:w="1206" w:type="dxa"/>
            <w:vMerge w:val="continue"/>
            <w:shd w:val="clear" w:color="auto" w:fill="auto"/>
            <w:tcMar>
              <w:top w:w="0" w:type="dxa"/>
              <w:left w:w="105" w:type="dxa"/>
              <w:bottom w:w="0" w:type="dxa"/>
              <w:right w:w="105" w:type="dxa"/>
            </w:tcMar>
            <w:vAlign w:val="center"/>
          </w:tcPr>
          <w:p w14:paraId="1896976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85FDD9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119179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案件管理</w:t>
            </w:r>
          </w:p>
        </w:tc>
        <w:tc>
          <w:tcPr>
            <w:tcW w:w="1700" w:type="dxa"/>
            <w:shd w:val="clear" w:color="auto" w:fill="auto"/>
            <w:tcMar>
              <w:top w:w="0" w:type="dxa"/>
              <w:left w:w="105" w:type="dxa"/>
              <w:bottom w:w="0" w:type="dxa"/>
              <w:right w:w="105" w:type="dxa"/>
            </w:tcMar>
            <w:vAlign w:val="center"/>
          </w:tcPr>
          <w:p w14:paraId="0904E19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5DBB6CF2">
            <w:pPr>
              <w:keepNext w:val="0"/>
              <w:keepLines w:val="0"/>
              <w:widowControl/>
              <w:suppressLineNumbers w:val="0"/>
              <w:jc w:val="left"/>
              <w:outlineLvl w:val="9"/>
              <w:rPr>
                <w:rFonts w:hint="eastAsia" w:ascii="宋体" w:hAnsi="宋体" w:eastAsia="宋体" w:cs="宋体"/>
                <w:color w:val="auto"/>
                <w:highlight w:val="none"/>
              </w:rPr>
            </w:pPr>
          </w:p>
        </w:tc>
      </w:tr>
      <w:tr w14:paraId="4C95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EA65EB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w:t>
            </w:r>
          </w:p>
        </w:tc>
        <w:tc>
          <w:tcPr>
            <w:tcW w:w="1206" w:type="dxa"/>
            <w:vMerge w:val="continue"/>
            <w:shd w:val="clear" w:color="auto" w:fill="auto"/>
            <w:tcMar>
              <w:top w:w="0" w:type="dxa"/>
              <w:left w:w="105" w:type="dxa"/>
              <w:bottom w:w="0" w:type="dxa"/>
              <w:right w:w="105" w:type="dxa"/>
            </w:tcMar>
            <w:vAlign w:val="center"/>
          </w:tcPr>
          <w:p w14:paraId="6EE47C5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0AF4C6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4D0901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案件转派</w:t>
            </w:r>
          </w:p>
        </w:tc>
        <w:tc>
          <w:tcPr>
            <w:tcW w:w="1700" w:type="dxa"/>
            <w:shd w:val="clear" w:color="auto" w:fill="auto"/>
            <w:tcMar>
              <w:top w:w="0" w:type="dxa"/>
              <w:left w:w="105" w:type="dxa"/>
              <w:bottom w:w="0" w:type="dxa"/>
              <w:right w:w="105" w:type="dxa"/>
            </w:tcMar>
            <w:vAlign w:val="center"/>
          </w:tcPr>
          <w:p w14:paraId="2092F72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06D4B97B">
            <w:pPr>
              <w:keepNext w:val="0"/>
              <w:keepLines w:val="0"/>
              <w:widowControl/>
              <w:suppressLineNumbers w:val="0"/>
              <w:jc w:val="left"/>
              <w:outlineLvl w:val="9"/>
              <w:rPr>
                <w:rFonts w:hint="eastAsia" w:ascii="宋体" w:hAnsi="宋体" w:eastAsia="宋体" w:cs="宋体"/>
                <w:color w:val="auto"/>
                <w:highlight w:val="none"/>
              </w:rPr>
            </w:pPr>
          </w:p>
        </w:tc>
      </w:tr>
      <w:tr w14:paraId="389C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5318DF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w:t>
            </w:r>
          </w:p>
        </w:tc>
        <w:tc>
          <w:tcPr>
            <w:tcW w:w="1206" w:type="dxa"/>
            <w:vMerge w:val="continue"/>
            <w:shd w:val="clear" w:color="auto" w:fill="auto"/>
            <w:tcMar>
              <w:top w:w="0" w:type="dxa"/>
              <w:left w:w="105" w:type="dxa"/>
              <w:bottom w:w="0" w:type="dxa"/>
              <w:right w:w="105" w:type="dxa"/>
            </w:tcMar>
            <w:vAlign w:val="center"/>
          </w:tcPr>
          <w:p w14:paraId="26728460">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6312B6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4A70D2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结案</w:t>
            </w:r>
          </w:p>
        </w:tc>
        <w:tc>
          <w:tcPr>
            <w:tcW w:w="1700" w:type="dxa"/>
            <w:shd w:val="clear" w:color="auto" w:fill="auto"/>
            <w:tcMar>
              <w:top w:w="0" w:type="dxa"/>
              <w:left w:w="105" w:type="dxa"/>
              <w:bottom w:w="0" w:type="dxa"/>
              <w:right w:w="105" w:type="dxa"/>
            </w:tcMar>
            <w:vAlign w:val="center"/>
          </w:tcPr>
          <w:p w14:paraId="4F59C53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0618544F">
            <w:pPr>
              <w:keepNext w:val="0"/>
              <w:keepLines w:val="0"/>
              <w:widowControl/>
              <w:suppressLineNumbers w:val="0"/>
              <w:jc w:val="left"/>
              <w:outlineLvl w:val="9"/>
              <w:rPr>
                <w:rFonts w:hint="eastAsia" w:ascii="宋体" w:hAnsi="宋体" w:eastAsia="宋体" w:cs="宋体"/>
                <w:color w:val="auto"/>
                <w:highlight w:val="none"/>
              </w:rPr>
            </w:pPr>
          </w:p>
        </w:tc>
      </w:tr>
      <w:tr w14:paraId="5495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0D786B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w:t>
            </w:r>
          </w:p>
        </w:tc>
        <w:tc>
          <w:tcPr>
            <w:tcW w:w="1206" w:type="dxa"/>
            <w:vMerge w:val="continue"/>
            <w:shd w:val="clear" w:color="auto" w:fill="auto"/>
            <w:tcMar>
              <w:top w:w="0" w:type="dxa"/>
              <w:left w:w="105" w:type="dxa"/>
              <w:bottom w:w="0" w:type="dxa"/>
              <w:right w:w="105" w:type="dxa"/>
            </w:tcMar>
            <w:vAlign w:val="center"/>
          </w:tcPr>
          <w:p w14:paraId="39B27B1A">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44C7DF3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业务协同</w:t>
            </w:r>
          </w:p>
        </w:tc>
        <w:tc>
          <w:tcPr>
            <w:tcW w:w="3124" w:type="dxa"/>
            <w:shd w:val="clear" w:color="auto" w:fill="auto"/>
            <w:tcMar>
              <w:top w:w="0" w:type="dxa"/>
              <w:left w:w="105" w:type="dxa"/>
              <w:bottom w:w="0" w:type="dxa"/>
              <w:right w:w="105" w:type="dxa"/>
            </w:tcMar>
            <w:vAlign w:val="center"/>
          </w:tcPr>
          <w:p w14:paraId="064417A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案件列表</w:t>
            </w:r>
          </w:p>
        </w:tc>
        <w:tc>
          <w:tcPr>
            <w:tcW w:w="1700" w:type="dxa"/>
            <w:shd w:val="clear" w:color="auto" w:fill="auto"/>
            <w:tcMar>
              <w:top w:w="0" w:type="dxa"/>
              <w:left w:w="105" w:type="dxa"/>
              <w:bottom w:w="0" w:type="dxa"/>
              <w:right w:w="105" w:type="dxa"/>
            </w:tcMar>
            <w:vAlign w:val="center"/>
          </w:tcPr>
          <w:p w14:paraId="5A34ECC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01E2B5B0">
            <w:pPr>
              <w:keepNext w:val="0"/>
              <w:keepLines w:val="0"/>
              <w:widowControl/>
              <w:suppressLineNumbers w:val="0"/>
              <w:jc w:val="left"/>
              <w:outlineLvl w:val="9"/>
              <w:rPr>
                <w:rFonts w:hint="eastAsia" w:ascii="宋体" w:hAnsi="宋体" w:eastAsia="宋体" w:cs="宋体"/>
                <w:color w:val="auto"/>
                <w:highlight w:val="none"/>
              </w:rPr>
            </w:pPr>
          </w:p>
        </w:tc>
      </w:tr>
      <w:tr w14:paraId="2F25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88068D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w:t>
            </w:r>
          </w:p>
        </w:tc>
        <w:tc>
          <w:tcPr>
            <w:tcW w:w="1206" w:type="dxa"/>
            <w:vMerge w:val="continue"/>
            <w:shd w:val="clear" w:color="auto" w:fill="auto"/>
            <w:tcMar>
              <w:top w:w="0" w:type="dxa"/>
              <w:left w:w="105" w:type="dxa"/>
              <w:bottom w:w="0" w:type="dxa"/>
              <w:right w:w="105" w:type="dxa"/>
            </w:tcMar>
            <w:vAlign w:val="center"/>
          </w:tcPr>
          <w:p w14:paraId="6BB172A4">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C1AD10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426C3D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案件批转</w:t>
            </w:r>
          </w:p>
        </w:tc>
        <w:tc>
          <w:tcPr>
            <w:tcW w:w="1700" w:type="dxa"/>
            <w:shd w:val="clear" w:color="auto" w:fill="auto"/>
            <w:tcMar>
              <w:top w:w="0" w:type="dxa"/>
              <w:left w:w="105" w:type="dxa"/>
              <w:bottom w:w="0" w:type="dxa"/>
              <w:right w:w="105" w:type="dxa"/>
            </w:tcMar>
            <w:vAlign w:val="center"/>
          </w:tcPr>
          <w:p w14:paraId="5637796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714C740C">
            <w:pPr>
              <w:keepNext w:val="0"/>
              <w:keepLines w:val="0"/>
              <w:widowControl/>
              <w:suppressLineNumbers w:val="0"/>
              <w:jc w:val="left"/>
              <w:outlineLvl w:val="9"/>
              <w:rPr>
                <w:rFonts w:hint="eastAsia" w:ascii="宋体" w:hAnsi="宋体" w:eastAsia="宋体" w:cs="宋体"/>
                <w:color w:val="auto"/>
                <w:highlight w:val="none"/>
              </w:rPr>
            </w:pPr>
          </w:p>
        </w:tc>
      </w:tr>
      <w:tr w14:paraId="0EB7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78CF78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w:t>
            </w:r>
          </w:p>
        </w:tc>
        <w:tc>
          <w:tcPr>
            <w:tcW w:w="1206" w:type="dxa"/>
            <w:vMerge w:val="continue"/>
            <w:shd w:val="clear" w:color="auto" w:fill="auto"/>
            <w:tcMar>
              <w:top w:w="0" w:type="dxa"/>
              <w:left w:w="105" w:type="dxa"/>
              <w:bottom w:w="0" w:type="dxa"/>
              <w:right w:w="105" w:type="dxa"/>
            </w:tcMar>
            <w:vAlign w:val="center"/>
          </w:tcPr>
          <w:p w14:paraId="0DA61BE8">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FFB19DD">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4C4830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表单管理</w:t>
            </w:r>
          </w:p>
        </w:tc>
        <w:tc>
          <w:tcPr>
            <w:tcW w:w="1700" w:type="dxa"/>
            <w:shd w:val="clear" w:color="auto" w:fill="auto"/>
            <w:tcMar>
              <w:top w:w="0" w:type="dxa"/>
              <w:left w:w="105" w:type="dxa"/>
              <w:bottom w:w="0" w:type="dxa"/>
              <w:right w:w="105" w:type="dxa"/>
            </w:tcMar>
            <w:vAlign w:val="center"/>
          </w:tcPr>
          <w:p w14:paraId="71BCD35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7F8D08B9">
            <w:pPr>
              <w:keepNext w:val="0"/>
              <w:keepLines w:val="0"/>
              <w:widowControl/>
              <w:suppressLineNumbers w:val="0"/>
              <w:jc w:val="left"/>
              <w:outlineLvl w:val="9"/>
              <w:rPr>
                <w:rFonts w:hint="eastAsia" w:ascii="宋体" w:hAnsi="宋体" w:eastAsia="宋体" w:cs="宋体"/>
                <w:color w:val="auto"/>
                <w:highlight w:val="none"/>
              </w:rPr>
            </w:pPr>
          </w:p>
        </w:tc>
      </w:tr>
      <w:tr w14:paraId="1F7A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7D0356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w:t>
            </w:r>
          </w:p>
        </w:tc>
        <w:tc>
          <w:tcPr>
            <w:tcW w:w="1206" w:type="dxa"/>
            <w:vMerge w:val="continue"/>
            <w:shd w:val="clear" w:color="auto" w:fill="auto"/>
            <w:tcMar>
              <w:top w:w="0" w:type="dxa"/>
              <w:left w:w="105" w:type="dxa"/>
              <w:bottom w:w="0" w:type="dxa"/>
              <w:right w:w="105" w:type="dxa"/>
            </w:tcMar>
            <w:vAlign w:val="center"/>
          </w:tcPr>
          <w:p w14:paraId="4767453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5EFBB4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71D242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业务操作管理</w:t>
            </w:r>
          </w:p>
        </w:tc>
        <w:tc>
          <w:tcPr>
            <w:tcW w:w="1700" w:type="dxa"/>
            <w:shd w:val="clear" w:color="auto" w:fill="auto"/>
            <w:tcMar>
              <w:top w:w="0" w:type="dxa"/>
              <w:left w:w="105" w:type="dxa"/>
              <w:bottom w:w="0" w:type="dxa"/>
              <w:right w:w="105" w:type="dxa"/>
            </w:tcMar>
            <w:vAlign w:val="center"/>
          </w:tcPr>
          <w:p w14:paraId="229D1F7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2481BA2E">
            <w:pPr>
              <w:keepNext w:val="0"/>
              <w:keepLines w:val="0"/>
              <w:widowControl/>
              <w:suppressLineNumbers w:val="0"/>
              <w:jc w:val="left"/>
              <w:outlineLvl w:val="9"/>
              <w:rPr>
                <w:rFonts w:hint="eastAsia" w:ascii="宋体" w:hAnsi="宋体" w:eastAsia="宋体" w:cs="宋体"/>
                <w:color w:val="auto"/>
                <w:highlight w:val="none"/>
              </w:rPr>
            </w:pPr>
          </w:p>
        </w:tc>
      </w:tr>
      <w:tr w14:paraId="5C1D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2AA656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14</w:t>
            </w:r>
          </w:p>
        </w:tc>
        <w:tc>
          <w:tcPr>
            <w:tcW w:w="1206" w:type="dxa"/>
            <w:vMerge w:val="continue"/>
            <w:shd w:val="clear" w:color="auto" w:fill="auto"/>
            <w:tcMar>
              <w:top w:w="0" w:type="dxa"/>
              <w:left w:w="105" w:type="dxa"/>
              <w:bottom w:w="0" w:type="dxa"/>
              <w:right w:w="105" w:type="dxa"/>
            </w:tcMar>
            <w:vAlign w:val="center"/>
          </w:tcPr>
          <w:p w14:paraId="52843920">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0C894B3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统一信息门户</w:t>
            </w:r>
          </w:p>
        </w:tc>
        <w:tc>
          <w:tcPr>
            <w:tcW w:w="3124" w:type="dxa"/>
            <w:shd w:val="clear" w:color="auto" w:fill="auto"/>
            <w:tcMar>
              <w:top w:w="0" w:type="dxa"/>
              <w:left w:w="105" w:type="dxa"/>
              <w:bottom w:w="0" w:type="dxa"/>
              <w:right w:w="105" w:type="dxa"/>
            </w:tcMar>
            <w:vAlign w:val="center"/>
          </w:tcPr>
          <w:p w14:paraId="4E8C026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网格划分</w:t>
            </w:r>
          </w:p>
        </w:tc>
        <w:tc>
          <w:tcPr>
            <w:tcW w:w="1700" w:type="dxa"/>
            <w:shd w:val="clear" w:color="auto" w:fill="auto"/>
            <w:tcMar>
              <w:top w:w="0" w:type="dxa"/>
              <w:left w:w="105" w:type="dxa"/>
              <w:bottom w:w="0" w:type="dxa"/>
              <w:right w:w="105" w:type="dxa"/>
            </w:tcMar>
            <w:vAlign w:val="center"/>
          </w:tcPr>
          <w:p w14:paraId="4376571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317EA95">
            <w:pPr>
              <w:keepNext w:val="0"/>
              <w:keepLines w:val="0"/>
              <w:widowControl/>
              <w:suppressLineNumbers w:val="0"/>
              <w:jc w:val="left"/>
              <w:outlineLvl w:val="9"/>
              <w:rPr>
                <w:rFonts w:hint="eastAsia" w:ascii="宋体" w:hAnsi="宋体" w:eastAsia="宋体" w:cs="宋体"/>
                <w:color w:val="auto"/>
                <w:highlight w:val="none"/>
              </w:rPr>
            </w:pPr>
          </w:p>
        </w:tc>
      </w:tr>
      <w:tr w14:paraId="32C8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3466A1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15</w:t>
            </w:r>
          </w:p>
        </w:tc>
        <w:tc>
          <w:tcPr>
            <w:tcW w:w="1206" w:type="dxa"/>
            <w:vMerge w:val="continue"/>
            <w:shd w:val="clear" w:color="auto" w:fill="auto"/>
            <w:tcMar>
              <w:top w:w="0" w:type="dxa"/>
              <w:left w:w="105" w:type="dxa"/>
              <w:bottom w:w="0" w:type="dxa"/>
              <w:right w:w="105" w:type="dxa"/>
            </w:tcMar>
            <w:vAlign w:val="center"/>
          </w:tcPr>
          <w:p w14:paraId="061965C0">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496D79F">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FF95C0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网格定位</w:t>
            </w:r>
          </w:p>
        </w:tc>
        <w:tc>
          <w:tcPr>
            <w:tcW w:w="1700" w:type="dxa"/>
            <w:shd w:val="clear" w:color="auto" w:fill="auto"/>
            <w:tcMar>
              <w:top w:w="0" w:type="dxa"/>
              <w:left w:w="105" w:type="dxa"/>
              <w:bottom w:w="0" w:type="dxa"/>
              <w:right w:w="105" w:type="dxa"/>
            </w:tcMar>
            <w:vAlign w:val="center"/>
          </w:tcPr>
          <w:p w14:paraId="33E37DF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E33B032">
            <w:pPr>
              <w:keepNext w:val="0"/>
              <w:keepLines w:val="0"/>
              <w:widowControl/>
              <w:suppressLineNumbers w:val="0"/>
              <w:jc w:val="left"/>
              <w:outlineLvl w:val="9"/>
              <w:rPr>
                <w:rFonts w:hint="eastAsia" w:ascii="宋体" w:hAnsi="宋体" w:eastAsia="宋体" w:cs="宋体"/>
                <w:color w:val="auto"/>
                <w:highlight w:val="none"/>
              </w:rPr>
            </w:pPr>
          </w:p>
        </w:tc>
      </w:tr>
      <w:tr w14:paraId="2D70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6E9844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16</w:t>
            </w:r>
          </w:p>
        </w:tc>
        <w:tc>
          <w:tcPr>
            <w:tcW w:w="1206" w:type="dxa"/>
            <w:vMerge w:val="continue"/>
            <w:shd w:val="clear" w:color="auto" w:fill="auto"/>
            <w:tcMar>
              <w:top w:w="0" w:type="dxa"/>
              <w:left w:w="105" w:type="dxa"/>
              <w:bottom w:w="0" w:type="dxa"/>
              <w:right w:w="105" w:type="dxa"/>
            </w:tcMar>
            <w:vAlign w:val="center"/>
          </w:tcPr>
          <w:p w14:paraId="019D8D6E">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54B017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6ED746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网格信息管理</w:t>
            </w:r>
          </w:p>
        </w:tc>
        <w:tc>
          <w:tcPr>
            <w:tcW w:w="1700" w:type="dxa"/>
            <w:shd w:val="clear" w:color="auto" w:fill="auto"/>
            <w:tcMar>
              <w:top w:w="0" w:type="dxa"/>
              <w:left w:w="105" w:type="dxa"/>
              <w:bottom w:w="0" w:type="dxa"/>
              <w:right w:w="105" w:type="dxa"/>
            </w:tcMar>
            <w:vAlign w:val="center"/>
          </w:tcPr>
          <w:p w14:paraId="19A97B5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5F56C50F">
            <w:pPr>
              <w:keepNext w:val="0"/>
              <w:keepLines w:val="0"/>
              <w:widowControl/>
              <w:suppressLineNumbers w:val="0"/>
              <w:jc w:val="left"/>
              <w:outlineLvl w:val="9"/>
              <w:rPr>
                <w:rFonts w:hint="eastAsia" w:ascii="宋体" w:hAnsi="宋体" w:eastAsia="宋体" w:cs="宋体"/>
                <w:color w:val="auto"/>
                <w:highlight w:val="none"/>
              </w:rPr>
            </w:pPr>
          </w:p>
        </w:tc>
      </w:tr>
      <w:tr w14:paraId="1092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EFE05F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17</w:t>
            </w:r>
          </w:p>
        </w:tc>
        <w:tc>
          <w:tcPr>
            <w:tcW w:w="1206" w:type="dxa"/>
            <w:vMerge w:val="continue"/>
            <w:shd w:val="clear" w:color="auto" w:fill="auto"/>
            <w:tcMar>
              <w:top w:w="0" w:type="dxa"/>
              <w:left w:w="105" w:type="dxa"/>
              <w:bottom w:w="0" w:type="dxa"/>
              <w:right w:w="105" w:type="dxa"/>
            </w:tcMar>
            <w:vAlign w:val="center"/>
          </w:tcPr>
          <w:p w14:paraId="6ADE5B94">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2B9B1BA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统一消息服务</w:t>
            </w:r>
          </w:p>
        </w:tc>
        <w:tc>
          <w:tcPr>
            <w:tcW w:w="3124" w:type="dxa"/>
            <w:shd w:val="clear" w:color="auto" w:fill="auto"/>
            <w:tcMar>
              <w:top w:w="0" w:type="dxa"/>
              <w:left w:w="105" w:type="dxa"/>
              <w:bottom w:w="0" w:type="dxa"/>
              <w:right w:w="105" w:type="dxa"/>
            </w:tcMar>
            <w:vAlign w:val="center"/>
          </w:tcPr>
          <w:p w14:paraId="168C70C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消息管理</w:t>
            </w:r>
          </w:p>
        </w:tc>
        <w:tc>
          <w:tcPr>
            <w:tcW w:w="1700" w:type="dxa"/>
            <w:shd w:val="clear" w:color="auto" w:fill="auto"/>
            <w:tcMar>
              <w:top w:w="0" w:type="dxa"/>
              <w:left w:w="105" w:type="dxa"/>
              <w:bottom w:w="0" w:type="dxa"/>
              <w:right w:w="105" w:type="dxa"/>
            </w:tcMar>
            <w:vAlign w:val="center"/>
          </w:tcPr>
          <w:p w14:paraId="507AE52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9C7F2CD">
            <w:pPr>
              <w:keepNext w:val="0"/>
              <w:keepLines w:val="0"/>
              <w:widowControl/>
              <w:suppressLineNumbers w:val="0"/>
              <w:jc w:val="left"/>
              <w:outlineLvl w:val="9"/>
              <w:rPr>
                <w:rFonts w:hint="eastAsia" w:ascii="宋体" w:hAnsi="宋体" w:eastAsia="宋体" w:cs="宋体"/>
                <w:color w:val="auto"/>
                <w:highlight w:val="none"/>
              </w:rPr>
            </w:pPr>
          </w:p>
        </w:tc>
      </w:tr>
      <w:tr w14:paraId="3E97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7B049F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18</w:t>
            </w:r>
          </w:p>
        </w:tc>
        <w:tc>
          <w:tcPr>
            <w:tcW w:w="1206" w:type="dxa"/>
            <w:vMerge w:val="continue"/>
            <w:shd w:val="clear" w:color="auto" w:fill="auto"/>
            <w:tcMar>
              <w:top w:w="0" w:type="dxa"/>
              <w:left w:w="105" w:type="dxa"/>
              <w:bottom w:w="0" w:type="dxa"/>
              <w:right w:w="105" w:type="dxa"/>
            </w:tcMar>
            <w:vAlign w:val="center"/>
          </w:tcPr>
          <w:p w14:paraId="652985D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36EEBE4">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CD24DD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消息调度</w:t>
            </w:r>
          </w:p>
        </w:tc>
        <w:tc>
          <w:tcPr>
            <w:tcW w:w="1700" w:type="dxa"/>
            <w:shd w:val="clear" w:color="auto" w:fill="auto"/>
            <w:tcMar>
              <w:top w:w="0" w:type="dxa"/>
              <w:left w:w="105" w:type="dxa"/>
              <w:bottom w:w="0" w:type="dxa"/>
              <w:right w:w="105" w:type="dxa"/>
            </w:tcMar>
            <w:vAlign w:val="center"/>
          </w:tcPr>
          <w:p w14:paraId="57DE3DC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0DD12C9A">
            <w:pPr>
              <w:keepNext w:val="0"/>
              <w:keepLines w:val="0"/>
              <w:widowControl/>
              <w:suppressLineNumbers w:val="0"/>
              <w:jc w:val="left"/>
              <w:outlineLvl w:val="9"/>
              <w:rPr>
                <w:rFonts w:hint="eastAsia" w:ascii="宋体" w:hAnsi="宋体" w:eastAsia="宋体" w:cs="宋体"/>
                <w:color w:val="auto"/>
                <w:highlight w:val="none"/>
              </w:rPr>
            </w:pPr>
          </w:p>
        </w:tc>
      </w:tr>
      <w:tr w14:paraId="57D8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A0F6DD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19</w:t>
            </w:r>
          </w:p>
        </w:tc>
        <w:tc>
          <w:tcPr>
            <w:tcW w:w="1206" w:type="dxa"/>
            <w:vMerge w:val="continue"/>
            <w:shd w:val="clear" w:color="auto" w:fill="auto"/>
            <w:tcMar>
              <w:top w:w="0" w:type="dxa"/>
              <w:left w:w="105" w:type="dxa"/>
              <w:bottom w:w="0" w:type="dxa"/>
              <w:right w:w="105" w:type="dxa"/>
            </w:tcMar>
            <w:vAlign w:val="center"/>
          </w:tcPr>
          <w:p w14:paraId="6E5D8FA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6153B1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7F0430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消息交换</w:t>
            </w:r>
          </w:p>
        </w:tc>
        <w:tc>
          <w:tcPr>
            <w:tcW w:w="1700" w:type="dxa"/>
            <w:shd w:val="clear" w:color="auto" w:fill="auto"/>
            <w:tcMar>
              <w:top w:w="0" w:type="dxa"/>
              <w:left w:w="105" w:type="dxa"/>
              <w:bottom w:w="0" w:type="dxa"/>
              <w:right w:w="105" w:type="dxa"/>
            </w:tcMar>
            <w:vAlign w:val="center"/>
          </w:tcPr>
          <w:p w14:paraId="6A369A5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45C274DA">
            <w:pPr>
              <w:keepNext w:val="0"/>
              <w:keepLines w:val="0"/>
              <w:widowControl/>
              <w:suppressLineNumbers w:val="0"/>
              <w:jc w:val="left"/>
              <w:outlineLvl w:val="9"/>
              <w:rPr>
                <w:rFonts w:hint="eastAsia" w:ascii="宋体" w:hAnsi="宋体" w:eastAsia="宋体" w:cs="宋体"/>
                <w:color w:val="auto"/>
                <w:highlight w:val="none"/>
              </w:rPr>
            </w:pPr>
          </w:p>
        </w:tc>
      </w:tr>
      <w:tr w14:paraId="153F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0C6321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20</w:t>
            </w:r>
          </w:p>
        </w:tc>
        <w:tc>
          <w:tcPr>
            <w:tcW w:w="1206" w:type="dxa"/>
            <w:vMerge w:val="continue"/>
            <w:shd w:val="clear" w:color="auto" w:fill="auto"/>
            <w:tcMar>
              <w:top w:w="0" w:type="dxa"/>
              <w:left w:w="105" w:type="dxa"/>
              <w:bottom w:w="0" w:type="dxa"/>
              <w:right w:w="105" w:type="dxa"/>
            </w:tcMar>
            <w:vAlign w:val="center"/>
          </w:tcPr>
          <w:p w14:paraId="57C67CA4">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06BB09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BBB2AB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消息安全</w:t>
            </w:r>
          </w:p>
        </w:tc>
        <w:tc>
          <w:tcPr>
            <w:tcW w:w="1700" w:type="dxa"/>
            <w:shd w:val="clear" w:color="auto" w:fill="auto"/>
            <w:tcMar>
              <w:top w:w="0" w:type="dxa"/>
              <w:left w:w="105" w:type="dxa"/>
              <w:bottom w:w="0" w:type="dxa"/>
              <w:right w:w="105" w:type="dxa"/>
            </w:tcMar>
            <w:vAlign w:val="center"/>
          </w:tcPr>
          <w:p w14:paraId="71CCE65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AC68FCD">
            <w:pPr>
              <w:keepNext w:val="0"/>
              <w:keepLines w:val="0"/>
              <w:widowControl/>
              <w:suppressLineNumbers w:val="0"/>
              <w:jc w:val="left"/>
              <w:outlineLvl w:val="9"/>
              <w:rPr>
                <w:rFonts w:hint="eastAsia" w:ascii="宋体" w:hAnsi="宋体" w:eastAsia="宋体" w:cs="宋体"/>
                <w:color w:val="auto"/>
                <w:highlight w:val="none"/>
              </w:rPr>
            </w:pPr>
          </w:p>
        </w:tc>
      </w:tr>
      <w:tr w14:paraId="71D8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F4C731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21</w:t>
            </w:r>
          </w:p>
        </w:tc>
        <w:tc>
          <w:tcPr>
            <w:tcW w:w="1206" w:type="dxa"/>
            <w:vMerge w:val="continue"/>
            <w:shd w:val="clear" w:color="auto" w:fill="auto"/>
            <w:tcMar>
              <w:top w:w="0" w:type="dxa"/>
              <w:left w:w="105" w:type="dxa"/>
              <w:bottom w:w="0" w:type="dxa"/>
              <w:right w:w="105" w:type="dxa"/>
            </w:tcMar>
            <w:vAlign w:val="center"/>
          </w:tcPr>
          <w:p w14:paraId="5FF079F0">
            <w:pPr>
              <w:outlineLvl w:val="9"/>
              <w:rPr>
                <w:rFonts w:hint="eastAsia" w:ascii="宋体" w:hAnsi="宋体" w:eastAsia="宋体" w:cs="宋体"/>
                <w:color w:val="auto"/>
                <w:sz w:val="24"/>
                <w:szCs w:val="24"/>
                <w:highlight w:val="none"/>
              </w:rPr>
            </w:pPr>
          </w:p>
        </w:tc>
        <w:tc>
          <w:tcPr>
            <w:tcW w:w="887" w:type="dxa"/>
            <w:shd w:val="clear" w:color="auto" w:fill="auto"/>
            <w:tcMar>
              <w:top w:w="0" w:type="dxa"/>
              <w:left w:w="105" w:type="dxa"/>
              <w:bottom w:w="0" w:type="dxa"/>
              <w:right w:w="105" w:type="dxa"/>
            </w:tcMar>
            <w:vAlign w:val="center"/>
          </w:tcPr>
          <w:p w14:paraId="7A0A0B3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统一报表生成</w:t>
            </w:r>
          </w:p>
        </w:tc>
        <w:tc>
          <w:tcPr>
            <w:tcW w:w="3124" w:type="dxa"/>
            <w:shd w:val="clear" w:color="auto" w:fill="auto"/>
            <w:tcMar>
              <w:top w:w="0" w:type="dxa"/>
              <w:left w:w="105" w:type="dxa"/>
              <w:bottom w:w="0" w:type="dxa"/>
              <w:right w:w="105" w:type="dxa"/>
            </w:tcMar>
            <w:vAlign w:val="center"/>
          </w:tcPr>
          <w:p w14:paraId="4786B9C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各业务报表生成</w:t>
            </w:r>
          </w:p>
        </w:tc>
        <w:tc>
          <w:tcPr>
            <w:tcW w:w="1700" w:type="dxa"/>
            <w:shd w:val="clear" w:color="auto" w:fill="auto"/>
            <w:tcMar>
              <w:top w:w="0" w:type="dxa"/>
              <w:left w:w="105" w:type="dxa"/>
              <w:bottom w:w="0" w:type="dxa"/>
              <w:right w:w="105" w:type="dxa"/>
            </w:tcMar>
            <w:vAlign w:val="center"/>
          </w:tcPr>
          <w:p w14:paraId="188965D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4AFCB23">
            <w:pPr>
              <w:keepNext w:val="0"/>
              <w:keepLines w:val="0"/>
              <w:widowControl/>
              <w:suppressLineNumbers w:val="0"/>
              <w:jc w:val="left"/>
              <w:outlineLvl w:val="9"/>
              <w:rPr>
                <w:rFonts w:hint="eastAsia" w:ascii="宋体" w:hAnsi="宋体" w:eastAsia="宋体" w:cs="宋体"/>
                <w:color w:val="auto"/>
                <w:highlight w:val="none"/>
              </w:rPr>
            </w:pPr>
          </w:p>
        </w:tc>
      </w:tr>
      <w:tr w14:paraId="11B3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A8D506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22</w:t>
            </w:r>
          </w:p>
        </w:tc>
        <w:tc>
          <w:tcPr>
            <w:tcW w:w="1206" w:type="dxa"/>
            <w:vMerge w:val="continue"/>
            <w:shd w:val="clear" w:color="auto" w:fill="auto"/>
            <w:tcMar>
              <w:top w:w="0" w:type="dxa"/>
              <w:left w:w="105" w:type="dxa"/>
              <w:bottom w:w="0" w:type="dxa"/>
              <w:right w:w="105" w:type="dxa"/>
            </w:tcMar>
            <w:vAlign w:val="center"/>
          </w:tcPr>
          <w:p w14:paraId="318BD7C1">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2BB3FF2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统一对象管理</w:t>
            </w:r>
          </w:p>
        </w:tc>
        <w:tc>
          <w:tcPr>
            <w:tcW w:w="3124" w:type="dxa"/>
            <w:shd w:val="clear" w:color="auto" w:fill="auto"/>
            <w:tcMar>
              <w:top w:w="0" w:type="dxa"/>
              <w:left w:w="105" w:type="dxa"/>
              <w:bottom w:w="0" w:type="dxa"/>
              <w:right w:w="105" w:type="dxa"/>
            </w:tcMar>
            <w:vAlign w:val="center"/>
          </w:tcPr>
          <w:p w14:paraId="42328D8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大小类设置</w:t>
            </w:r>
          </w:p>
        </w:tc>
        <w:tc>
          <w:tcPr>
            <w:tcW w:w="1700" w:type="dxa"/>
            <w:shd w:val="clear" w:color="auto" w:fill="auto"/>
            <w:tcMar>
              <w:top w:w="0" w:type="dxa"/>
              <w:left w:w="105" w:type="dxa"/>
              <w:bottom w:w="0" w:type="dxa"/>
              <w:right w:w="105" w:type="dxa"/>
            </w:tcMar>
            <w:vAlign w:val="center"/>
          </w:tcPr>
          <w:p w14:paraId="419F801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233F0E88">
            <w:pPr>
              <w:keepNext w:val="0"/>
              <w:keepLines w:val="0"/>
              <w:widowControl/>
              <w:suppressLineNumbers w:val="0"/>
              <w:jc w:val="left"/>
              <w:outlineLvl w:val="9"/>
              <w:rPr>
                <w:rFonts w:hint="eastAsia" w:ascii="宋体" w:hAnsi="宋体" w:eastAsia="宋体" w:cs="宋体"/>
                <w:color w:val="auto"/>
                <w:highlight w:val="none"/>
              </w:rPr>
            </w:pPr>
          </w:p>
        </w:tc>
      </w:tr>
      <w:tr w14:paraId="3485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752F5B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23</w:t>
            </w:r>
          </w:p>
        </w:tc>
        <w:tc>
          <w:tcPr>
            <w:tcW w:w="1206" w:type="dxa"/>
            <w:vMerge w:val="continue"/>
            <w:shd w:val="clear" w:color="auto" w:fill="auto"/>
            <w:tcMar>
              <w:top w:w="0" w:type="dxa"/>
              <w:left w:w="105" w:type="dxa"/>
              <w:bottom w:w="0" w:type="dxa"/>
              <w:right w:w="105" w:type="dxa"/>
            </w:tcMar>
            <w:vAlign w:val="center"/>
          </w:tcPr>
          <w:p w14:paraId="0EA41F97">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1A1628F">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B24B12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小类时限设置</w:t>
            </w:r>
          </w:p>
        </w:tc>
        <w:tc>
          <w:tcPr>
            <w:tcW w:w="1700" w:type="dxa"/>
            <w:shd w:val="clear" w:color="auto" w:fill="auto"/>
            <w:tcMar>
              <w:top w:w="0" w:type="dxa"/>
              <w:left w:w="105" w:type="dxa"/>
              <w:bottom w:w="0" w:type="dxa"/>
              <w:right w:w="105" w:type="dxa"/>
            </w:tcMar>
            <w:vAlign w:val="center"/>
          </w:tcPr>
          <w:p w14:paraId="4311526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42C56546">
            <w:pPr>
              <w:keepNext w:val="0"/>
              <w:keepLines w:val="0"/>
              <w:widowControl/>
              <w:suppressLineNumbers w:val="0"/>
              <w:jc w:val="left"/>
              <w:outlineLvl w:val="9"/>
              <w:rPr>
                <w:rFonts w:hint="eastAsia" w:ascii="宋体" w:hAnsi="宋体" w:eastAsia="宋体" w:cs="宋体"/>
                <w:color w:val="auto"/>
                <w:highlight w:val="none"/>
              </w:rPr>
            </w:pPr>
          </w:p>
        </w:tc>
      </w:tr>
      <w:tr w14:paraId="2366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2382D1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24</w:t>
            </w:r>
          </w:p>
        </w:tc>
        <w:tc>
          <w:tcPr>
            <w:tcW w:w="1206" w:type="dxa"/>
            <w:vMerge w:val="continue"/>
            <w:shd w:val="clear" w:color="auto" w:fill="auto"/>
            <w:tcMar>
              <w:top w:w="0" w:type="dxa"/>
              <w:left w:w="105" w:type="dxa"/>
              <w:bottom w:w="0" w:type="dxa"/>
              <w:right w:w="105" w:type="dxa"/>
            </w:tcMar>
            <w:vAlign w:val="center"/>
          </w:tcPr>
          <w:p w14:paraId="25E40539">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25B0EB9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统一公共字段配置</w:t>
            </w:r>
          </w:p>
        </w:tc>
        <w:tc>
          <w:tcPr>
            <w:tcW w:w="3124" w:type="dxa"/>
            <w:shd w:val="clear" w:color="auto" w:fill="auto"/>
            <w:tcMar>
              <w:top w:w="0" w:type="dxa"/>
              <w:left w:w="105" w:type="dxa"/>
              <w:bottom w:w="0" w:type="dxa"/>
              <w:right w:w="105" w:type="dxa"/>
            </w:tcMar>
            <w:vAlign w:val="center"/>
          </w:tcPr>
          <w:p w14:paraId="08004EF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惯用语配置</w:t>
            </w:r>
          </w:p>
        </w:tc>
        <w:tc>
          <w:tcPr>
            <w:tcW w:w="1700" w:type="dxa"/>
            <w:shd w:val="clear" w:color="auto" w:fill="auto"/>
            <w:tcMar>
              <w:top w:w="0" w:type="dxa"/>
              <w:left w:w="105" w:type="dxa"/>
              <w:bottom w:w="0" w:type="dxa"/>
              <w:right w:w="105" w:type="dxa"/>
            </w:tcMar>
            <w:vAlign w:val="center"/>
          </w:tcPr>
          <w:p w14:paraId="0180241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6282897D">
            <w:pPr>
              <w:keepNext w:val="0"/>
              <w:keepLines w:val="0"/>
              <w:widowControl/>
              <w:suppressLineNumbers w:val="0"/>
              <w:jc w:val="left"/>
              <w:outlineLvl w:val="9"/>
              <w:rPr>
                <w:rFonts w:hint="eastAsia" w:ascii="宋体" w:hAnsi="宋体" w:eastAsia="宋体" w:cs="宋体"/>
                <w:color w:val="auto"/>
                <w:highlight w:val="none"/>
              </w:rPr>
            </w:pPr>
          </w:p>
        </w:tc>
      </w:tr>
      <w:tr w14:paraId="5D07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00D7BD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25</w:t>
            </w:r>
          </w:p>
        </w:tc>
        <w:tc>
          <w:tcPr>
            <w:tcW w:w="1206" w:type="dxa"/>
            <w:vMerge w:val="continue"/>
            <w:shd w:val="clear" w:color="auto" w:fill="auto"/>
            <w:tcMar>
              <w:top w:w="0" w:type="dxa"/>
              <w:left w:w="105" w:type="dxa"/>
              <w:bottom w:w="0" w:type="dxa"/>
              <w:right w:w="105" w:type="dxa"/>
            </w:tcMar>
            <w:vAlign w:val="center"/>
          </w:tcPr>
          <w:p w14:paraId="52206D5E">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5650FB3">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9A364C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可见性配置</w:t>
            </w:r>
          </w:p>
        </w:tc>
        <w:tc>
          <w:tcPr>
            <w:tcW w:w="1700" w:type="dxa"/>
            <w:shd w:val="clear" w:color="auto" w:fill="auto"/>
            <w:tcMar>
              <w:top w:w="0" w:type="dxa"/>
              <w:left w:w="105" w:type="dxa"/>
              <w:bottom w:w="0" w:type="dxa"/>
              <w:right w:w="105" w:type="dxa"/>
            </w:tcMar>
            <w:vAlign w:val="center"/>
          </w:tcPr>
          <w:p w14:paraId="7670C0B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3111365E">
            <w:pPr>
              <w:keepNext w:val="0"/>
              <w:keepLines w:val="0"/>
              <w:widowControl/>
              <w:suppressLineNumbers w:val="0"/>
              <w:jc w:val="left"/>
              <w:outlineLvl w:val="9"/>
              <w:rPr>
                <w:rFonts w:hint="eastAsia" w:ascii="宋体" w:hAnsi="宋体" w:eastAsia="宋体" w:cs="宋体"/>
                <w:color w:val="auto"/>
                <w:highlight w:val="none"/>
              </w:rPr>
            </w:pPr>
          </w:p>
        </w:tc>
      </w:tr>
      <w:tr w14:paraId="57D9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17523B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26</w:t>
            </w:r>
          </w:p>
        </w:tc>
        <w:tc>
          <w:tcPr>
            <w:tcW w:w="1206" w:type="dxa"/>
            <w:vMerge w:val="continue"/>
            <w:shd w:val="clear" w:color="auto" w:fill="auto"/>
            <w:tcMar>
              <w:top w:w="0" w:type="dxa"/>
              <w:left w:w="105" w:type="dxa"/>
              <w:bottom w:w="0" w:type="dxa"/>
              <w:right w:w="105" w:type="dxa"/>
            </w:tcMar>
            <w:vAlign w:val="center"/>
          </w:tcPr>
          <w:p w14:paraId="5D995F91">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7652FF4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统一工作表单配置</w:t>
            </w:r>
          </w:p>
        </w:tc>
        <w:tc>
          <w:tcPr>
            <w:tcW w:w="3124" w:type="dxa"/>
            <w:shd w:val="clear" w:color="auto" w:fill="auto"/>
            <w:tcMar>
              <w:top w:w="0" w:type="dxa"/>
              <w:left w:w="105" w:type="dxa"/>
              <w:bottom w:w="0" w:type="dxa"/>
              <w:right w:w="105" w:type="dxa"/>
            </w:tcMar>
            <w:vAlign w:val="center"/>
          </w:tcPr>
          <w:p w14:paraId="0F0A254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字段配置</w:t>
            </w:r>
          </w:p>
        </w:tc>
        <w:tc>
          <w:tcPr>
            <w:tcW w:w="1700" w:type="dxa"/>
            <w:shd w:val="clear" w:color="auto" w:fill="auto"/>
            <w:tcMar>
              <w:top w:w="0" w:type="dxa"/>
              <w:left w:w="105" w:type="dxa"/>
              <w:bottom w:w="0" w:type="dxa"/>
              <w:right w:w="105" w:type="dxa"/>
            </w:tcMar>
            <w:vAlign w:val="center"/>
          </w:tcPr>
          <w:p w14:paraId="1123C14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16970B36">
            <w:pPr>
              <w:keepNext w:val="0"/>
              <w:keepLines w:val="0"/>
              <w:widowControl/>
              <w:suppressLineNumbers w:val="0"/>
              <w:jc w:val="left"/>
              <w:outlineLvl w:val="9"/>
              <w:rPr>
                <w:rFonts w:hint="eastAsia" w:ascii="宋体" w:hAnsi="宋体" w:eastAsia="宋体" w:cs="宋体"/>
                <w:color w:val="auto"/>
                <w:highlight w:val="none"/>
              </w:rPr>
            </w:pPr>
          </w:p>
        </w:tc>
      </w:tr>
      <w:tr w14:paraId="379A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3EA8C6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27</w:t>
            </w:r>
          </w:p>
        </w:tc>
        <w:tc>
          <w:tcPr>
            <w:tcW w:w="1206" w:type="dxa"/>
            <w:vMerge w:val="continue"/>
            <w:shd w:val="clear" w:color="auto" w:fill="auto"/>
            <w:tcMar>
              <w:top w:w="0" w:type="dxa"/>
              <w:left w:w="105" w:type="dxa"/>
              <w:bottom w:w="0" w:type="dxa"/>
              <w:right w:w="105" w:type="dxa"/>
            </w:tcMar>
            <w:vAlign w:val="center"/>
          </w:tcPr>
          <w:p w14:paraId="7AB42FF6">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70855B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0459D6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列表配置</w:t>
            </w:r>
          </w:p>
        </w:tc>
        <w:tc>
          <w:tcPr>
            <w:tcW w:w="1700" w:type="dxa"/>
            <w:shd w:val="clear" w:color="auto" w:fill="auto"/>
            <w:tcMar>
              <w:top w:w="0" w:type="dxa"/>
              <w:left w:w="105" w:type="dxa"/>
              <w:bottom w:w="0" w:type="dxa"/>
              <w:right w:w="105" w:type="dxa"/>
            </w:tcMar>
            <w:vAlign w:val="center"/>
          </w:tcPr>
          <w:p w14:paraId="291D4C2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07840F86">
            <w:pPr>
              <w:keepNext w:val="0"/>
              <w:keepLines w:val="0"/>
              <w:widowControl/>
              <w:suppressLineNumbers w:val="0"/>
              <w:jc w:val="left"/>
              <w:outlineLvl w:val="9"/>
              <w:rPr>
                <w:rFonts w:hint="eastAsia" w:ascii="宋体" w:hAnsi="宋体" w:eastAsia="宋体" w:cs="宋体"/>
                <w:color w:val="auto"/>
                <w:highlight w:val="none"/>
              </w:rPr>
            </w:pPr>
          </w:p>
        </w:tc>
      </w:tr>
      <w:tr w14:paraId="4693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03D877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28</w:t>
            </w:r>
          </w:p>
        </w:tc>
        <w:tc>
          <w:tcPr>
            <w:tcW w:w="1206" w:type="dxa"/>
            <w:vMerge w:val="continue"/>
            <w:shd w:val="clear" w:color="auto" w:fill="auto"/>
            <w:tcMar>
              <w:top w:w="0" w:type="dxa"/>
              <w:left w:w="105" w:type="dxa"/>
              <w:bottom w:w="0" w:type="dxa"/>
              <w:right w:w="105" w:type="dxa"/>
            </w:tcMar>
            <w:vAlign w:val="center"/>
          </w:tcPr>
          <w:p w14:paraId="5F823C42">
            <w:pPr>
              <w:outlineLvl w:val="9"/>
              <w:rPr>
                <w:rFonts w:hint="eastAsia" w:ascii="宋体" w:hAnsi="宋体" w:eastAsia="宋体" w:cs="宋体"/>
                <w:color w:val="auto"/>
                <w:sz w:val="24"/>
                <w:szCs w:val="24"/>
                <w:highlight w:val="none"/>
              </w:rPr>
            </w:pPr>
          </w:p>
        </w:tc>
        <w:tc>
          <w:tcPr>
            <w:tcW w:w="887" w:type="dxa"/>
            <w:shd w:val="clear" w:color="auto" w:fill="auto"/>
            <w:tcMar>
              <w:top w:w="0" w:type="dxa"/>
              <w:left w:w="105" w:type="dxa"/>
              <w:bottom w:w="0" w:type="dxa"/>
              <w:right w:w="105" w:type="dxa"/>
            </w:tcMar>
            <w:vAlign w:val="center"/>
          </w:tcPr>
          <w:p w14:paraId="0F846C5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统一专题图层配置</w:t>
            </w:r>
          </w:p>
        </w:tc>
        <w:tc>
          <w:tcPr>
            <w:tcW w:w="3124" w:type="dxa"/>
            <w:shd w:val="clear" w:color="auto" w:fill="auto"/>
            <w:tcMar>
              <w:top w:w="0" w:type="dxa"/>
              <w:left w:w="105" w:type="dxa"/>
              <w:bottom w:w="0" w:type="dxa"/>
              <w:right w:w="105" w:type="dxa"/>
            </w:tcMar>
            <w:vAlign w:val="center"/>
          </w:tcPr>
          <w:p w14:paraId="7AA0D34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图层配置</w:t>
            </w:r>
          </w:p>
        </w:tc>
        <w:tc>
          <w:tcPr>
            <w:tcW w:w="1700" w:type="dxa"/>
            <w:shd w:val="clear" w:color="auto" w:fill="auto"/>
            <w:tcMar>
              <w:top w:w="0" w:type="dxa"/>
              <w:left w:w="105" w:type="dxa"/>
              <w:bottom w:w="0" w:type="dxa"/>
              <w:right w:w="105" w:type="dxa"/>
            </w:tcMar>
            <w:vAlign w:val="center"/>
          </w:tcPr>
          <w:p w14:paraId="49FD8E1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利旧</w:t>
            </w:r>
          </w:p>
        </w:tc>
        <w:tc>
          <w:tcPr>
            <w:tcW w:w="1941" w:type="dxa"/>
            <w:shd w:val="clear" w:color="auto" w:fill="auto"/>
            <w:tcMar>
              <w:top w:w="0" w:type="dxa"/>
              <w:left w:w="105" w:type="dxa"/>
              <w:bottom w:w="0" w:type="dxa"/>
              <w:right w:w="105" w:type="dxa"/>
            </w:tcMar>
            <w:vAlign w:val="center"/>
          </w:tcPr>
          <w:p w14:paraId="28352243">
            <w:pPr>
              <w:keepNext w:val="0"/>
              <w:keepLines w:val="0"/>
              <w:widowControl/>
              <w:suppressLineNumbers w:val="0"/>
              <w:jc w:val="left"/>
              <w:outlineLvl w:val="9"/>
              <w:rPr>
                <w:rFonts w:hint="eastAsia" w:ascii="宋体" w:hAnsi="宋体" w:eastAsia="宋体" w:cs="宋体"/>
                <w:color w:val="auto"/>
                <w:highlight w:val="none"/>
              </w:rPr>
            </w:pPr>
          </w:p>
        </w:tc>
      </w:tr>
      <w:tr w14:paraId="6E99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80C637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29</w:t>
            </w:r>
          </w:p>
        </w:tc>
        <w:tc>
          <w:tcPr>
            <w:tcW w:w="1206" w:type="dxa"/>
            <w:vMerge w:val="continue"/>
            <w:shd w:val="clear" w:color="auto" w:fill="auto"/>
            <w:tcMar>
              <w:top w:w="0" w:type="dxa"/>
              <w:left w:w="105" w:type="dxa"/>
              <w:bottom w:w="0" w:type="dxa"/>
              <w:right w:w="105" w:type="dxa"/>
            </w:tcMar>
            <w:vAlign w:val="center"/>
          </w:tcPr>
          <w:p w14:paraId="3554A7A6">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4113816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统一受理平台</w:t>
            </w:r>
          </w:p>
        </w:tc>
        <w:tc>
          <w:tcPr>
            <w:tcW w:w="3124" w:type="dxa"/>
            <w:shd w:val="clear" w:color="auto" w:fill="auto"/>
            <w:tcMar>
              <w:top w:w="0" w:type="dxa"/>
              <w:left w:w="105" w:type="dxa"/>
              <w:bottom w:w="0" w:type="dxa"/>
              <w:right w:w="105" w:type="dxa"/>
            </w:tcMar>
            <w:vAlign w:val="center"/>
          </w:tcPr>
          <w:p w14:paraId="283CA3E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受理渠道拓展</w:t>
            </w:r>
          </w:p>
        </w:tc>
        <w:tc>
          <w:tcPr>
            <w:tcW w:w="1700" w:type="dxa"/>
            <w:shd w:val="clear" w:color="auto" w:fill="auto"/>
            <w:tcMar>
              <w:top w:w="0" w:type="dxa"/>
              <w:left w:w="105" w:type="dxa"/>
              <w:bottom w:w="0" w:type="dxa"/>
              <w:right w:w="105" w:type="dxa"/>
            </w:tcMar>
            <w:vAlign w:val="center"/>
          </w:tcPr>
          <w:p w14:paraId="4BB7039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30B24F4E">
            <w:pPr>
              <w:keepNext w:val="0"/>
              <w:keepLines w:val="0"/>
              <w:widowControl/>
              <w:suppressLineNumbers w:val="0"/>
              <w:jc w:val="left"/>
              <w:outlineLvl w:val="9"/>
              <w:rPr>
                <w:rFonts w:hint="eastAsia" w:ascii="宋体" w:hAnsi="宋体" w:eastAsia="宋体" w:cs="宋体"/>
                <w:color w:val="auto"/>
                <w:highlight w:val="none"/>
              </w:rPr>
            </w:pPr>
          </w:p>
        </w:tc>
      </w:tr>
      <w:tr w14:paraId="7568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31E1B6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30</w:t>
            </w:r>
          </w:p>
        </w:tc>
        <w:tc>
          <w:tcPr>
            <w:tcW w:w="1206" w:type="dxa"/>
            <w:vMerge w:val="continue"/>
            <w:shd w:val="clear" w:color="auto" w:fill="auto"/>
            <w:tcMar>
              <w:top w:w="0" w:type="dxa"/>
              <w:left w:w="105" w:type="dxa"/>
              <w:bottom w:w="0" w:type="dxa"/>
              <w:right w:w="105" w:type="dxa"/>
            </w:tcMar>
            <w:vAlign w:val="center"/>
          </w:tcPr>
          <w:p w14:paraId="53B9227A">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11B4C38">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B438A7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相似事件理智能识别</w:t>
            </w:r>
          </w:p>
        </w:tc>
        <w:tc>
          <w:tcPr>
            <w:tcW w:w="1700" w:type="dxa"/>
            <w:shd w:val="clear" w:color="auto" w:fill="auto"/>
            <w:tcMar>
              <w:top w:w="0" w:type="dxa"/>
              <w:left w:w="105" w:type="dxa"/>
              <w:bottom w:w="0" w:type="dxa"/>
              <w:right w:w="105" w:type="dxa"/>
            </w:tcMar>
            <w:vAlign w:val="center"/>
          </w:tcPr>
          <w:p w14:paraId="16E447C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7FCF8D93">
            <w:pPr>
              <w:keepNext w:val="0"/>
              <w:keepLines w:val="0"/>
              <w:widowControl/>
              <w:suppressLineNumbers w:val="0"/>
              <w:jc w:val="left"/>
              <w:outlineLvl w:val="9"/>
              <w:rPr>
                <w:rFonts w:hint="eastAsia" w:ascii="宋体" w:hAnsi="宋体" w:eastAsia="宋体" w:cs="宋体"/>
                <w:color w:val="auto"/>
                <w:highlight w:val="none"/>
              </w:rPr>
            </w:pPr>
          </w:p>
        </w:tc>
      </w:tr>
      <w:tr w14:paraId="47FF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F6E620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31</w:t>
            </w:r>
          </w:p>
        </w:tc>
        <w:tc>
          <w:tcPr>
            <w:tcW w:w="1206" w:type="dxa"/>
            <w:vMerge w:val="continue"/>
            <w:shd w:val="clear" w:color="auto" w:fill="auto"/>
            <w:tcMar>
              <w:top w:w="0" w:type="dxa"/>
              <w:left w:w="105" w:type="dxa"/>
              <w:bottom w:w="0" w:type="dxa"/>
              <w:right w:w="105" w:type="dxa"/>
            </w:tcMar>
            <w:vAlign w:val="center"/>
          </w:tcPr>
          <w:p w14:paraId="2DBA3A1B">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404F75C">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6DF2DB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非采集区域智能提醒</w:t>
            </w:r>
          </w:p>
        </w:tc>
        <w:tc>
          <w:tcPr>
            <w:tcW w:w="1700" w:type="dxa"/>
            <w:shd w:val="clear" w:color="auto" w:fill="auto"/>
            <w:tcMar>
              <w:top w:w="0" w:type="dxa"/>
              <w:left w:w="105" w:type="dxa"/>
              <w:bottom w:w="0" w:type="dxa"/>
              <w:right w:w="105" w:type="dxa"/>
            </w:tcMar>
            <w:vAlign w:val="center"/>
          </w:tcPr>
          <w:p w14:paraId="593F432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1118C4DD">
            <w:pPr>
              <w:keepNext w:val="0"/>
              <w:keepLines w:val="0"/>
              <w:widowControl/>
              <w:suppressLineNumbers w:val="0"/>
              <w:jc w:val="left"/>
              <w:outlineLvl w:val="9"/>
              <w:rPr>
                <w:rFonts w:hint="eastAsia" w:ascii="宋体" w:hAnsi="宋体" w:eastAsia="宋体" w:cs="宋体"/>
                <w:color w:val="auto"/>
                <w:highlight w:val="none"/>
              </w:rPr>
            </w:pPr>
          </w:p>
        </w:tc>
      </w:tr>
      <w:tr w14:paraId="6F84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7D47C5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32</w:t>
            </w:r>
          </w:p>
        </w:tc>
        <w:tc>
          <w:tcPr>
            <w:tcW w:w="1206" w:type="dxa"/>
            <w:vMerge w:val="continue"/>
            <w:shd w:val="clear" w:color="auto" w:fill="auto"/>
            <w:tcMar>
              <w:top w:w="0" w:type="dxa"/>
              <w:left w:w="105" w:type="dxa"/>
              <w:bottom w:w="0" w:type="dxa"/>
              <w:right w:w="105" w:type="dxa"/>
            </w:tcMar>
            <w:vAlign w:val="center"/>
          </w:tcPr>
          <w:p w14:paraId="00F3CB67">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46C770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11D268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受理一席三屏支撑</w:t>
            </w:r>
          </w:p>
        </w:tc>
        <w:tc>
          <w:tcPr>
            <w:tcW w:w="1700" w:type="dxa"/>
            <w:shd w:val="clear" w:color="auto" w:fill="auto"/>
            <w:tcMar>
              <w:top w:w="0" w:type="dxa"/>
              <w:left w:w="105" w:type="dxa"/>
              <w:bottom w:w="0" w:type="dxa"/>
              <w:right w:w="105" w:type="dxa"/>
            </w:tcMar>
            <w:vAlign w:val="center"/>
          </w:tcPr>
          <w:p w14:paraId="605BC01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653325FA">
            <w:pPr>
              <w:keepNext w:val="0"/>
              <w:keepLines w:val="0"/>
              <w:widowControl/>
              <w:suppressLineNumbers w:val="0"/>
              <w:jc w:val="left"/>
              <w:outlineLvl w:val="9"/>
              <w:rPr>
                <w:rFonts w:hint="eastAsia" w:ascii="宋体" w:hAnsi="宋体" w:eastAsia="宋体" w:cs="宋体"/>
                <w:color w:val="auto"/>
                <w:highlight w:val="none"/>
              </w:rPr>
            </w:pPr>
          </w:p>
        </w:tc>
      </w:tr>
      <w:tr w14:paraId="7FD9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06AF93C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33</w:t>
            </w:r>
          </w:p>
        </w:tc>
        <w:tc>
          <w:tcPr>
            <w:tcW w:w="1206" w:type="dxa"/>
            <w:vMerge w:val="continue"/>
            <w:shd w:val="clear" w:color="auto" w:fill="auto"/>
            <w:tcMar>
              <w:top w:w="0" w:type="dxa"/>
              <w:left w:w="105" w:type="dxa"/>
              <w:bottom w:w="0" w:type="dxa"/>
              <w:right w:w="105" w:type="dxa"/>
            </w:tcMar>
            <w:vAlign w:val="center"/>
          </w:tcPr>
          <w:p w14:paraId="6686853F">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2A08858">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BE3D11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差错件办理</w:t>
            </w:r>
          </w:p>
        </w:tc>
        <w:tc>
          <w:tcPr>
            <w:tcW w:w="1700" w:type="dxa"/>
            <w:shd w:val="clear" w:color="auto" w:fill="auto"/>
            <w:tcMar>
              <w:top w:w="0" w:type="dxa"/>
              <w:left w:w="105" w:type="dxa"/>
              <w:bottom w:w="0" w:type="dxa"/>
              <w:right w:w="105" w:type="dxa"/>
            </w:tcMar>
            <w:vAlign w:val="center"/>
          </w:tcPr>
          <w:p w14:paraId="26F4847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14C857E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36E8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5843601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34</w:t>
            </w:r>
          </w:p>
        </w:tc>
        <w:tc>
          <w:tcPr>
            <w:tcW w:w="1206" w:type="dxa"/>
            <w:vMerge w:val="continue"/>
            <w:shd w:val="clear" w:color="auto" w:fill="auto"/>
            <w:tcMar>
              <w:top w:w="0" w:type="dxa"/>
              <w:left w:w="105" w:type="dxa"/>
              <w:bottom w:w="0" w:type="dxa"/>
              <w:right w:w="105" w:type="dxa"/>
            </w:tcMar>
            <w:vAlign w:val="center"/>
          </w:tcPr>
          <w:p w14:paraId="716FC38E">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230B48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204AEF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统一事件汇聚</w:t>
            </w:r>
          </w:p>
        </w:tc>
        <w:tc>
          <w:tcPr>
            <w:tcW w:w="1700" w:type="dxa"/>
            <w:shd w:val="clear" w:color="auto" w:fill="auto"/>
            <w:tcMar>
              <w:top w:w="0" w:type="dxa"/>
              <w:left w:w="105" w:type="dxa"/>
              <w:bottom w:w="0" w:type="dxa"/>
              <w:right w:w="105" w:type="dxa"/>
            </w:tcMar>
            <w:vAlign w:val="center"/>
          </w:tcPr>
          <w:p w14:paraId="21430C6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55447F9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5C37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6F53B45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35</w:t>
            </w:r>
          </w:p>
        </w:tc>
        <w:tc>
          <w:tcPr>
            <w:tcW w:w="1206" w:type="dxa"/>
            <w:vMerge w:val="continue"/>
            <w:shd w:val="clear" w:color="auto" w:fill="auto"/>
            <w:tcMar>
              <w:top w:w="0" w:type="dxa"/>
              <w:left w:w="105" w:type="dxa"/>
              <w:bottom w:w="0" w:type="dxa"/>
              <w:right w:w="105" w:type="dxa"/>
            </w:tcMar>
            <w:vAlign w:val="center"/>
          </w:tcPr>
          <w:p w14:paraId="06446F74">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2576480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统一分拨平台</w:t>
            </w:r>
          </w:p>
        </w:tc>
        <w:tc>
          <w:tcPr>
            <w:tcW w:w="3124" w:type="dxa"/>
            <w:shd w:val="clear" w:color="auto" w:fill="auto"/>
            <w:tcMar>
              <w:top w:w="0" w:type="dxa"/>
              <w:left w:w="105" w:type="dxa"/>
              <w:bottom w:w="0" w:type="dxa"/>
              <w:right w:w="105" w:type="dxa"/>
            </w:tcMar>
            <w:vAlign w:val="center"/>
          </w:tcPr>
          <w:p w14:paraId="63105EF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统一用户登录</w:t>
            </w:r>
          </w:p>
        </w:tc>
        <w:tc>
          <w:tcPr>
            <w:tcW w:w="1700" w:type="dxa"/>
            <w:shd w:val="clear" w:color="auto" w:fill="auto"/>
            <w:tcMar>
              <w:top w:w="0" w:type="dxa"/>
              <w:left w:w="105" w:type="dxa"/>
              <w:bottom w:w="0" w:type="dxa"/>
              <w:right w:w="105" w:type="dxa"/>
            </w:tcMar>
            <w:vAlign w:val="center"/>
          </w:tcPr>
          <w:p w14:paraId="6E9626E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12D9472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0D7E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76423A3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36</w:t>
            </w:r>
          </w:p>
        </w:tc>
        <w:tc>
          <w:tcPr>
            <w:tcW w:w="1206" w:type="dxa"/>
            <w:vMerge w:val="continue"/>
            <w:shd w:val="clear" w:color="auto" w:fill="auto"/>
            <w:tcMar>
              <w:top w:w="0" w:type="dxa"/>
              <w:left w:w="105" w:type="dxa"/>
              <w:bottom w:w="0" w:type="dxa"/>
              <w:right w:w="105" w:type="dxa"/>
            </w:tcMar>
            <w:vAlign w:val="center"/>
          </w:tcPr>
          <w:p w14:paraId="57B917E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535E5B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9E4FE2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案件分拨管理</w:t>
            </w:r>
          </w:p>
        </w:tc>
        <w:tc>
          <w:tcPr>
            <w:tcW w:w="1700" w:type="dxa"/>
            <w:shd w:val="clear" w:color="auto" w:fill="auto"/>
            <w:tcMar>
              <w:top w:w="0" w:type="dxa"/>
              <w:left w:w="105" w:type="dxa"/>
              <w:bottom w:w="0" w:type="dxa"/>
              <w:right w:w="105" w:type="dxa"/>
            </w:tcMar>
            <w:vAlign w:val="center"/>
          </w:tcPr>
          <w:p w14:paraId="61AECAE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308E54C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56A2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B9AB40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37</w:t>
            </w:r>
          </w:p>
        </w:tc>
        <w:tc>
          <w:tcPr>
            <w:tcW w:w="1206" w:type="dxa"/>
            <w:vMerge w:val="continue"/>
            <w:shd w:val="clear" w:color="auto" w:fill="auto"/>
            <w:tcMar>
              <w:top w:w="0" w:type="dxa"/>
              <w:left w:w="105" w:type="dxa"/>
              <w:bottom w:w="0" w:type="dxa"/>
              <w:right w:w="105" w:type="dxa"/>
            </w:tcMar>
            <w:vAlign w:val="center"/>
          </w:tcPr>
          <w:p w14:paraId="7B8E2C8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F2F43F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414820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案件智能化派遣</w:t>
            </w:r>
          </w:p>
        </w:tc>
        <w:tc>
          <w:tcPr>
            <w:tcW w:w="1700" w:type="dxa"/>
            <w:shd w:val="clear" w:color="auto" w:fill="auto"/>
            <w:tcMar>
              <w:top w:w="0" w:type="dxa"/>
              <w:left w:w="105" w:type="dxa"/>
              <w:bottom w:w="0" w:type="dxa"/>
              <w:right w:w="105" w:type="dxa"/>
            </w:tcMar>
            <w:vAlign w:val="center"/>
          </w:tcPr>
          <w:p w14:paraId="5A364EA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53B04544">
            <w:pPr>
              <w:keepNext w:val="0"/>
              <w:keepLines w:val="0"/>
              <w:widowControl/>
              <w:suppressLineNumbers w:val="0"/>
              <w:jc w:val="left"/>
              <w:outlineLvl w:val="9"/>
              <w:rPr>
                <w:rFonts w:hint="eastAsia" w:ascii="宋体" w:hAnsi="宋体" w:eastAsia="宋体" w:cs="宋体"/>
                <w:color w:val="auto"/>
                <w:highlight w:val="none"/>
              </w:rPr>
            </w:pPr>
          </w:p>
        </w:tc>
      </w:tr>
      <w:tr w14:paraId="2B95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0C8F7DC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38</w:t>
            </w:r>
          </w:p>
        </w:tc>
        <w:tc>
          <w:tcPr>
            <w:tcW w:w="1206" w:type="dxa"/>
            <w:vMerge w:val="continue"/>
            <w:shd w:val="clear" w:color="auto" w:fill="auto"/>
            <w:tcMar>
              <w:top w:w="0" w:type="dxa"/>
              <w:left w:w="105" w:type="dxa"/>
              <w:bottom w:w="0" w:type="dxa"/>
              <w:right w:w="105" w:type="dxa"/>
            </w:tcMar>
            <w:vAlign w:val="center"/>
          </w:tcPr>
          <w:p w14:paraId="094DB276">
            <w:pPr>
              <w:outlineLvl w:val="9"/>
              <w:rPr>
                <w:rFonts w:hint="eastAsia" w:ascii="宋体" w:hAnsi="宋体" w:eastAsia="宋体" w:cs="宋体"/>
                <w:color w:val="auto"/>
                <w:sz w:val="24"/>
                <w:szCs w:val="24"/>
                <w:highlight w:val="none"/>
              </w:rPr>
            </w:pPr>
          </w:p>
        </w:tc>
        <w:tc>
          <w:tcPr>
            <w:tcW w:w="887" w:type="dxa"/>
            <w:shd w:val="clear" w:color="auto" w:fill="auto"/>
            <w:tcMar>
              <w:top w:w="0" w:type="dxa"/>
              <w:left w:w="105" w:type="dxa"/>
              <w:bottom w:w="0" w:type="dxa"/>
              <w:right w:w="105" w:type="dxa"/>
            </w:tcMar>
            <w:vAlign w:val="center"/>
          </w:tcPr>
          <w:p w14:paraId="3501CC5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统一办理平台</w:t>
            </w:r>
          </w:p>
        </w:tc>
        <w:tc>
          <w:tcPr>
            <w:tcW w:w="3124" w:type="dxa"/>
            <w:shd w:val="clear" w:color="auto" w:fill="auto"/>
            <w:tcMar>
              <w:top w:w="0" w:type="dxa"/>
              <w:left w:w="105" w:type="dxa"/>
              <w:bottom w:w="0" w:type="dxa"/>
              <w:right w:w="105" w:type="dxa"/>
            </w:tcMar>
            <w:vAlign w:val="center"/>
          </w:tcPr>
          <w:p w14:paraId="684D9E4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案件办理管理</w:t>
            </w:r>
          </w:p>
        </w:tc>
        <w:tc>
          <w:tcPr>
            <w:tcW w:w="1700" w:type="dxa"/>
            <w:shd w:val="clear" w:color="auto" w:fill="auto"/>
            <w:tcMar>
              <w:top w:w="0" w:type="dxa"/>
              <w:left w:w="105" w:type="dxa"/>
              <w:bottom w:w="0" w:type="dxa"/>
              <w:right w:w="105" w:type="dxa"/>
            </w:tcMar>
            <w:vAlign w:val="center"/>
          </w:tcPr>
          <w:p w14:paraId="6C0AB0A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266E91A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2D2A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D297DC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39</w:t>
            </w:r>
          </w:p>
        </w:tc>
        <w:tc>
          <w:tcPr>
            <w:tcW w:w="1206" w:type="dxa"/>
            <w:vMerge w:val="continue"/>
            <w:shd w:val="clear" w:color="auto" w:fill="auto"/>
            <w:tcMar>
              <w:top w:w="0" w:type="dxa"/>
              <w:left w:w="105" w:type="dxa"/>
              <w:bottom w:w="0" w:type="dxa"/>
              <w:right w:w="105" w:type="dxa"/>
            </w:tcMar>
            <w:vAlign w:val="center"/>
          </w:tcPr>
          <w:p w14:paraId="27ADBF2E">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1EDCD8D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部门联动处置</w:t>
            </w:r>
          </w:p>
        </w:tc>
        <w:tc>
          <w:tcPr>
            <w:tcW w:w="3124" w:type="dxa"/>
            <w:shd w:val="clear" w:color="auto" w:fill="auto"/>
            <w:tcMar>
              <w:top w:w="0" w:type="dxa"/>
              <w:left w:w="105" w:type="dxa"/>
              <w:bottom w:w="0" w:type="dxa"/>
              <w:right w:w="105" w:type="dxa"/>
            </w:tcMar>
            <w:vAlign w:val="center"/>
          </w:tcPr>
          <w:p w14:paraId="140CA57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街道联动</w:t>
            </w:r>
          </w:p>
        </w:tc>
        <w:tc>
          <w:tcPr>
            <w:tcW w:w="1700" w:type="dxa"/>
            <w:shd w:val="clear" w:color="auto" w:fill="auto"/>
            <w:tcMar>
              <w:top w:w="0" w:type="dxa"/>
              <w:left w:w="105" w:type="dxa"/>
              <w:bottom w:w="0" w:type="dxa"/>
              <w:right w:w="105" w:type="dxa"/>
            </w:tcMar>
            <w:vAlign w:val="center"/>
          </w:tcPr>
          <w:p w14:paraId="4611A28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1CF22610">
            <w:pPr>
              <w:keepNext w:val="0"/>
              <w:keepLines w:val="0"/>
              <w:widowControl/>
              <w:suppressLineNumbers w:val="0"/>
              <w:jc w:val="left"/>
              <w:outlineLvl w:val="9"/>
              <w:rPr>
                <w:rFonts w:hint="eastAsia" w:ascii="宋体" w:hAnsi="宋体" w:eastAsia="宋体" w:cs="宋体"/>
                <w:color w:val="auto"/>
                <w:highlight w:val="none"/>
              </w:rPr>
            </w:pPr>
          </w:p>
        </w:tc>
      </w:tr>
      <w:tr w14:paraId="47E3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A190B9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40</w:t>
            </w:r>
          </w:p>
        </w:tc>
        <w:tc>
          <w:tcPr>
            <w:tcW w:w="1206" w:type="dxa"/>
            <w:vMerge w:val="continue"/>
            <w:shd w:val="clear" w:color="auto" w:fill="auto"/>
            <w:tcMar>
              <w:top w:w="0" w:type="dxa"/>
              <w:left w:w="105" w:type="dxa"/>
              <w:bottom w:w="0" w:type="dxa"/>
              <w:right w:w="105" w:type="dxa"/>
            </w:tcMar>
            <w:vAlign w:val="center"/>
          </w:tcPr>
          <w:p w14:paraId="1CF1355B">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B1ED9A1">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0DB2AB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一键联动</w:t>
            </w:r>
          </w:p>
        </w:tc>
        <w:tc>
          <w:tcPr>
            <w:tcW w:w="1700" w:type="dxa"/>
            <w:shd w:val="clear" w:color="auto" w:fill="auto"/>
            <w:tcMar>
              <w:top w:w="0" w:type="dxa"/>
              <w:left w:w="105" w:type="dxa"/>
              <w:bottom w:w="0" w:type="dxa"/>
              <w:right w:w="105" w:type="dxa"/>
            </w:tcMar>
            <w:vAlign w:val="center"/>
          </w:tcPr>
          <w:p w14:paraId="48EDCC2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76789ADB">
            <w:pPr>
              <w:keepNext w:val="0"/>
              <w:keepLines w:val="0"/>
              <w:widowControl/>
              <w:suppressLineNumbers w:val="0"/>
              <w:jc w:val="left"/>
              <w:outlineLvl w:val="9"/>
              <w:rPr>
                <w:rFonts w:hint="eastAsia" w:ascii="宋体" w:hAnsi="宋体" w:eastAsia="宋体" w:cs="宋体"/>
                <w:color w:val="auto"/>
                <w:highlight w:val="none"/>
              </w:rPr>
            </w:pPr>
          </w:p>
        </w:tc>
      </w:tr>
      <w:tr w14:paraId="3523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796438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41</w:t>
            </w:r>
          </w:p>
        </w:tc>
        <w:tc>
          <w:tcPr>
            <w:tcW w:w="1206" w:type="dxa"/>
            <w:vMerge w:val="continue"/>
            <w:shd w:val="clear" w:color="auto" w:fill="auto"/>
            <w:tcMar>
              <w:top w:w="0" w:type="dxa"/>
              <w:left w:w="105" w:type="dxa"/>
              <w:bottom w:w="0" w:type="dxa"/>
              <w:right w:w="105" w:type="dxa"/>
            </w:tcMar>
            <w:vAlign w:val="center"/>
          </w:tcPr>
          <w:p w14:paraId="3BA760F4">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FF75BD3">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664DCC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部门报到</w:t>
            </w:r>
          </w:p>
        </w:tc>
        <w:tc>
          <w:tcPr>
            <w:tcW w:w="1700" w:type="dxa"/>
            <w:shd w:val="clear" w:color="auto" w:fill="auto"/>
            <w:tcMar>
              <w:top w:w="0" w:type="dxa"/>
              <w:left w:w="105" w:type="dxa"/>
              <w:bottom w:w="0" w:type="dxa"/>
              <w:right w:w="105" w:type="dxa"/>
            </w:tcMar>
            <w:vAlign w:val="center"/>
          </w:tcPr>
          <w:p w14:paraId="211884E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53CFF62F">
            <w:pPr>
              <w:keepNext w:val="0"/>
              <w:keepLines w:val="0"/>
              <w:widowControl/>
              <w:suppressLineNumbers w:val="0"/>
              <w:jc w:val="left"/>
              <w:outlineLvl w:val="9"/>
              <w:rPr>
                <w:rFonts w:hint="eastAsia" w:ascii="宋体" w:hAnsi="宋体" w:eastAsia="宋体" w:cs="宋体"/>
                <w:color w:val="auto"/>
                <w:highlight w:val="none"/>
              </w:rPr>
            </w:pPr>
          </w:p>
        </w:tc>
      </w:tr>
      <w:tr w14:paraId="636B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A71500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42</w:t>
            </w:r>
          </w:p>
        </w:tc>
        <w:tc>
          <w:tcPr>
            <w:tcW w:w="1206" w:type="dxa"/>
            <w:vMerge w:val="continue"/>
            <w:shd w:val="clear" w:color="auto" w:fill="auto"/>
            <w:tcMar>
              <w:top w:w="0" w:type="dxa"/>
              <w:left w:w="105" w:type="dxa"/>
              <w:bottom w:w="0" w:type="dxa"/>
              <w:right w:w="105" w:type="dxa"/>
            </w:tcMar>
            <w:vAlign w:val="center"/>
          </w:tcPr>
          <w:p w14:paraId="0B22BB0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5612324">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52ECEE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综合查询</w:t>
            </w:r>
          </w:p>
        </w:tc>
        <w:tc>
          <w:tcPr>
            <w:tcW w:w="1700" w:type="dxa"/>
            <w:shd w:val="clear" w:color="auto" w:fill="auto"/>
            <w:tcMar>
              <w:top w:w="0" w:type="dxa"/>
              <w:left w:w="105" w:type="dxa"/>
              <w:bottom w:w="0" w:type="dxa"/>
              <w:right w:w="105" w:type="dxa"/>
            </w:tcMar>
            <w:vAlign w:val="center"/>
          </w:tcPr>
          <w:p w14:paraId="2EC5146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670AC598">
            <w:pPr>
              <w:keepNext w:val="0"/>
              <w:keepLines w:val="0"/>
              <w:widowControl/>
              <w:suppressLineNumbers w:val="0"/>
              <w:jc w:val="left"/>
              <w:outlineLvl w:val="9"/>
              <w:rPr>
                <w:rFonts w:hint="eastAsia" w:ascii="宋体" w:hAnsi="宋体" w:eastAsia="宋体" w:cs="宋体"/>
                <w:color w:val="auto"/>
                <w:highlight w:val="none"/>
              </w:rPr>
            </w:pPr>
          </w:p>
        </w:tc>
      </w:tr>
      <w:tr w14:paraId="3EDB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2A8CC8A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43</w:t>
            </w:r>
          </w:p>
        </w:tc>
        <w:tc>
          <w:tcPr>
            <w:tcW w:w="1206" w:type="dxa"/>
            <w:vMerge w:val="continue"/>
            <w:shd w:val="clear" w:color="auto" w:fill="auto"/>
            <w:tcMar>
              <w:top w:w="0" w:type="dxa"/>
              <w:left w:w="105" w:type="dxa"/>
              <w:bottom w:w="0" w:type="dxa"/>
              <w:right w:w="105" w:type="dxa"/>
            </w:tcMar>
            <w:vAlign w:val="center"/>
          </w:tcPr>
          <w:p w14:paraId="69B9CCA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24B7A5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B7C10C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综合考评</w:t>
            </w:r>
          </w:p>
        </w:tc>
        <w:tc>
          <w:tcPr>
            <w:tcW w:w="1700" w:type="dxa"/>
            <w:shd w:val="clear" w:color="auto" w:fill="auto"/>
            <w:tcMar>
              <w:top w:w="0" w:type="dxa"/>
              <w:left w:w="105" w:type="dxa"/>
              <w:bottom w:w="0" w:type="dxa"/>
              <w:right w:w="105" w:type="dxa"/>
            </w:tcMar>
            <w:vAlign w:val="center"/>
          </w:tcPr>
          <w:p w14:paraId="7B6B833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15D6D2A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0D5B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E050D0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44</w:t>
            </w:r>
          </w:p>
        </w:tc>
        <w:tc>
          <w:tcPr>
            <w:tcW w:w="1206" w:type="dxa"/>
            <w:vMerge w:val="continue"/>
            <w:shd w:val="clear" w:color="auto" w:fill="auto"/>
            <w:tcMar>
              <w:top w:w="0" w:type="dxa"/>
              <w:left w:w="105" w:type="dxa"/>
              <w:bottom w:w="0" w:type="dxa"/>
              <w:right w:w="105" w:type="dxa"/>
            </w:tcMar>
            <w:vAlign w:val="center"/>
          </w:tcPr>
          <w:p w14:paraId="67E4F328">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2172D27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信息采集员管理</w:t>
            </w:r>
          </w:p>
        </w:tc>
        <w:tc>
          <w:tcPr>
            <w:tcW w:w="3124" w:type="dxa"/>
            <w:shd w:val="clear" w:color="auto" w:fill="auto"/>
            <w:tcMar>
              <w:top w:w="0" w:type="dxa"/>
              <w:left w:w="105" w:type="dxa"/>
              <w:bottom w:w="0" w:type="dxa"/>
              <w:right w:w="105" w:type="dxa"/>
            </w:tcMar>
            <w:vAlign w:val="center"/>
          </w:tcPr>
          <w:p w14:paraId="03CE496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监控统计指标</w:t>
            </w:r>
          </w:p>
        </w:tc>
        <w:tc>
          <w:tcPr>
            <w:tcW w:w="1700" w:type="dxa"/>
            <w:shd w:val="clear" w:color="auto" w:fill="auto"/>
            <w:tcMar>
              <w:top w:w="0" w:type="dxa"/>
              <w:left w:w="105" w:type="dxa"/>
              <w:bottom w:w="0" w:type="dxa"/>
              <w:right w:w="105" w:type="dxa"/>
            </w:tcMar>
            <w:vAlign w:val="center"/>
          </w:tcPr>
          <w:p w14:paraId="1620F2F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00F47E39">
            <w:pPr>
              <w:keepNext w:val="0"/>
              <w:keepLines w:val="0"/>
              <w:widowControl/>
              <w:suppressLineNumbers w:val="0"/>
              <w:jc w:val="left"/>
              <w:outlineLvl w:val="9"/>
              <w:rPr>
                <w:rFonts w:hint="eastAsia" w:ascii="宋体" w:hAnsi="宋体" w:eastAsia="宋体" w:cs="宋体"/>
                <w:color w:val="auto"/>
                <w:highlight w:val="none"/>
              </w:rPr>
            </w:pPr>
          </w:p>
        </w:tc>
      </w:tr>
      <w:tr w14:paraId="75B7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1A6FF1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45</w:t>
            </w:r>
          </w:p>
        </w:tc>
        <w:tc>
          <w:tcPr>
            <w:tcW w:w="1206" w:type="dxa"/>
            <w:vMerge w:val="continue"/>
            <w:shd w:val="clear" w:color="auto" w:fill="auto"/>
            <w:tcMar>
              <w:top w:w="0" w:type="dxa"/>
              <w:left w:w="105" w:type="dxa"/>
              <w:bottom w:w="0" w:type="dxa"/>
              <w:right w:w="105" w:type="dxa"/>
            </w:tcMar>
            <w:vAlign w:val="center"/>
          </w:tcPr>
          <w:p w14:paraId="4732C898">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6ABAE5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0CFC8E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三定维护</w:t>
            </w:r>
          </w:p>
        </w:tc>
        <w:tc>
          <w:tcPr>
            <w:tcW w:w="1700" w:type="dxa"/>
            <w:shd w:val="clear" w:color="auto" w:fill="auto"/>
            <w:tcMar>
              <w:top w:w="0" w:type="dxa"/>
              <w:left w:w="105" w:type="dxa"/>
              <w:bottom w:w="0" w:type="dxa"/>
              <w:right w:w="105" w:type="dxa"/>
            </w:tcMar>
            <w:vAlign w:val="center"/>
          </w:tcPr>
          <w:p w14:paraId="14D9D62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1ABB8BA2">
            <w:pPr>
              <w:keepNext w:val="0"/>
              <w:keepLines w:val="0"/>
              <w:widowControl/>
              <w:suppressLineNumbers w:val="0"/>
              <w:jc w:val="left"/>
              <w:outlineLvl w:val="9"/>
              <w:rPr>
                <w:rFonts w:hint="eastAsia" w:ascii="宋体" w:hAnsi="宋体" w:eastAsia="宋体" w:cs="宋体"/>
                <w:color w:val="auto"/>
                <w:highlight w:val="none"/>
              </w:rPr>
            </w:pPr>
          </w:p>
        </w:tc>
      </w:tr>
      <w:tr w14:paraId="61B9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0B9539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46</w:t>
            </w:r>
          </w:p>
        </w:tc>
        <w:tc>
          <w:tcPr>
            <w:tcW w:w="1206" w:type="dxa"/>
            <w:vMerge w:val="continue"/>
            <w:shd w:val="clear" w:color="auto" w:fill="auto"/>
            <w:tcMar>
              <w:top w:w="0" w:type="dxa"/>
              <w:left w:w="105" w:type="dxa"/>
              <w:bottom w:w="0" w:type="dxa"/>
              <w:right w:w="105" w:type="dxa"/>
            </w:tcMar>
            <w:vAlign w:val="center"/>
          </w:tcPr>
          <w:p w14:paraId="51427D4A">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20F3C8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A6DD07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状态监控</w:t>
            </w:r>
          </w:p>
        </w:tc>
        <w:tc>
          <w:tcPr>
            <w:tcW w:w="1700" w:type="dxa"/>
            <w:shd w:val="clear" w:color="auto" w:fill="auto"/>
            <w:tcMar>
              <w:top w:w="0" w:type="dxa"/>
              <w:left w:w="105" w:type="dxa"/>
              <w:bottom w:w="0" w:type="dxa"/>
              <w:right w:w="105" w:type="dxa"/>
            </w:tcMar>
            <w:vAlign w:val="center"/>
          </w:tcPr>
          <w:p w14:paraId="0D46D6E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031335EA">
            <w:pPr>
              <w:keepNext w:val="0"/>
              <w:keepLines w:val="0"/>
              <w:widowControl/>
              <w:suppressLineNumbers w:val="0"/>
              <w:jc w:val="left"/>
              <w:outlineLvl w:val="9"/>
              <w:rPr>
                <w:rFonts w:hint="eastAsia" w:ascii="宋体" w:hAnsi="宋体" w:eastAsia="宋体" w:cs="宋体"/>
                <w:color w:val="auto"/>
                <w:highlight w:val="none"/>
              </w:rPr>
            </w:pPr>
          </w:p>
        </w:tc>
      </w:tr>
      <w:tr w14:paraId="612E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83CBA7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47</w:t>
            </w:r>
          </w:p>
        </w:tc>
        <w:tc>
          <w:tcPr>
            <w:tcW w:w="1206" w:type="dxa"/>
            <w:vMerge w:val="continue"/>
            <w:shd w:val="clear" w:color="auto" w:fill="auto"/>
            <w:tcMar>
              <w:top w:w="0" w:type="dxa"/>
              <w:left w:w="105" w:type="dxa"/>
              <w:bottom w:w="0" w:type="dxa"/>
              <w:right w:w="105" w:type="dxa"/>
            </w:tcMar>
            <w:vAlign w:val="center"/>
          </w:tcPr>
          <w:p w14:paraId="27C283F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A17440D">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D32118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巡更管理</w:t>
            </w:r>
          </w:p>
        </w:tc>
        <w:tc>
          <w:tcPr>
            <w:tcW w:w="1700" w:type="dxa"/>
            <w:shd w:val="clear" w:color="auto" w:fill="auto"/>
            <w:tcMar>
              <w:top w:w="0" w:type="dxa"/>
              <w:left w:w="105" w:type="dxa"/>
              <w:bottom w:w="0" w:type="dxa"/>
              <w:right w:w="105" w:type="dxa"/>
            </w:tcMar>
            <w:vAlign w:val="center"/>
          </w:tcPr>
          <w:p w14:paraId="1DFCE95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00597138">
            <w:pPr>
              <w:keepNext w:val="0"/>
              <w:keepLines w:val="0"/>
              <w:widowControl/>
              <w:suppressLineNumbers w:val="0"/>
              <w:jc w:val="left"/>
              <w:outlineLvl w:val="9"/>
              <w:rPr>
                <w:rFonts w:hint="eastAsia" w:ascii="宋体" w:hAnsi="宋体" w:eastAsia="宋体" w:cs="宋体"/>
                <w:color w:val="auto"/>
                <w:highlight w:val="none"/>
              </w:rPr>
            </w:pPr>
          </w:p>
        </w:tc>
      </w:tr>
      <w:tr w14:paraId="104C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1F3E3F4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48</w:t>
            </w:r>
          </w:p>
        </w:tc>
        <w:tc>
          <w:tcPr>
            <w:tcW w:w="1206" w:type="dxa"/>
            <w:vMerge w:val="continue"/>
            <w:shd w:val="clear" w:color="auto" w:fill="auto"/>
            <w:tcMar>
              <w:top w:w="0" w:type="dxa"/>
              <w:left w:w="105" w:type="dxa"/>
              <w:bottom w:w="0" w:type="dxa"/>
              <w:right w:w="105" w:type="dxa"/>
            </w:tcMar>
            <w:vAlign w:val="center"/>
          </w:tcPr>
          <w:p w14:paraId="1D0F68FF">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B7892E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A7C141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采集考核</w:t>
            </w:r>
          </w:p>
        </w:tc>
        <w:tc>
          <w:tcPr>
            <w:tcW w:w="1700" w:type="dxa"/>
            <w:shd w:val="clear" w:color="auto" w:fill="auto"/>
            <w:tcMar>
              <w:top w:w="0" w:type="dxa"/>
              <w:left w:w="105" w:type="dxa"/>
              <w:bottom w:w="0" w:type="dxa"/>
              <w:right w:w="105" w:type="dxa"/>
            </w:tcMar>
            <w:vAlign w:val="center"/>
          </w:tcPr>
          <w:p w14:paraId="2AA4708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18A64A3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1C68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87A208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49</w:t>
            </w:r>
          </w:p>
        </w:tc>
        <w:tc>
          <w:tcPr>
            <w:tcW w:w="1206" w:type="dxa"/>
            <w:vMerge w:val="continue"/>
            <w:shd w:val="clear" w:color="auto" w:fill="auto"/>
            <w:tcMar>
              <w:top w:w="0" w:type="dxa"/>
              <w:left w:w="105" w:type="dxa"/>
              <w:bottom w:w="0" w:type="dxa"/>
              <w:right w:w="105" w:type="dxa"/>
            </w:tcMar>
            <w:vAlign w:val="center"/>
          </w:tcPr>
          <w:p w14:paraId="476C7B9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354F53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4F10DA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预警管理</w:t>
            </w:r>
          </w:p>
        </w:tc>
        <w:tc>
          <w:tcPr>
            <w:tcW w:w="1700" w:type="dxa"/>
            <w:shd w:val="clear" w:color="auto" w:fill="auto"/>
            <w:tcMar>
              <w:top w:w="0" w:type="dxa"/>
              <w:left w:w="105" w:type="dxa"/>
              <w:bottom w:w="0" w:type="dxa"/>
              <w:right w:w="105" w:type="dxa"/>
            </w:tcMar>
            <w:vAlign w:val="center"/>
          </w:tcPr>
          <w:p w14:paraId="1A93555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493A075A">
            <w:pPr>
              <w:keepNext w:val="0"/>
              <w:keepLines w:val="0"/>
              <w:widowControl/>
              <w:suppressLineNumbers w:val="0"/>
              <w:jc w:val="left"/>
              <w:outlineLvl w:val="9"/>
              <w:rPr>
                <w:rFonts w:hint="eastAsia" w:ascii="宋体" w:hAnsi="宋体" w:eastAsia="宋体" w:cs="宋体"/>
                <w:color w:val="auto"/>
                <w:highlight w:val="none"/>
              </w:rPr>
            </w:pPr>
          </w:p>
        </w:tc>
      </w:tr>
      <w:tr w14:paraId="4B92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9EEEC1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50</w:t>
            </w:r>
          </w:p>
        </w:tc>
        <w:tc>
          <w:tcPr>
            <w:tcW w:w="1206" w:type="dxa"/>
            <w:vMerge w:val="continue"/>
            <w:shd w:val="clear" w:color="auto" w:fill="auto"/>
            <w:tcMar>
              <w:top w:w="0" w:type="dxa"/>
              <w:left w:w="105" w:type="dxa"/>
              <w:bottom w:w="0" w:type="dxa"/>
              <w:right w:w="105" w:type="dxa"/>
            </w:tcMar>
            <w:vAlign w:val="center"/>
          </w:tcPr>
          <w:p w14:paraId="15D2F94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388572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37BEAA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考核申诉</w:t>
            </w:r>
          </w:p>
        </w:tc>
        <w:tc>
          <w:tcPr>
            <w:tcW w:w="1700" w:type="dxa"/>
            <w:shd w:val="clear" w:color="auto" w:fill="auto"/>
            <w:tcMar>
              <w:top w:w="0" w:type="dxa"/>
              <w:left w:w="105" w:type="dxa"/>
              <w:bottom w:w="0" w:type="dxa"/>
              <w:right w:w="105" w:type="dxa"/>
            </w:tcMar>
            <w:vAlign w:val="center"/>
          </w:tcPr>
          <w:p w14:paraId="5E4703B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5A2A7F61">
            <w:pPr>
              <w:keepNext w:val="0"/>
              <w:keepLines w:val="0"/>
              <w:widowControl/>
              <w:suppressLineNumbers w:val="0"/>
              <w:jc w:val="left"/>
              <w:outlineLvl w:val="9"/>
              <w:rPr>
                <w:rFonts w:hint="eastAsia" w:ascii="宋体" w:hAnsi="宋体" w:eastAsia="宋体" w:cs="宋体"/>
                <w:color w:val="auto"/>
                <w:highlight w:val="none"/>
              </w:rPr>
            </w:pPr>
          </w:p>
        </w:tc>
      </w:tr>
      <w:tr w14:paraId="1530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D60A13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51</w:t>
            </w:r>
          </w:p>
        </w:tc>
        <w:tc>
          <w:tcPr>
            <w:tcW w:w="1206" w:type="dxa"/>
            <w:vMerge w:val="continue"/>
            <w:shd w:val="clear" w:color="auto" w:fill="auto"/>
            <w:tcMar>
              <w:top w:w="0" w:type="dxa"/>
              <w:left w:w="105" w:type="dxa"/>
              <w:bottom w:w="0" w:type="dxa"/>
              <w:right w:w="105" w:type="dxa"/>
            </w:tcMar>
            <w:vAlign w:val="center"/>
          </w:tcPr>
          <w:p w14:paraId="21B38040">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8AA0121">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1ADF33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设备管理</w:t>
            </w:r>
          </w:p>
        </w:tc>
        <w:tc>
          <w:tcPr>
            <w:tcW w:w="1700" w:type="dxa"/>
            <w:shd w:val="clear" w:color="auto" w:fill="auto"/>
            <w:tcMar>
              <w:top w:w="0" w:type="dxa"/>
              <w:left w:w="105" w:type="dxa"/>
              <w:bottom w:w="0" w:type="dxa"/>
              <w:right w:w="105" w:type="dxa"/>
            </w:tcMar>
            <w:vAlign w:val="center"/>
          </w:tcPr>
          <w:p w14:paraId="188BC3E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7FDE16A1">
            <w:pPr>
              <w:keepNext w:val="0"/>
              <w:keepLines w:val="0"/>
              <w:widowControl/>
              <w:suppressLineNumbers w:val="0"/>
              <w:jc w:val="left"/>
              <w:outlineLvl w:val="9"/>
              <w:rPr>
                <w:rFonts w:hint="eastAsia" w:ascii="宋体" w:hAnsi="宋体" w:eastAsia="宋体" w:cs="宋体"/>
                <w:color w:val="auto"/>
                <w:highlight w:val="none"/>
              </w:rPr>
            </w:pPr>
          </w:p>
        </w:tc>
      </w:tr>
      <w:tr w14:paraId="0DFC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2B87FF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52</w:t>
            </w:r>
          </w:p>
        </w:tc>
        <w:tc>
          <w:tcPr>
            <w:tcW w:w="1206" w:type="dxa"/>
            <w:vMerge w:val="continue"/>
            <w:shd w:val="clear" w:color="auto" w:fill="auto"/>
            <w:tcMar>
              <w:top w:w="0" w:type="dxa"/>
              <w:left w:w="105" w:type="dxa"/>
              <w:bottom w:w="0" w:type="dxa"/>
              <w:right w:w="105" w:type="dxa"/>
            </w:tcMar>
            <w:vAlign w:val="center"/>
          </w:tcPr>
          <w:p w14:paraId="3D44569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246B53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F9A38B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考核报表</w:t>
            </w:r>
          </w:p>
        </w:tc>
        <w:tc>
          <w:tcPr>
            <w:tcW w:w="1700" w:type="dxa"/>
            <w:shd w:val="clear" w:color="auto" w:fill="auto"/>
            <w:tcMar>
              <w:top w:w="0" w:type="dxa"/>
              <w:left w:w="105" w:type="dxa"/>
              <w:bottom w:w="0" w:type="dxa"/>
              <w:right w:w="105" w:type="dxa"/>
            </w:tcMar>
            <w:vAlign w:val="center"/>
          </w:tcPr>
          <w:p w14:paraId="1A311AB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19DA9794">
            <w:pPr>
              <w:keepNext w:val="0"/>
              <w:keepLines w:val="0"/>
              <w:widowControl/>
              <w:suppressLineNumbers w:val="0"/>
              <w:jc w:val="left"/>
              <w:outlineLvl w:val="9"/>
              <w:rPr>
                <w:rFonts w:hint="eastAsia" w:ascii="宋体" w:hAnsi="宋体" w:eastAsia="宋体" w:cs="宋体"/>
                <w:color w:val="auto"/>
                <w:highlight w:val="none"/>
              </w:rPr>
            </w:pPr>
          </w:p>
        </w:tc>
      </w:tr>
      <w:tr w14:paraId="0BF7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F0C98F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53</w:t>
            </w:r>
          </w:p>
        </w:tc>
        <w:tc>
          <w:tcPr>
            <w:tcW w:w="1206" w:type="dxa"/>
            <w:vMerge w:val="continue"/>
            <w:shd w:val="clear" w:color="auto" w:fill="auto"/>
            <w:tcMar>
              <w:top w:w="0" w:type="dxa"/>
              <w:left w:w="105" w:type="dxa"/>
              <w:bottom w:w="0" w:type="dxa"/>
              <w:right w:w="105" w:type="dxa"/>
            </w:tcMar>
            <w:vAlign w:val="center"/>
          </w:tcPr>
          <w:p w14:paraId="69F75887">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3ACEE9F">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E6452D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短信提醒</w:t>
            </w:r>
          </w:p>
        </w:tc>
        <w:tc>
          <w:tcPr>
            <w:tcW w:w="1700" w:type="dxa"/>
            <w:shd w:val="clear" w:color="auto" w:fill="auto"/>
            <w:tcMar>
              <w:top w:w="0" w:type="dxa"/>
              <w:left w:w="105" w:type="dxa"/>
              <w:bottom w:w="0" w:type="dxa"/>
              <w:right w:w="105" w:type="dxa"/>
            </w:tcMar>
            <w:vAlign w:val="center"/>
          </w:tcPr>
          <w:p w14:paraId="10713EE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shd w:val="clear" w:color="auto" w:fill="auto"/>
            <w:tcMar>
              <w:top w:w="0" w:type="dxa"/>
              <w:left w:w="105" w:type="dxa"/>
              <w:bottom w:w="0" w:type="dxa"/>
              <w:right w:w="105" w:type="dxa"/>
            </w:tcMar>
            <w:vAlign w:val="center"/>
          </w:tcPr>
          <w:p w14:paraId="541E5920">
            <w:pPr>
              <w:keepNext w:val="0"/>
              <w:keepLines w:val="0"/>
              <w:widowControl/>
              <w:suppressLineNumbers w:val="0"/>
              <w:jc w:val="left"/>
              <w:outlineLvl w:val="9"/>
              <w:rPr>
                <w:rFonts w:hint="eastAsia" w:ascii="宋体" w:hAnsi="宋体" w:eastAsia="宋体" w:cs="宋体"/>
                <w:color w:val="auto"/>
                <w:highlight w:val="none"/>
              </w:rPr>
            </w:pPr>
          </w:p>
        </w:tc>
      </w:tr>
      <w:tr w14:paraId="0156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3BF2C9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54</w:t>
            </w:r>
          </w:p>
        </w:tc>
        <w:tc>
          <w:tcPr>
            <w:tcW w:w="1206" w:type="dxa"/>
            <w:vMerge w:val="restart"/>
            <w:shd w:val="clear" w:color="auto" w:fill="auto"/>
            <w:tcMar>
              <w:top w:w="0" w:type="dxa"/>
              <w:left w:w="105" w:type="dxa"/>
              <w:bottom w:w="0" w:type="dxa"/>
              <w:right w:w="105" w:type="dxa"/>
            </w:tcMar>
            <w:vAlign w:val="center"/>
          </w:tcPr>
          <w:p w14:paraId="0139B48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日常指挥协同</w:t>
            </w:r>
          </w:p>
        </w:tc>
        <w:tc>
          <w:tcPr>
            <w:tcW w:w="887" w:type="dxa"/>
            <w:vMerge w:val="restart"/>
            <w:shd w:val="clear" w:color="auto" w:fill="auto"/>
            <w:tcMar>
              <w:top w:w="0" w:type="dxa"/>
              <w:left w:w="105" w:type="dxa"/>
              <w:bottom w:w="0" w:type="dxa"/>
              <w:right w:w="105" w:type="dxa"/>
            </w:tcMar>
            <w:vAlign w:val="center"/>
          </w:tcPr>
          <w:p w14:paraId="511D9ED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力量管理</w:t>
            </w:r>
          </w:p>
        </w:tc>
        <w:tc>
          <w:tcPr>
            <w:tcW w:w="3124" w:type="dxa"/>
            <w:shd w:val="clear" w:color="auto" w:fill="auto"/>
            <w:tcMar>
              <w:top w:w="0" w:type="dxa"/>
              <w:left w:w="105" w:type="dxa"/>
              <w:bottom w:w="0" w:type="dxa"/>
              <w:right w:w="105" w:type="dxa"/>
            </w:tcMar>
            <w:vAlign w:val="center"/>
          </w:tcPr>
          <w:p w14:paraId="25F0D5E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力量信息维护</w:t>
            </w:r>
          </w:p>
        </w:tc>
        <w:tc>
          <w:tcPr>
            <w:tcW w:w="1700" w:type="dxa"/>
            <w:shd w:val="clear" w:color="auto" w:fill="auto"/>
            <w:tcMar>
              <w:top w:w="0" w:type="dxa"/>
              <w:left w:w="105" w:type="dxa"/>
              <w:bottom w:w="0" w:type="dxa"/>
              <w:right w:w="105" w:type="dxa"/>
            </w:tcMar>
            <w:vAlign w:val="center"/>
          </w:tcPr>
          <w:p w14:paraId="07FD279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center"/>
          </w:tcPr>
          <w:p w14:paraId="44D5E5F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3B82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2855E1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55</w:t>
            </w:r>
          </w:p>
        </w:tc>
        <w:tc>
          <w:tcPr>
            <w:tcW w:w="1206" w:type="dxa"/>
            <w:vMerge w:val="continue"/>
            <w:shd w:val="clear" w:color="auto" w:fill="auto"/>
            <w:tcMar>
              <w:top w:w="0" w:type="dxa"/>
              <w:left w:w="105" w:type="dxa"/>
              <w:bottom w:w="0" w:type="dxa"/>
              <w:right w:w="105" w:type="dxa"/>
            </w:tcMar>
            <w:vAlign w:val="center"/>
          </w:tcPr>
          <w:p w14:paraId="0BB109CF">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BD8E983">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51A9A8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力量定位监督</w:t>
            </w:r>
          </w:p>
        </w:tc>
        <w:tc>
          <w:tcPr>
            <w:tcW w:w="1700" w:type="dxa"/>
            <w:shd w:val="clear" w:color="auto" w:fill="auto"/>
            <w:tcMar>
              <w:top w:w="0" w:type="dxa"/>
              <w:left w:w="105" w:type="dxa"/>
              <w:bottom w:w="0" w:type="dxa"/>
              <w:right w:w="105" w:type="dxa"/>
            </w:tcMar>
            <w:vAlign w:val="center"/>
          </w:tcPr>
          <w:p w14:paraId="7656AFE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50891CE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01FD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5F3EFD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56</w:t>
            </w:r>
          </w:p>
        </w:tc>
        <w:tc>
          <w:tcPr>
            <w:tcW w:w="1206" w:type="dxa"/>
            <w:vMerge w:val="continue"/>
            <w:shd w:val="clear" w:color="auto" w:fill="auto"/>
            <w:tcMar>
              <w:top w:w="0" w:type="dxa"/>
              <w:left w:w="105" w:type="dxa"/>
              <w:bottom w:w="0" w:type="dxa"/>
              <w:right w:w="105" w:type="dxa"/>
            </w:tcMar>
            <w:vAlign w:val="center"/>
          </w:tcPr>
          <w:p w14:paraId="64120833">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D113D2D">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147219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力量部署管理</w:t>
            </w:r>
          </w:p>
        </w:tc>
        <w:tc>
          <w:tcPr>
            <w:tcW w:w="1700" w:type="dxa"/>
            <w:shd w:val="clear" w:color="auto" w:fill="auto"/>
            <w:tcMar>
              <w:top w:w="0" w:type="dxa"/>
              <w:left w:w="105" w:type="dxa"/>
              <w:bottom w:w="0" w:type="dxa"/>
              <w:right w:w="105" w:type="dxa"/>
            </w:tcMar>
            <w:vAlign w:val="center"/>
          </w:tcPr>
          <w:p w14:paraId="248FA4A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1B5502B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0BED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205325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57</w:t>
            </w:r>
          </w:p>
        </w:tc>
        <w:tc>
          <w:tcPr>
            <w:tcW w:w="1206" w:type="dxa"/>
            <w:vMerge w:val="continue"/>
            <w:shd w:val="clear" w:color="auto" w:fill="auto"/>
            <w:tcMar>
              <w:top w:w="0" w:type="dxa"/>
              <w:left w:w="105" w:type="dxa"/>
              <w:bottom w:w="0" w:type="dxa"/>
              <w:right w:w="105" w:type="dxa"/>
            </w:tcMar>
            <w:vAlign w:val="center"/>
          </w:tcPr>
          <w:p w14:paraId="4D9DD7D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FFD8F94">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EB7224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力量通讯调度</w:t>
            </w:r>
          </w:p>
        </w:tc>
        <w:tc>
          <w:tcPr>
            <w:tcW w:w="1700" w:type="dxa"/>
            <w:shd w:val="clear" w:color="auto" w:fill="auto"/>
            <w:tcMar>
              <w:top w:w="0" w:type="dxa"/>
              <w:left w:w="105" w:type="dxa"/>
              <w:bottom w:w="0" w:type="dxa"/>
              <w:right w:w="105" w:type="dxa"/>
            </w:tcMar>
            <w:vAlign w:val="center"/>
          </w:tcPr>
          <w:p w14:paraId="3FD002E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24E670E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6C80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25BC15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58</w:t>
            </w:r>
          </w:p>
        </w:tc>
        <w:tc>
          <w:tcPr>
            <w:tcW w:w="1206" w:type="dxa"/>
            <w:vMerge w:val="continue"/>
            <w:shd w:val="clear" w:color="auto" w:fill="auto"/>
            <w:tcMar>
              <w:top w:w="0" w:type="dxa"/>
              <w:left w:w="105" w:type="dxa"/>
              <w:bottom w:w="0" w:type="dxa"/>
              <w:right w:w="105" w:type="dxa"/>
            </w:tcMar>
            <w:vAlign w:val="center"/>
          </w:tcPr>
          <w:p w14:paraId="32D9E0C2">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3F1186B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目标掌控</w:t>
            </w:r>
          </w:p>
        </w:tc>
        <w:tc>
          <w:tcPr>
            <w:tcW w:w="3124" w:type="dxa"/>
            <w:shd w:val="clear" w:color="auto" w:fill="auto"/>
            <w:tcMar>
              <w:top w:w="0" w:type="dxa"/>
              <w:left w:w="105" w:type="dxa"/>
              <w:bottom w:w="0" w:type="dxa"/>
              <w:right w:w="105" w:type="dxa"/>
            </w:tcMar>
            <w:vAlign w:val="center"/>
          </w:tcPr>
          <w:p w14:paraId="4DC3764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防控目标管理</w:t>
            </w:r>
          </w:p>
        </w:tc>
        <w:tc>
          <w:tcPr>
            <w:tcW w:w="1700" w:type="dxa"/>
            <w:shd w:val="clear" w:color="auto" w:fill="auto"/>
            <w:tcMar>
              <w:top w:w="0" w:type="dxa"/>
              <w:left w:w="105" w:type="dxa"/>
              <w:bottom w:w="0" w:type="dxa"/>
              <w:right w:w="105" w:type="dxa"/>
            </w:tcMar>
            <w:vAlign w:val="center"/>
          </w:tcPr>
          <w:p w14:paraId="669C768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5412648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1621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BBF5BB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59</w:t>
            </w:r>
          </w:p>
        </w:tc>
        <w:tc>
          <w:tcPr>
            <w:tcW w:w="1206" w:type="dxa"/>
            <w:vMerge w:val="continue"/>
            <w:shd w:val="clear" w:color="auto" w:fill="auto"/>
            <w:tcMar>
              <w:top w:w="0" w:type="dxa"/>
              <w:left w:w="105" w:type="dxa"/>
              <w:bottom w:w="0" w:type="dxa"/>
              <w:right w:w="105" w:type="dxa"/>
            </w:tcMar>
            <w:vAlign w:val="center"/>
          </w:tcPr>
          <w:p w14:paraId="4BACA14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B603E7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3CDC00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日常安全检查</w:t>
            </w:r>
          </w:p>
        </w:tc>
        <w:tc>
          <w:tcPr>
            <w:tcW w:w="1700" w:type="dxa"/>
            <w:shd w:val="clear" w:color="auto" w:fill="auto"/>
            <w:tcMar>
              <w:top w:w="0" w:type="dxa"/>
              <w:left w:w="105" w:type="dxa"/>
              <w:bottom w:w="0" w:type="dxa"/>
              <w:right w:w="105" w:type="dxa"/>
            </w:tcMar>
            <w:vAlign w:val="center"/>
          </w:tcPr>
          <w:p w14:paraId="26C86ED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0683132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481A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FFA919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60</w:t>
            </w:r>
          </w:p>
        </w:tc>
        <w:tc>
          <w:tcPr>
            <w:tcW w:w="1206" w:type="dxa"/>
            <w:vMerge w:val="continue"/>
            <w:shd w:val="clear" w:color="auto" w:fill="auto"/>
            <w:tcMar>
              <w:top w:w="0" w:type="dxa"/>
              <w:left w:w="105" w:type="dxa"/>
              <w:bottom w:w="0" w:type="dxa"/>
              <w:right w:w="105" w:type="dxa"/>
            </w:tcMar>
            <w:vAlign w:val="center"/>
          </w:tcPr>
          <w:p w14:paraId="398F219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05A1C72">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DFDF22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预案管理</w:t>
            </w:r>
          </w:p>
        </w:tc>
        <w:tc>
          <w:tcPr>
            <w:tcW w:w="1700" w:type="dxa"/>
            <w:shd w:val="clear" w:color="auto" w:fill="auto"/>
            <w:tcMar>
              <w:top w:w="0" w:type="dxa"/>
              <w:left w:w="105" w:type="dxa"/>
              <w:bottom w:w="0" w:type="dxa"/>
              <w:right w:w="105" w:type="dxa"/>
            </w:tcMar>
            <w:vAlign w:val="center"/>
          </w:tcPr>
          <w:p w14:paraId="3FC9254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51C6360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4887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677F0F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61</w:t>
            </w:r>
          </w:p>
        </w:tc>
        <w:tc>
          <w:tcPr>
            <w:tcW w:w="1206" w:type="dxa"/>
            <w:vMerge w:val="continue"/>
            <w:shd w:val="clear" w:color="auto" w:fill="auto"/>
            <w:tcMar>
              <w:top w:w="0" w:type="dxa"/>
              <w:left w:w="105" w:type="dxa"/>
              <w:bottom w:w="0" w:type="dxa"/>
              <w:right w:w="105" w:type="dxa"/>
            </w:tcMar>
            <w:vAlign w:val="center"/>
          </w:tcPr>
          <w:p w14:paraId="3C0EBF7C">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556291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1BE951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目标视频调阅</w:t>
            </w:r>
          </w:p>
        </w:tc>
        <w:tc>
          <w:tcPr>
            <w:tcW w:w="1700" w:type="dxa"/>
            <w:shd w:val="clear" w:color="auto" w:fill="auto"/>
            <w:tcMar>
              <w:top w:w="0" w:type="dxa"/>
              <w:left w:w="105" w:type="dxa"/>
              <w:bottom w:w="0" w:type="dxa"/>
              <w:right w:w="105" w:type="dxa"/>
            </w:tcMar>
            <w:vAlign w:val="center"/>
          </w:tcPr>
          <w:p w14:paraId="301475A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4BB5462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2389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47E78D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62</w:t>
            </w:r>
          </w:p>
        </w:tc>
        <w:tc>
          <w:tcPr>
            <w:tcW w:w="1206" w:type="dxa"/>
            <w:vMerge w:val="continue"/>
            <w:shd w:val="clear" w:color="auto" w:fill="auto"/>
            <w:tcMar>
              <w:top w:w="0" w:type="dxa"/>
              <w:left w:w="105" w:type="dxa"/>
              <w:bottom w:w="0" w:type="dxa"/>
              <w:right w:w="105" w:type="dxa"/>
            </w:tcMar>
            <w:vAlign w:val="center"/>
          </w:tcPr>
          <w:p w14:paraId="2EAF2D4A">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5218EF4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任务追踪</w:t>
            </w:r>
          </w:p>
        </w:tc>
        <w:tc>
          <w:tcPr>
            <w:tcW w:w="3124" w:type="dxa"/>
            <w:shd w:val="clear" w:color="auto" w:fill="auto"/>
            <w:tcMar>
              <w:top w:w="0" w:type="dxa"/>
              <w:left w:w="105" w:type="dxa"/>
              <w:bottom w:w="0" w:type="dxa"/>
              <w:right w:w="105" w:type="dxa"/>
            </w:tcMar>
            <w:vAlign w:val="center"/>
          </w:tcPr>
          <w:p w14:paraId="2F0C144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任务分类管理</w:t>
            </w:r>
          </w:p>
        </w:tc>
        <w:tc>
          <w:tcPr>
            <w:tcW w:w="1700" w:type="dxa"/>
            <w:shd w:val="clear" w:color="auto" w:fill="auto"/>
            <w:tcMar>
              <w:top w:w="0" w:type="dxa"/>
              <w:left w:w="105" w:type="dxa"/>
              <w:bottom w:w="0" w:type="dxa"/>
              <w:right w:w="105" w:type="dxa"/>
            </w:tcMar>
            <w:vAlign w:val="center"/>
          </w:tcPr>
          <w:p w14:paraId="009324B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5419F00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7032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A3B07B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63</w:t>
            </w:r>
          </w:p>
        </w:tc>
        <w:tc>
          <w:tcPr>
            <w:tcW w:w="1206" w:type="dxa"/>
            <w:vMerge w:val="continue"/>
            <w:shd w:val="clear" w:color="auto" w:fill="auto"/>
            <w:tcMar>
              <w:top w:w="0" w:type="dxa"/>
              <w:left w:w="105" w:type="dxa"/>
              <w:bottom w:w="0" w:type="dxa"/>
              <w:right w:w="105" w:type="dxa"/>
            </w:tcMar>
            <w:vAlign w:val="center"/>
          </w:tcPr>
          <w:p w14:paraId="4DD56DC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EBA6E6F">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4DA7C0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任务预案化管理</w:t>
            </w:r>
          </w:p>
        </w:tc>
        <w:tc>
          <w:tcPr>
            <w:tcW w:w="1700" w:type="dxa"/>
            <w:shd w:val="clear" w:color="auto" w:fill="auto"/>
            <w:tcMar>
              <w:top w:w="0" w:type="dxa"/>
              <w:left w:w="105" w:type="dxa"/>
              <w:bottom w:w="0" w:type="dxa"/>
              <w:right w:w="105" w:type="dxa"/>
            </w:tcMar>
            <w:vAlign w:val="center"/>
          </w:tcPr>
          <w:p w14:paraId="78B9D14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5325D4A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6E35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ECFA6E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64</w:t>
            </w:r>
          </w:p>
        </w:tc>
        <w:tc>
          <w:tcPr>
            <w:tcW w:w="1206" w:type="dxa"/>
            <w:vMerge w:val="continue"/>
            <w:shd w:val="clear" w:color="auto" w:fill="auto"/>
            <w:tcMar>
              <w:top w:w="0" w:type="dxa"/>
              <w:left w:w="105" w:type="dxa"/>
              <w:bottom w:w="0" w:type="dxa"/>
              <w:right w:w="105" w:type="dxa"/>
            </w:tcMar>
            <w:vAlign w:val="center"/>
          </w:tcPr>
          <w:p w14:paraId="64F5858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6619B3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35EF68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任务安排管理</w:t>
            </w:r>
          </w:p>
        </w:tc>
        <w:tc>
          <w:tcPr>
            <w:tcW w:w="1700" w:type="dxa"/>
            <w:shd w:val="clear" w:color="auto" w:fill="auto"/>
            <w:tcMar>
              <w:top w:w="0" w:type="dxa"/>
              <w:left w:w="105" w:type="dxa"/>
              <w:bottom w:w="0" w:type="dxa"/>
              <w:right w:w="105" w:type="dxa"/>
            </w:tcMar>
            <w:vAlign w:val="center"/>
          </w:tcPr>
          <w:p w14:paraId="49B6BBC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4A7237E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2CEE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F8A334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65</w:t>
            </w:r>
          </w:p>
        </w:tc>
        <w:tc>
          <w:tcPr>
            <w:tcW w:w="1206" w:type="dxa"/>
            <w:vMerge w:val="continue"/>
            <w:shd w:val="clear" w:color="auto" w:fill="auto"/>
            <w:tcMar>
              <w:top w:w="0" w:type="dxa"/>
              <w:left w:w="105" w:type="dxa"/>
              <w:bottom w:w="0" w:type="dxa"/>
              <w:right w:w="105" w:type="dxa"/>
            </w:tcMar>
            <w:vAlign w:val="center"/>
          </w:tcPr>
          <w:p w14:paraId="7D2F6A6A">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0719A3C">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92A955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任务反馈跟踪</w:t>
            </w:r>
          </w:p>
        </w:tc>
        <w:tc>
          <w:tcPr>
            <w:tcW w:w="1700" w:type="dxa"/>
            <w:shd w:val="clear" w:color="auto" w:fill="auto"/>
            <w:tcMar>
              <w:top w:w="0" w:type="dxa"/>
              <w:left w:w="105" w:type="dxa"/>
              <w:bottom w:w="0" w:type="dxa"/>
              <w:right w:w="105" w:type="dxa"/>
            </w:tcMar>
            <w:vAlign w:val="center"/>
          </w:tcPr>
          <w:p w14:paraId="540ADD6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4FAFE36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62F3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411E4F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66</w:t>
            </w:r>
          </w:p>
        </w:tc>
        <w:tc>
          <w:tcPr>
            <w:tcW w:w="1206" w:type="dxa"/>
            <w:vMerge w:val="continue"/>
            <w:shd w:val="clear" w:color="auto" w:fill="auto"/>
            <w:tcMar>
              <w:top w:w="0" w:type="dxa"/>
              <w:left w:w="105" w:type="dxa"/>
              <w:bottom w:w="0" w:type="dxa"/>
              <w:right w:w="105" w:type="dxa"/>
            </w:tcMar>
            <w:vAlign w:val="center"/>
          </w:tcPr>
          <w:p w14:paraId="247BC83C">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4EC256E">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042B7E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任务统计分析管理</w:t>
            </w:r>
          </w:p>
        </w:tc>
        <w:tc>
          <w:tcPr>
            <w:tcW w:w="1700" w:type="dxa"/>
            <w:shd w:val="clear" w:color="auto" w:fill="auto"/>
            <w:tcMar>
              <w:top w:w="0" w:type="dxa"/>
              <w:left w:w="105" w:type="dxa"/>
              <w:bottom w:w="0" w:type="dxa"/>
              <w:right w:w="105" w:type="dxa"/>
            </w:tcMar>
            <w:vAlign w:val="center"/>
          </w:tcPr>
          <w:p w14:paraId="0D17A78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34A9ECA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633D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2F99BE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67</w:t>
            </w:r>
          </w:p>
        </w:tc>
        <w:tc>
          <w:tcPr>
            <w:tcW w:w="1206" w:type="dxa"/>
            <w:vMerge w:val="continue"/>
            <w:shd w:val="clear" w:color="auto" w:fill="auto"/>
            <w:tcMar>
              <w:top w:w="0" w:type="dxa"/>
              <w:left w:w="105" w:type="dxa"/>
              <w:bottom w:w="0" w:type="dxa"/>
              <w:right w:w="105" w:type="dxa"/>
            </w:tcMar>
            <w:vAlign w:val="center"/>
          </w:tcPr>
          <w:p w14:paraId="463A700F">
            <w:pPr>
              <w:outlineLvl w:val="9"/>
              <w:rPr>
                <w:rFonts w:hint="eastAsia" w:ascii="宋体" w:hAnsi="宋体" w:eastAsia="宋体" w:cs="宋体"/>
                <w:color w:val="auto"/>
                <w:sz w:val="24"/>
                <w:szCs w:val="24"/>
                <w:highlight w:val="none"/>
              </w:rPr>
            </w:pPr>
          </w:p>
        </w:tc>
        <w:tc>
          <w:tcPr>
            <w:tcW w:w="887" w:type="dxa"/>
            <w:shd w:val="clear" w:color="auto" w:fill="auto"/>
            <w:tcMar>
              <w:top w:w="0" w:type="dxa"/>
              <w:left w:w="105" w:type="dxa"/>
              <w:bottom w:w="0" w:type="dxa"/>
              <w:right w:w="105" w:type="dxa"/>
            </w:tcMar>
            <w:vAlign w:val="center"/>
          </w:tcPr>
          <w:p w14:paraId="718A496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形势研判</w:t>
            </w:r>
          </w:p>
        </w:tc>
        <w:tc>
          <w:tcPr>
            <w:tcW w:w="3124" w:type="dxa"/>
            <w:shd w:val="clear" w:color="auto" w:fill="auto"/>
            <w:tcMar>
              <w:top w:w="0" w:type="dxa"/>
              <w:left w:w="105" w:type="dxa"/>
              <w:bottom w:w="0" w:type="dxa"/>
              <w:right w:w="105" w:type="dxa"/>
            </w:tcMar>
            <w:vAlign w:val="center"/>
          </w:tcPr>
          <w:p w14:paraId="63EE0D9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形势研判</w:t>
            </w:r>
          </w:p>
        </w:tc>
        <w:tc>
          <w:tcPr>
            <w:tcW w:w="1700" w:type="dxa"/>
            <w:shd w:val="clear" w:color="auto" w:fill="auto"/>
            <w:tcMar>
              <w:top w:w="0" w:type="dxa"/>
              <w:left w:w="105" w:type="dxa"/>
              <w:bottom w:w="0" w:type="dxa"/>
              <w:right w:w="105" w:type="dxa"/>
            </w:tcMar>
            <w:vAlign w:val="center"/>
          </w:tcPr>
          <w:p w14:paraId="390E9BB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146A47B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1BCE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19F6BA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68</w:t>
            </w:r>
          </w:p>
        </w:tc>
        <w:tc>
          <w:tcPr>
            <w:tcW w:w="1206" w:type="dxa"/>
            <w:vMerge w:val="restart"/>
            <w:shd w:val="clear" w:color="auto" w:fill="auto"/>
            <w:tcMar>
              <w:top w:w="0" w:type="dxa"/>
              <w:left w:w="105" w:type="dxa"/>
              <w:bottom w:w="0" w:type="dxa"/>
              <w:right w:w="105" w:type="dxa"/>
            </w:tcMar>
            <w:vAlign w:val="center"/>
          </w:tcPr>
          <w:p w14:paraId="3A71B78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应急指挥调度</w:t>
            </w:r>
          </w:p>
        </w:tc>
        <w:tc>
          <w:tcPr>
            <w:tcW w:w="887" w:type="dxa"/>
            <w:vMerge w:val="restart"/>
            <w:shd w:val="clear" w:color="auto" w:fill="auto"/>
            <w:tcMar>
              <w:top w:w="0" w:type="dxa"/>
              <w:left w:w="105" w:type="dxa"/>
              <w:bottom w:w="0" w:type="dxa"/>
              <w:right w:w="105" w:type="dxa"/>
            </w:tcMar>
            <w:vAlign w:val="center"/>
          </w:tcPr>
          <w:p w14:paraId="6879AC2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应急值班值守</w:t>
            </w:r>
          </w:p>
        </w:tc>
        <w:tc>
          <w:tcPr>
            <w:tcW w:w="3124" w:type="dxa"/>
            <w:shd w:val="clear" w:color="auto" w:fill="auto"/>
            <w:tcMar>
              <w:top w:w="0" w:type="dxa"/>
              <w:left w:w="105" w:type="dxa"/>
              <w:bottom w:w="0" w:type="dxa"/>
              <w:right w:w="105" w:type="dxa"/>
            </w:tcMar>
            <w:vAlign w:val="center"/>
          </w:tcPr>
          <w:p w14:paraId="14BCBA6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事件接报管理</w:t>
            </w:r>
          </w:p>
        </w:tc>
        <w:tc>
          <w:tcPr>
            <w:tcW w:w="1700" w:type="dxa"/>
            <w:shd w:val="clear" w:color="auto" w:fill="auto"/>
            <w:tcMar>
              <w:top w:w="0" w:type="dxa"/>
              <w:left w:w="105" w:type="dxa"/>
              <w:bottom w:w="0" w:type="dxa"/>
              <w:right w:w="105" w:type="dxa"/>
            </w:tcMar>
            <w:vAlign w:val="center"/>
          </w:tcPr>
          <w:p w14:paraId="6AAE259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6C709CA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2C54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47544B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69</w:t>
            </w:r>
          </w:p>
        </w:tc>
        <w:tc>
          <w:tcPr>
            <w:tcW w:w="1206" w:type="dxa"/>
            <w:vMerge w:val="continue"/>
            <w:shd w:val="clear" w:color="auto" w:fill="auto"/>
            <w:tcMar>
              <w:top w:w="0" w:type="dxa"/>
              <w:left w:w="105" w:type="dxa"/>
              <w:bottom w:w="0" w:type="dxa"/>
              <w:right w:w="105" w:type="dxa"/>
            </w:tcMar>
            <w:vAlign w:val="center"/>
          </w:tcPr>
          <w:p w14:paraId="330485E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04E99FC">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A1289B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值班通信调度管理</w:t>
            </w:r>
          </w:p>
        </w:tc>
        <w:tc>
          <w:tcPr>
            <w:tcW w:w="1700" w:type="dxa"/>
            <w:shd w:val="clear" w:color="auto" w:fill="auto"/>
            <w:tcMar>
              <w:top w:w="0" w:type="dxa"/>
              <w:left w:w="105" w:type="dxa"/>
              <w:bottom w:w="0" w:type="dxa"/>
              <w:right w:w="105" w:type="dxa"/>
            </w:tcMar>
            <w:vAlign w:val="center"/>
          </w:tcPr>
          <w:p w14:paraId="4348323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0769601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5E8B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CC2A10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70</w:t>
            </w:r>
          </w:p>
        </w:tc>
        <w:tc>
          <w:tcPr>
            <w:tcW w:w="1206" w:type="dxa"/>
            <w:vMerge w:val="continue"/>
            <w:shd w:val="clear" w:color="auto" w:fill="auto"/>
            <w:tcMar>
              <w:top w:w="0" w:type="dxa"/>
              <w:left w:w="105" w:type="dxa"/>
              <w:bottom w:w="0" w:type="dxa"/>
              <w:right w:w="105" w:type="dxa"/>
            </w:tcMar>
            <w:vAlign w:val="center"/>
          </w:tcPr>
          <w:p w14:paraId="46AF6378">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30FA418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预案数字化</w:t>
            </w:r>
          </w:p>
        </w:tc>
        <w:tc>
          <w:tcPr>
            <w:tcW w:w="3124" w:type="dxa"/>
            <w:shd w:val="clear" w:color="auto" w:fill="auto"/>
            <w:tcMar>
              <w:top w:w="0" w:type="dxa"/>
              <w:left w:w="105" w:type="dxa"/>
              <w:bottom w:w="0" w:type="dxa"/>
              <w:right w:w="105" w:type="dxa"/>
            </w:tcMar>
            <w:vAlign w:val="center"/>
          </w:tcPr>
          <w:p w14:paraId="23115C5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预案制作</w:t>
            </w:r>
          </w:p>
        </w:tc>
        <w:tc>
          <w:tcPr>
            <w:tcW w:w="1700" w:type="dxa"/>
            <w:shd w:val="clear" w:color="auto" w:fill="auto"/>
            <w:tcMar>
              <w:top w:w="0" w:type="dxa"/>
              <w:left w:w="105" w:type="dxa"/>
              <w:bottom w:w="0" w:type="dxa"/>
              <w:right w:w="105" w:type="dxa"/>
            </w:tcMar>
            <w:vAlign w:val="center"/>
          </w:tcPr>
          <w:p w14:paraId="1B14304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74397FA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64C9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57EA1D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71</w:t>
            </w:r>
          </w:p>
        </w:tc>
        <w:tc>
          <w:tcPr>
            <w:tcW w:w="1206" w:type="dxa"/>
            <w:vMerge w:val="continue"/>
            <w:shd w:val="clear" w:color="auto" w:fill="auto"/>
            <w:tcMar>
              <w:top w:w="0" w:type="dxa"/>
              <w:left w:w="105" w:type="dxa"/>
              <w:bottom w:w="0" w:type="dxa"/>
              <w:right w:w="105" w:type="dxa"/>
            </w:tcMar>
            <w:vAlign w:val="center"/>
          </w:tcPr>
          <w:p w14:paraId="12E67F04">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7CA8B3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B68667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预案管理</w:t>
            </w:r>
          </w:p>
        </w:tc>
        <w:tc>
          <w:tcPr>
            <w:tcW w:w="1700" w:type="dxa"/>
            <w:shd w:val="clear" w:color="auto" w:fill="auto"/>
            <w:tcMar>
              <w:top w:w="0" w:type="dxa"/>
              <w:left w:w="105" w:type="dxa"/>
              <w:bottom w:w="0" w:type="dxa"/>
              <w:right w:w="105" w:type="dxa"/>
            </w:tcMar>
            <w:vAlign w:val="center"/>
          </w:tcPr>
          <w:p w14:paraId="60D3462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00411B9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17A7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0701DC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72</w:t>
            </w:r>
          </w:p>
        </w:tc>
        <w:tc>
          <w:tcPr>
            <w:tcW w:w="1206" w:type="dxa"/>
            <w:vMerge w:val="continue"/>
            <w:shd w:val="clear" w:color="auto" w:fill="auto"/>
            <w:tcMar>
              <w:top w:w="0" w:type="dxa"/>
              <w:left w:w="105" w:type="dxa"/>
              <w:bottom w:w="0" w:type="dxa"/>
              <w:right w:w="105" w:type="dxa"/>
            </w:tcMar>
            <w:vAlign w:val="center"/>
          </w:tcPr>
          <w:p w14:paraId="20F3C48E">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6AB67A3">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D481B3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数字预案管理</w:t>
            </w:r>
          </w:p>
        </w:tc>
        <w:tc>
          <w:tcPr>
            <w:tcW w:w="1700" w:type="dxa"/>
            <w:shd w:val="clear" w:color="auto" w:fill="auto"/>
            <w:tcMar>
              <w:top w:w="0" w:type="dxa"/>
              <w:left w:w="105" w:type="dxa"/>
              <w:bottom w:w="0" w:type="dxa"/>
              <w:right w:w="105" w:type="dxa"/>
            </w:tcMar>
            <w:vAlign w:val="center"/>
          </w:tcPr>
          <w:p w14:paraId="57D605A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39A8A2D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44E5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3465CF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73</w:t>
            </w:r>
          </w:p>
        </w:tc>
        <w:tc>
          <w:tcPr>
            <w:tcW w:w="1206" w:type="dxa"/>
            <w:vMerge w:val="continue"/>
            <w:shd w:val="clear" w:color="auto" w:fill="auto"/>
            <w:tcMar>
              <w:top w:w="0" w:type="dxa"/>
              <w:left w:w="105" w:type="dxa"/>
              <w:bottom w:w="0" w:type="dxa"/>
              <w:right w:w="105" w:type="dxa"/>
            </w:tcMar>
            <w:vAlign w:val="center"/>
          </w:tcPr>
          <w:p w14:paraId="75217D80">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669B89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9CFD51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预案调度管理</w:t>
            </w:r>
          </w:p>
        </w:tc>
        <w:tc>
          <w:tcPr>
            <w:tcW w:w="1700" w:type="dxa"/>
            <w:shd w:val="clear" w:color="auto" w:fill="auto"/>
            <w:tcMar>
              <w:top w:w="0" w:type="dxa"/>
              <w:left w:w="105" w:type="dxa"/>
              <w:bottom w:w="0" w:type="dxa"/>
              <w:right w:w="105" w:type="dxa"/>
            </w:tcMar>
            <w:vAlign w:val="center"/>
          </w:tcPr>
          <w:p w14:paraId="4693FAC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66E5C80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2097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2EBE64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74</w:t>
            </w:r>
          </w:p>
        </w:tc>
        <w:tc>
          <w:tcPr>
            <w:tcW w:w="1206" w:type="dxa"/>
            <w:vMerge w:val="continue"/>
            <w:shd w:val="clear" w:color="auto" w:fill="auto"/>
            <w:tcMar>
              <w:top w:w="0" w:type="dxa"/>
              <w:left w:w="105" w:type="dxa"/>
              <w:bottom w:w="0" w:type="dxa"/>
              <w:right w:w="105" w:type="dxa"/>
            </w:tcMar>
            <w:vAlign w:val="center"/>
          </w:tcPr>
          <w:p w14:paraId="360C49B8">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82B260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FAE775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预案专家系统</w:t>
            </w:r>
          </w:p>
        </w:tc>
        <w:tc>
          <w:tcPr>
            <w:tcW w:w="1700" w:type="dxa"/>
            <w:shd w:val="clear" w:color="auto" w:fill="auto"/>
            <w:tcMar>
              <w:top w:w="0" w:type="dxa"/>
              <w:left w:w="105" w:type="dxa"/>
              <w:bottom w:w="0" w:type="dxa"/>
              <w:right w:w="105" w:type="dxa"/>
            </w:tcMar>
            <w:vAlign w:val="center"/>
          </w:tcPr>
          <w:p w14:paraId="2DBBE77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115A0DD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7A4D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FD0B5B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75</w:t>
            </w:r>
          </w:p>
        </w:tc>
        <w:tc>
          <w:tcPr>
            <w:tcW w:w="1206" w:type="dxa"/>
            <w:vMerge w:val="continue"/>
            <w:shd w:val="clear" w:color="auto" w:fill="auto"/>
            <w:tcMar>
              <w:top w:w="0" w:type="dxa"/>
              <w:left w:w="105" w:type="dxa"/>
              <w:bottom w:w="0" w:type="dxa"/>
              <w:right w:w="105" w:type="dxa"/>
            </w:tcMar>
            <w:vAlign w:val="center"/>
          </w:tcPr>
          <w:p w14:paraId="287BC317">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79439A4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应急资源一张图</w:t>
            </w:r>
          </w:p>
        </w:tc>
        <w:tc>
          <w:tcPr>
            <w:tcW w:w="3124" w:type="dxa"/>
            <w:shd w:val="clear" w:color="auto" w:fill="auto"/>
            <w:tcMar>
              <w:top w:w="0" w:type="dxa"/>
              <w:left w:w="105" w:type="dxa"/>
              <w:bottom w:w="0" w:type="dxa"/>
              <w:right w:w="105" w:type="dxa"/>
            </w:tcMar>
            <w:vAlign w:val="center"/>
          </w:tcPr>
          <w:p w14:paraId="63F4036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应急资源标准规范建设</w:t>
            </w:r>
          </w:p>
        </w:tc>
        <w:tc>
          <w:tcPr>
            <w:tcW w:w="1700" w:type="dxa"/>
            <w:shd w:val="clear" w:color="auto" w:fill="auto"/>
            <w:tcMar>
              <w:top w:w="0" w:type="dxa"/>
              <w:left w:w="105" w:type="dxa"/>
              <w:bottom w:w="0" w:type="dxa"/>
              <w:right w:w="105" w:type="dxa"/>
            </w:tcMar>
            <w:vAlign w:val="center"/>
          </w:tcPr>
          <w:p w14:paraId="6150C0F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258A929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3494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462F80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76</w:t>
            </w:r>
          </w:p>
        </w:tc>
        <w:tc>
          <w:tcPr>
            <w:tcW w:w="1206" w:type="dxa"/>
            <w:vMerge w:val="continue"/>
            <w:shd w:val="clear" w:color="auto" w:fill="auto"/>
            <w:tcMar>
              <w:top w:w="0" w:type="dxa"/>
              <w:left w:w="105" w:type="dxa"/>
              <w:bottom w:w="0" w:type="dxa"/>
              <w:right w:w="105" w:type="dxa"/>
            </w:tcMar>
            <w:vAlign w:val="center"/>
          </w:tcPr>
          <w:p w14:paraId="6576415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E1077F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AEB696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数据采集与数据整合</w:t>
            </w:r>
          </w:p>
        </w:tc>
        <w:tc>
          <w:tcPr>
            <w:tcW w:w="1700" w:type="dxa"/>
            <w:shd w:val="clear" w:color="auto" w:fill="auto"/>
            <w:tcMar>
              <w:top w:w="0" w:type="dxa"/>
              <w:left w:w="105" w:type="dxa"/>
              <w:bottom w:w="0" w:type="dxa"/>
              <w:right w:w="105" w:type="dxa"/>
            </w:tcMar>
            <w:vAlign w:val="center"/>
          </w:tcPr>
          <w:p w14:paraId="7FA9730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31074C2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3062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91C457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77</w:t>
            </w:r>
          </w:p>
        </w:tc>
        <w:tc>
          <w:tcPr>
            <w:tcW w:w="1206" w:type="dxa"/>
            <w:vMerge w:val="continue"/>
            <w:shd w:val="clear" w:color="auto" w:fill="auto"/>
            <w:tcMar>
              <w:top w:w="0" w:type="dxa"/>
              <w:left w:w="105" w:type="dxa"/>
              <w:bottom w:w="0" w:type="dxa"/>
              <w:right w:w="105" w:type="dxa"/>
            </w:tcMar>
            <w:vAlign w:val="center"/>
          </w:tcPr>
          <w:p w14:paraId="7FEB6D7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9292101">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19D7E8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数据服务发布及管理</w:t>
            </w:r>
          </w:p>
        </w:tc>
        <w:tc>
          <w:tcPr>
            <w:tcW w:w="1700" w:type="dxa"/>
            <w:shd w:val="clear" w:color="auto" w:fill="auto"/>
            <w:tcMar>
              <w:top w:w="0" w:type="dxa"/>
              <w:left w:w="105" w:type="dxa"/>
              <w:bottom w:w="0" w:type="dxa"/>
              <w:right w:w="105" w:type="dxa"/>
            </w:tcMar>
            <w:vAlign w:val="center"/>
          </w:tcPr>
          <w:p w14:paraId="2F8723A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77EDCB4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2655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EC8091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78</w:t>
            </w:r>
          </w:p>
        </w:tc>
        <w:tc>
          <w:tcPr>
            <w:tcW w:w="1206" w:type="dxa"/>
            <w:vMerge w:val="continue"/>
            <w:shd w:val="clear" w:color="auto" w:fill="auto"/>
            <w:tcMar>
              <w:top w:w="0" w:type="dxa"/>
              <w:left w:w="105" w:type="dxa"/>
              <w:bottom w:w="0" w:type="dxa"/>
              <w:right w:w="105" w:type="dxa"/>
            </w:tcMar>
            <w:vAlign w:val="center"/>
          </w:tcPr>
          <w:p w14:paraId="146A985B">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2A49FF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204155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资源数据展示应用</w:t>
            </w:r>
          </w:p>
        </w:tc>
        <w:tc>
          <w:tcPr>
            <w:tcW w:w="1700" w:type="dxa"/>
            <w:shd w:val="clear" w:color="auto" w:fill="auto"/>
            <w:tcMar>
              <w:top w:w="0" w:type="dxa"/>
              <w:left w:w="105" w:type="dxa"/>
              <w:bottom w:w="0" w:type="dxa"/>
              <w:right w:w="105" w:type="dxa"/>
            </w:tcMar>
            <w:vAlign w:val="center"/>
          </w:tcPr>
          <w:p w14:paraId="725A112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14EDA2C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5A4A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603080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79</w:t>
            </w:r>
          </w:p>
        </w:tc>
        <w:tc>
          <w:tcPr>
            <w:tcW w:w="1206" w:type="dxa"/>
            <w:vMerge w:val="continue"/>
            <w:shd w:val="clear" w:color="auto" w:fill="auto"/>
            <w:tcMar>
              <w:top w:w="0" w:type="dxa"/>
              <w:left w:w="105" w:type="dxa"/>
              <w:bottom w:w="0" w:type="dxa"/>
              <w:right w:w="105" w:type="dxa"/>
            </w:tcMar>
            <w:vAlign w:val="center"/>
          </w:tcPr>
          <w:p w14:paraId="26E014F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D17B866">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DFCC25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应急资源基础悉心维护</w:t>
            </w:r>
          </w:p>
        </w:tc>
        <w:tc>
          <w:tcPr>
            <w:tcW w:w="1700" w:type="dxa"/>
            <w:shd w:val="clear" w:color="auto" w:fill="auto"/>
            <w:tcMar>
              <w:top w:w="0" w:type="dxa"/>
              <w:left w:w="105" w:type="dxa"/>
              <w:bottom w:w="0" w:type="dxa"/>
              <w:right w:w="105" w:type="dxa"/>
            </w:tcMar>
            <w:vAlign w:val="center"/>
          </w:tcPr>
          <w:p w14:paraId="36E575F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2DE5140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3E27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C4CAEA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80</w:t>
            </w:r>
          </w:p>
        </w:tc>
        <w:tc>
          <w:tcPr>
            <w:tcW w:w="1206" w:type="dxa"/>
            <w:vMerge w:val="continue"/>
            <w:shd w:val="clear" w:color="auto" w:fill="auto"/>
            <w:tcMar>
              <w:top w:w="0" w:type="dxa"/>
              <w:left w:w="105" w:type="dxa"/>
              <w:bottom w:w="0" w:type="dxa"/>
              <w:right w:w="105" w:type="dxa"/>
            </w:tcMar>
            <w:vAlign w:val="center"/>
          </w:tcPr>
          <w:p w14:paraId="4B219DD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8C03AC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496A38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应急资源展示检索服务</w:t>
            </w:r>
          </w:p>
        </w:tc>
        <w:tc>
          <w:tcPr>
            <w:tcW w:w="1700" w:type="dxa"/>
            <w:shd w:val="clear" w:color="auto" w:fill="auto"/>
            <w:tcMar>
              <w:top w:w="0" w:type="dxa"/>
              <w:left w:w="105" w:type="dxa"/>
              <w:bottom w:w="0" w:type="dxa"/>
              <w:right w:w="105" w:type="dxa"/>
            </w:tcMar>
            <w:vAlign w:val="center"/>
          </w:tcPr>
          <w:p w14:paraId="51F4D90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容器化改造</w:t>
            </w:r>
          </w:p>
        </w:tc>
        <w:tc>
          <w:tcPr>
            <w:tcW w:w="1941" w:type="dxa"/>
            <w:shd w:val="clear" w:color="auto" w:fill="auto"/>
            <w:tcMar>
              <w:top w:w="0" w:type="dxa"/>
              <w:left w:w="105" w:type="dxa"/>
              <w:bottom w:w="0" w:type="dxa"/>
              <w:right w:w="105" w:type="dxa"/>
            </w:tcMar>
            <w:vAlign w:val="top"/>
          </w:tcPr>
          <w:p w14:paraId="09024C3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原有功能改造</w:t>
            </w:r>
          </w:p>
        </w:tc>
      </w:tr>
      <w:tr w14:paraId="20C3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411830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81</w:t>
            </w:r>
          </w:p>
        </w:tc>
        <w:tc>
          <w:tcPr>
            <w:tcW w:w="1206" w:type="dxa"/>
            <w:vMerge w:val="continue"/>
            <w:shd w:val="clear" w:color="auto" w:fill="auto"/>
            <w:tcMar>
              <w:top w:w="0" w:type="dxa"/>
              <w:left w:w="105" w:type="dxa"/>
              <w:bottom w:w="0" w:type="dxa"/>
              <w:right w:w="105" w:type="dxa"/>
            </w:tcMar>
            <w:vAlign w:val="center"/>
          </w:tcPr>
          <w:p w14:paraId="474B327F">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6FFFD6C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应急处置-预防准备</w:t>
            </w:r>
          </w:p>
        </w:tc>
        <w:tc>
          <w:tcPr>
            <w:tcW w:w="3124" w:type="dxa"/>
            <w:shd w:val="clear" w:color="auto" w:fill="auto"/>
            <w:tcMar>
              <w:top w:w="0" w:type="dxa"/>
              <w:left w:w="105" w:type="dxa"/>
              <w:bottom w:w="0" w:type="dxa"/>
              <w:right w:w="105" w:type="dxa"/>
            </w:tcMar>
            <w:vAlign w:val="center"/>
          </w:tcPr>
          <w:p w14:paraId="505B775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风险预警-预警数据汇聚</w:t>
            </w:r>
          </w:p>
        </w:tc>
        <w:tc>
          <w:tcPr>
            <w:tcW w:w="1700" w:type="dxa"/>
            <w:shd w:val="clear" w:color="auto" w:fill="auto"/>
            <w:tcMar>
              <w:top w:w="0" w:type="dxa"/>
              <w:left w:w="105" w:type="dxa"/>
              <w:bottom w:w="0" w:type="dxa"/>
              <w:right w:w="105" w:type="dxa"/>
            </w:tcMar>
            <w:vAlign w:val="center"/>
          </w:tcPr>
          <w:p w14:paraId="225A5DB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restart"/>
            <w:shd w:val="clear" w:color="auto" w:fill="auto"/>
            <w:tcMar>
              <w:top w:w="0" w:type="dxa"/>
              <w:left w:w="105" w:type="dxa"/>
              <w:bottom w:w="0" w:type="dxa"/>
              <w:right w:w="105" w:type="dxa"/>
            </w:tcMar>
            <w:vAlign w:val="center"/>
          </w:tcPr>
          <w:p w14:paraId="2C32E57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基于住建部建设指南，完善城综平台应急事件处置体系</w:t>
            </w:r>
          </w:p>
        </w:tc>
      </w:tr>
      <w:tr w14:paraId="656C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B257EC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82</w:t>
            </w:r>
          </w:p>
        </w:tc>
        <w:tc>
          <w:tcPr>
            <w:tcW w:w="1206" w:type="dxa"/>
            <w:vMerge w:val="continue"/>
            <w:shd w:val="clear" w:color="auto" w:fill="auto"/>
            <w:tcMar>
              <w:top w:w="0" w:type="dxa"/>
              <w:left w:w="105" w:type="dxa"/>
              <w:bottom w:w="0" w:type="dxa"/>
              <w:right w:w="105" w:type="dxa"/>
            </w:tcMar>
            <w:vAlign w:val="center"/>
          </w:tcPr>
          <w:p w14:paraId="0FB869E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8F42E4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D9F82E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风险预警-风险预警设置</w:t>
            </w:r>
          </w:p>
        </w:tc>
        <w:tc>
          <w:tcPr>
            <w:tcW w:w="1700" w:type="dxa"/>
            <w:shd w:val="clear" w:color="auto" w:fill="auto"/>
            <w:tcMar>
              <w:top w:w="0" w:type="dxa"/>
              <w:left w:w="105" w:type="dxa"/>
              <w:bottom w:w="0" w:type="dxa"/>
              <w:right w:w="105" w:type="dxa"/>
            </w:tcMar>
            <w:vAlign w:val="center"/>
          </w:tcPr>
          <w:p w14:paraId="553E9AE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287446AF">
            <w:pPr>
              <w:outlineLvl w:val="9"/>
              <w:rPr>
                <w:rFonts w:hint="eastAsia" w:ascii="宋体" w:hAnsi="宋体" w:eastAsia="宋体" w:cs="宋体"/>
                <w:color w:val="auto"/>
                <w:sz w:val="24"/>
                <w:szCs w:val="24"/>
                <w:highlight w:val="none"/>
              </w:rPr>
            </w:pPr>
          </w:p>
        </w:tc>
      </w:tr>
      <w:tr w14:paraId="1BC4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B12B01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83</w:t>
            </w:r>
          </w:p>
        </w:tc>
        <w:tc>
          <w:tcPr>
            <w:tcW w:w="1206" w:type="dxa"/>
            <w:vMerge w:val="continue"/>
            <w:shd w:val="clear" w:color="auto" w:fill="auto"/>
            <w:tcMar>
              <w:top w:w="0" w:type="dxa"/>
              <w:left w:w="105" w:type="dxa"/>
              <w:bottom w:w="0" w:type="dxa"/>
              <w:right w:w="105" w:type="dxa"/>
            </w:tcMar>
            <w:vAlign w:val="center"/>
          </w:tcPr>
          <w:p w14:paraId="78060367">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674F98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C06394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风险预警-风险预警发布</w:t>
            </w:r>
          </w:p>
        </w:tc>
        <w:tc>
          <w:tcPr>
            <w:tcW w:w="1700" w:type="dxa"/>
            <w:shd w:val="clear" w:color="auto" w:fill="auto"/>
            <w:tcMar>
              <w:top w:w="0" w:type="dxa"/>
              <w:left w:w="105" w:type="dxa"/>
              <w:bottom w:w="0" w:type="dxa"/>
              <w:right w:w="105" w:type="dxa"/>
            </w:tcMar>
            <w:vAlign w:val="center"/>
          </w:tcPr>
          <w:p w14:paraId="6FB37BC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7C5EB88">
            <w:pPr>
              <w:outlineLvl w:val="9"/>
              <w:rPr>
                <w:rFonts w:hint="eastAsia" w:ascii="宋体" w:hAnsi="宋体" w:eastAsia="宋体" w:cs="宋体"/>
                <w:color w:val="auto"/>
                <w:sz w:val="24"/>
                <w:szCs w:val="24"/>
                <w:highlight w:val="none"/>
              </w:rPr>
            </w:pPr>
          </w:p>
        </w:tc>
      </w:tr>
      <w:tr w14:paraId="63F0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86880A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84</w:t>
            </w:r>
          </w:p>
        </w:tc>
        <w:tc>
          <w:tcPr>
            <w:tcW w:w="1206" w:type="dxa"/>
            <w:vMerge w:val="continue"/>
            <w:shd w:val="clear" w:color="auto" w:fill="auto"/>
            <w:tcMar>
              <w:top w:w="0" w:type="dxa"/>
              <w:left w:w="105" w:type="dxa"/>
              <w:bottom w:w="0" w:type="dxa"/>
              <w:right w:w="105" w:type="dxa"/>
            </w:tcMar>
            <w:vAlign w:val="center"/>
          </w:tcPr>
          <w:p w14:paraId="41896C28">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C6A626F">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DD1BB8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风险预警-预警防范响应</w:t>
            </w:r>
          </w:p>
        </w:tc>
        <w:tc>
          <w:tcPr>
            <w:tcW w:w="1700" w:type="dxa"/>
            <w:shd w:val="clear" w:color="auto" w:fill="auto"/>
            <w:tcMar>
              <w:top w:w="0" w:type="dxa"/>
              <w:left w:w="105" w:type="dxa"/>
              <w:bottom w:w="0" w:type="dxa"/>
              <w:right w:w="105" w:type="dxa"/>
            </w:tcMar>
            <w:vAlign w:val="center"/>
          </w:tcPr>
          <w:p w14:paraId="5F9BCCE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D4E670B">
            <w:pPr>
              <w:outlineLvl w:val="9"/>
              <w:rPr>
                <w:rFonts w:hint="eastAsia" w:ascii="宋体" w:hAnsi="宋体" w:eastAsia="宋体" w:cs="宋体"/>
                <w:color w:val="auto"/>
                <w:sz w:val="24"/>
                <w:szCs w:val="24"/>
                <w:highlight w:val="none"/>
              </w:rPr>
            </w:pPr>
          </w:p>
        </w:tc>
      </w:tr>
      <w:tr w14:paraId="1A58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54FE08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85</w:t>
            </w:r>
          </w:p>
        </w:tc>
        <w:tc>
          <w:tcPr>
            <w:tcW w:w="1206" w:type="dxa"/>
            <w:vMerge w:val="continue"/>
            <w:shd w:val="clear" w:color="auto" w:fill="auto"/>
            <w:tcMar>
              <w:top w:w="0" w:type="dxa"/>
              <w:left w:w="105" w:type="dxa"/>
              <w:bottom w:w="0" w:type="dxa"/>
              <w:right w:w="105" w:type="dxa"/>
            </w:tcMar>
            <w:vAlign w:val="center"/>
          </w:tcPr>
          <w:p w14:paraId="36AE25EB">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2B2B84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BB576C9">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值守管理-值班排班管理</w:t>
            </w:r>
          </w:p>
        </w:tc>
        <w:tc>
          <w:tcPr>
            <w:tcW w:w="1700" w:type="dxa"/>
            <w:shd w:val="clear" w:color="auto" w:fill="auto"/>
            <w:tcMar>
              <w:top w:w="0" w:type="dxa"/>
              <w:left w:w="105" w:type="dxa"/>
              <w:bottom w:w="0" w:type="dxa"/>
              <w:right w:w="105" w:type="dxa"/>
            </w:tcMar>
            <w:vAlign w:val="center"/>
          </w:tcPr>
          <w:p w14:paraId="7523FBD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6816415">
            <w:pPr>
              <w:outlineLvl w:val="9"/>
              <w:rPr>
                <w:rFonts w:hint="eastAsia" w:ascii="宋体" w:hAnsi="宋体" w:eastAsia="宋体" w:cs="宋体"/>
                <w:color w:val="auto"/>
                <w:sz w:val="24"/>
                <w:szCs w:val="24"/>
                <w:highlight w:val="none"/>
              </w:rPr>
            </w:pPr>
          </w:p>
        </w:tc>
      </w:tr>
      <w:tr w14:paraId="2E8D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B5B1D6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86</w:t>
            </w:r>
          </w:p>
        </w:tc>
        <w:tc>
          <w:tcPr>
            <w:tcW w:w="1206" w:type="dxa"/>
            <w:vMerge w:val="continue"/>
            <w:shd w:val="clear" w:color="auto" w:fill="auto"/>
            <w:tcMar>
              <w:top w:w="0" w:type="dxa"/>
              <w:left w:w="105" w:type="dxa"/>
              <w:bottom w:w="0" w:type="dxa"/>
              <w:right w:w="105" w:type="dxa"/>
            </w:tcMar>
            <w:vAlign w:val="center"/>
          </w:tcPr>
          <w:p w14:paraId="29CAB12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8915BBF">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2A6543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值守管理-值班日志管理</w:t>
            </w:r>
          </w:p>
        </w:tc>
        <w:tc>
          <w:tcPr>
            <w:tcW w:w="1700" w:type="dxa"/>
            <w:shd w:val="clear" w:color="auto" w:fill="auto"/>
            <w:tcMar>
              <w:top w:w="0" w:type="dxa"/>
              <w:left w:w="105" w:type="dxa"/>
              <w:bottom w:w="0" w:type="dxa"/>
              <w:right w:w="105" w:type="dxa"/>
            </w:tcMar>
            <w:vAlign w:val="center"/>
          </w:tcPr>
          <w:p w14:paraId="3D8C5D5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FC23D35">
            <w:pPr>
              <w:outlineLvl w:val="9"/>
              <w:rPr>
                <w:rFonts w:hint="eastAsia" w:ascii="宋体" w:hAnsi="宋体" w:eastAsia="宋体" w:cs="宋体"/>
                <w:color w:val="auto"/>
                <w:sz w:val="24"/>
                <w:szCs w:val="24"/>
                <w:highlight w:val="none"/>
              </w:rPr>
            </w:pPr>
          </w:p>
        </w:tc>
      </w:tr>
      <w:tr w14:paraId="27DC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636AD3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87</w:t>
            </w:r>
          </w:p>
        </w:tc>
        <w:tc>
          <w:tcPr>
            <w:tcW w:w="1206" w:type="dxa"/>
            <w:vMerge w:val="continue"/>
            <w:shd w:val="clear" w:color="auto" w:fill="auto"/>
            <w:tcMar>
              <w:top w:w="0" w:type="dxa"/>
              <w:left w:w="105" w:type="dxa"/>
              <w:bottom w:w="0" w:type="dxa"/>
              <w:right w:w="105" w:type="dxa"/>
            </w:tcMar>
            <w:vAlign w:val="center"/>
          </w:tcPr>
          <w:p w14:paraId="12D86493">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8B2584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C39152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值守管理-待办事项管理</w:t>
            </w:r>
          </w:p>
        </w:tc>
        <w:tc>
          <w:tcPr>
            <w:tcW w:w="1700" w:type="dxa"/>
            <w:shd w:val="clear" w:color="auto" w:fill="auto"/>
            <w:tcMar>
              <w:top w:w="0" w:type="dxa"/>
              <w:left w:w="105" w:type="dxa"/>
              <w:bottom w:w="0" w:type="dxa"/>
              <w:right w:w="105" w:type="dxa"/>
            </w:tcMar>
            <w:vAlign w:val="center"/>
          </w:tcPr>
          <w:p w14:paraId="1719ECA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51F7C6CD">
            <w:pPr>
              <w:outlineLvl w:val="9"/>
              <w:rPr>
                <w:rFonts w:hint="eastAsia" w:ascii="宋体" w:hAnsi="宋体" w:eastAsia="宋体" w:cs="宋体"/>
                <w:color w:val="auto"/>
                <w:sz w:val="24"/>
                <w:szCs w:val="24"/>
                <w:highlight w:val="none"/>
              </w:rPr>
            </w:pPr>
          </w:p>
        </w:tc>
      </w:tr>
      <w:tr w14:paraId="556E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9A1353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88</w:t>
            </w:r>
          </w:p>
        </w:tc>
        <w:tc>
          <w:tcPr>
            <w:tcW w:w="1206" w:type="dxa"/>
            <w:vMerge w:val="continue"/>
            <w:shd w:val="clear" w:color="auto" w:fill="auto"/>
            <w:tcMar>
              <w:top w:w="0" w:type="dxa"/>
              <w:left w:w="105" w:type="dxa"/>
              <w:bottom w:w="0" w:type="dxa"/>
              <w:right w:w="105" w:type="dxa"/>
            </w:tcMar>
            <w:vAlign w:val="center"/>
          </w:tcPr>
          <w:p w14:paraId="7BB3F0A0">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72A6C1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F515E5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值守管理-在线值班管理</w:t>
            </w:r>
          </w:p>
        </w:tc>
        <w:tc>
          <w:tcPr>
            <w:tcW w:w="1700" w:type="dxa"/>
            <w:shd w:val="clear" w:color="auto" w:fill="auto"/>
            <w:tcMar>
              <w:top w:w="0" w:type="dxa"/>
              <w:left w:w="105" w:type="dxa"/>
              <w:bottom w:w="0" w:type="dxa"/>
              <w:right w:w="105" w:type="dxa"/>
            </w:tcMar>
            <w:vAlign w:val="center"/>
          </w:tcPr>
          <w:p w14:paraId="099F69C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6B78292">
            <w:pPr>
              <w:outlineLvl w:val="9"/>
              <w:rPr>
                <w:rFonts w:hint="eastAsia" w:ascii="宋体" w:hAnsi="宋体" w:eastAsia="宋体" w:cs="宋体"/>
                <w:color w:val="auto"/>
                <w:sz w:val="24"/>
                <w:szCs w:val="24"/>
                <w:highlight w:val="none"/>
              </w:rPr>
            </w:pPr>
          </w:p>
        </w:tc>
      </w:tr>
      <w:tr w14:paraId="5843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E4B5D5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89</w:t>
            </w:r>
          </w:p>
        </w:tc>
        <w:tc>
          <w:tcPr>
            <w:tcW w:w="1206" w:type="dxa"/>
            <w:vMerge w:val="continue"/>
            <w:shd w:val="clear" w:color="auto" w:fill="auto"/>
            <w:tcMar>
              <w:top w:w="0" w:type="dxa"/>
              <w:left w:w="105" w:type="dxa"/>
              <w:bottom w:w="0" w:type="dxa"/>
              <w:right w:w="105" w:type="dxa"/>
            </w:tcMar>
            <w:vAlign w:val="center"/>
          </w:tcPr>
          <w:p w14:paraId="12429DA7">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E800468">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5F3FE6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值守管理-文档材料管理</w:t>
            </w:r>
          </w:p>
        </w:tc>
        <w:tc>
          <w:tcPr>
            <w:tcW w:w="1700" w:type="dxa"/>
            <w:shd w:val="clear" w:color="auto" w:fill="auto"/>
            <w:tcMar>
              <w:top w:w="0" w:type="dxa"/>
              <w:left w:w="105" w:type="dxa"/>
              <w:bottom w:w="0" w:type="dxa"/>
              <w:right w:w="105" w:type="dxa"/>
            </w:tcMar>
            <w:vAlign w:val="center"/>
          </w:tcPr>
          <w:p w14:paraId="5915FA1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910E014">
            <w:pPr>
              <w:outlineLvl w:val="9"/>
              <w:rPr>
                <w:rFonts w:hint="eastAsia" w:ascii="宋体" w:hAnsi="宋体" w:eastAsia="宋体" w:cs="宋体"/>
                <w:color w:val="auto"/>
                <w:sz w:val="24"/>
                <w:szCs w:val="24"/>
                <w:highlight w:val="none"/>
              </w:rPr>
            </w:pPr>
          </w:p>
        </w:tc>
      </w:tr>
      <w:tr w14:paraId="45D4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CB4F78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90</w:t>
            </w:r>
          </w:p>
        </w:tc>
        <w:tc>
          <w:tcPr>
            <w:tcW w:w="1206" w:type="dxa"/>
            <w:vMerge w:val="continue"/>
            <w:shd w:val="clear" w:color="auto" w:fill="auto"/>
            <w:tcMar>
              <w:top w:w="0" w:type="dxa"/>
              <w:left w:w="105" w:type="dxa"/>
              <w:bottom w:w="0" w:type="dxa"/>
              <w:right w:w="105" w:type="dxa"/>
            </w:tcMar>
            <w:vAlign w:val="center"/>
          </w:tcPr>
          <w:p w14:paraId="5E32F133">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C889EB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4E7CC3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值守管理-值班统计管理</w:t>
            </w:r>
          </w:p>
        </w:tc>
        <w:tc>
          <w:tcPr>
            <w:tcW w:w="1700" w:type="dxa"/>
            <w:shd w:val="clear" w:color="auto" w:fill="auto"/>
            <w:tcMar>
              <w:top w:w="0" w:type="dxa"/>
              <w:left w:w="105" w:type="dxa"/>
              <w:bottom w:w="0" w:type="dxa"/>
              <w:right w:w="105" w:type="dxa"/>
            </w:tcMar>
            <w:vAlign w:val="center"/>
          </w:tcPr>
          <w:p w14:paraId="7DF776E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542A1E7A">
            <w:pPr>
              <w:outlineLvl w:val="9"/>
              <w:rPr>
                <w:rFonts w:hint="eastAsia" w:ascii="宋体" w:hAnsi="宋体" w:eastAsia="宋体" w:cs="宋体"/>
                <w:color w:val="auto"/>
                <w:sz w:val="24"/>
                <w:szCs w:val="24"/>
                <w:highlight w:val="none"/>
              </w:rPr>
            </w:pPr>
          </w:p>
        </w:tc>
      </w:tr>
      <w:tr w14:paraId="1F85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E1F4CD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91</w:t>
            </w:r>
          </w:p>
        </w:tc>
        <w:tc>
          <w:tcPr>
            <w:tcW w:w="1206" w:type="dxa"/>
            <w:vMerge w:val="continue"/>
            <w:shd w:val="clear" w:color="auto" w:fill="auto"/>
            <w:tcMar>
              <w:top w:w="0" w:type="dxa"/>
              <w:left w:w="105" w:type="dxa"/>
              <w:bottom w:w="0" w:type="dxa"/>
              <w:right w:w="105" w:type="dxa"/>
            </w:tcMar>
            <w:vAlign w:val="center"/>
          </w:tcPr>
          <w:p w14:paraId="0861B337">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15D300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3FD581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值守管理-通知公告管理</w:t>
            </w:r>
          </w:p>
        </w:tc>
        <w:tc>
          <w:tcPr>
            <w:tcW w:w="1700" w:type="dxa"/>
            <w:shd w:val="clear" w:color="auto" w:fill="auto"/>
            <w:tcMar>
              <w:top w:w="0" w:type="dxa"/>
              <w:left w:w="105" w:type="dxa"/>
              <w:bottom w:w="0" w:type="dxa"/>
              <w:right w:w="105" w:type="dxa"/>
            </w:tcMar>
            <w:vAlign w:val="center"/>
          </w:tcPr>
          <w:p w14:paraId="4B4B656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AC87523">
            <w:pPr>
              <w:outlineLvl w:val="9"/>
              <w:rPr>
                <w:rFonts w:hint="eastAsia" w:ascii="宋体" w:hAnsi="宋体" w:eastAsia="宋体" w:cs="宋体"/>
                <w:color w:val="auto"/>
                <w:sz w:val="24"/>
                <w:szCs w:val="24"/>
                <w:highlight w:val="none"/>
              </w:rPr>
            </w:pPr>
          </w:p>
        </w:tc>
      </w:tr>
      <w:tr w14:paraId="658C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0C3B0D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92</w:t>
            </w:r>
          </w:p>
        </w:tc>
        <w:tc>
          <w:tcPr>
            <w:tcW w:w="1206" w:type="dxa"/>
            <w:vMerge w:val="continue"/>
            <w:shd w:val="clear" w:color="auto" w:fill="auto"/>
            <w:tcMar>
              <w:top w:w="0" w:type="dxa"/>
              <w:left w:w="105" w:type="dxa"/>
              <w:bottom w:w="0" w:type="dxa"/>
              <w:right w:w="105" w:type="dxa"/>
            </w:tcMar>
            <w:vAlign w:val="center"/>
          </w:tcPr>
          <w:p w14:paraId="2038829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06DCF5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9A5B51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预防演练-演练计划管理</w:t>
            </w:r>
          </w:p>
        </w:tc>
        <w:tc>
          <w:tcPr>
            <w:tcW w:w="1700" w:type="dxa"/>
            <w:shd w:val="clear" w:color="auto" w:fill="auto"/>
            <w:tcMar>
              <w:top w:w="0" w:type="dxa"/>
              <w:left w:w="105" w:type="dxa"/>
              <w:bottom w:w="0" w:type="dxa"/>
              <w:right w:w="105" w:type="dxa"/>
            </w:tcMar>
            <w:vAlign w:val="center"/>
          </w:tcPr>
          <w:p w14:paraId="4E24711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F17C629">
            <w:pPr>
              <w:outlineLvl w:val="9"/>
              <w:rPr>
                <w:rFonts w:hint="eastAsia" w:ascii="宋体" w:hAnsi="宋体" w:eastAsia="宋体" w:cs="宋体"/>
                <w:color w:val="auto"/>
                <w:sz w:val="24"/>
                <w:szCs w:val="24"/>
                <w:highlight w:val="none"/>
              </w:rPr>
            </w:pPr>
          </w:p>
        </w:tc>
      </w:tr>
      <w:tr w14:paraId="11B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9377DB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93</w:t>
            </w:r>
          </w:p>
        </w:tc>
        <w:tc>
          <w:tcPr>
            <w:tcW w:w="1206" w:type="dxa"/>
            <w:vMerge w:val="continue"/>
            <w:shd w:val="clear" w:color="auto" w:fill="auto"/>
            <w:tcMar>
              <w:top w:w="0" w:type="dxa"/>
              <w:left w:w="105" w:type="dxa"/>
              <w:bottom w:w="0" w:type="dxa"/>
              <w:right w:w="105" w:type="dxa"/>
            </w:tcMar>
            <w:vAlign w:val="center"/>
          </w:tcPr>
          <w:p w14:paraId="179E3063">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2C027FC">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59C5E5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预防演练-模拟演练场景</w:t>
            </w:r>
          </w:p>
        </w:tc>
        <w:tc>
          <w:tcPr>
            <w:tcW w:w="1700" w:type="dxa"/>
            <w:shd w:val="clear" w:color="auto" w:fill="auto"/>
            <w:tcMar>
              <w:top w:w="0" w:type="dxa"/>
              <w:left w:w="105" w:type="dxa"/>
              <w:bottom w:w="0" w:type="dxa"/>
              <w:right w:w="105" w:type="dxa"/>
            </w:tcMar>
            <w:vAlign w:val="center"/>
          </w:tcPr>
          <w:p w14:paraId="31DAB06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05A7094A">
            <w:pPr>
              <w:outlineLvl w:val="9"/>
              <w:rPr>
                <w:rFonts w:hint="eastAsia" w:ascii="宋体" w:hAnsi="宋体" w:eastAsia="宋体" w:cs="宋体"/>
                <w:color w:val="auto"/>
                <w:sz w:val="24"/>
                <w:szCs w:val="24"/>
                <w:highlight w:val="none"/>
              </w:rPr>
            </w:pPr>
          </w:p>
        </w:tc>
      </w:tr>
      <w:tr w14:paraId="5803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AAF9AA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94</w:t>
            </w:r>
          </w:p>
        </w:tc>
        <w:tc>
          <w:tcPr>
            <w:tcW w:w="1206" w:type="dxa"/>
            <w:vMerge w:val="continue"/>
            <w:shd w:val="clear" w:color="auto" w:fill="auto"/>
            <w:tcMar>
              <w:top w:w="0" w:type="dxa"/>
              <w:left w:w="105" w:type="dxa"/>
              <w:bottom w:w="0" w:type="dxa"/>
              <w:right w:w="105" w:type="dxa"/>
            </w:tcMar>
            <w:vAlign w:val="center"/>
          </w:tcPr>
          <w:p w14:paraId="02FEC447">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3A6720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842968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预防演练-协同会商演练</w:t>
            </w:r>
          </w:p>
        </w:tc>
        <w:tc>
          <w:tcPr>
            <w:tcW w:w="1700" w:type="dxa"/>
            <w:shd w:val="clear" w:color="auto" w:fill="auto"/>
            <w:tcMar>
              <w:top w:w="0" w:type="dxa"/>
              <w:left w:w="105" w:type="dxa"/>
              <w:bottom w:w="0" w:type="dxa"/>
              <w:right w:w="105" w:type="dxa"/>
            </w:tcMar>
            <w:vAlign w:val="center"/>
          </w:tcPr>
          <w:p w14:paraId="2837D1C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9B1A023">
            <w:pPr>
              <w:outlineLvl w:val="9"/>
              <w:rPr>
                <w:rFonts w:hint="eastAsia" w:ascii="宋体" w:hAnsi="宋体" w:eastAsia="宋体" w:cs="宋体"/>
                <w:color w:val="auto"/>
                <w:sz w:val="24"/>
                <w:szCs w:val="24"/>
                <w:highlight w:val="none"/>
              </w:rPr>
            </w:pPr>
          </w:p>
        </w:tc>
      </w:tr>
      <w:tr w14:paraId="2828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DCDC49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95</w:t>
            </w:r>
          </w:p>
        </w:tc>
        <w:tc>
          <w:tcPr>
            <w:tcW w:w="1206" w:type="dxa"/>
            <w:vMerge w:val="continue"/>
            <w:shd w:val="clear" w:color="auto" w:fill="auto"/>
            <w:tcMar>
              <w:top w:w="0" w:type="dxa"/>
              <w:left w:w="105" w:type="dxa"/>
              <w:bottom w:w="0" w:type="dxa"/>
              <w:right w:w="105" w:type="dxa"/>
            </w:tcMar>
            <w:vAlign w:val="center"/>
          </w:tcPr>
          <w:p w14:paraId="1AE8F9C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272E7F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B304B4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预防演练-演练评估总结</w:t>
            </w:r>
          </w:p>
        </w:tc>
        <w:tc>
          <w:tcPr>
            <w:tcW w:w="1700" w:type="dxa"/>
            <w:shd w:val="clear" w:color="auto" w:fill="auto"/>
            <w:tcMar>
              <w:top w:w="0" w:type="dxa"/>
              <w:left w:w="105" w:type="dxa"/>
              <w:bottom w:w="0" w:type="dxa"/>
              <w:right w:w="105" w:type="dxa"/>
            </w:tcMar>
            <w:vAlign w:val="center"/>
          </w:tcPr>
          <w:p w14:paraId="4A33549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3F9DFC8">
            <w:pPr>
              <w:outlineLvl w:val="9"/>
              <w:rPr>
                <w:rFonts w:hint="eastAsia" w:ascii="宋体" w:hAnsi="宋体" w:eastAsia="宋体" w:cs="宋体"/>
                <w:color w:val="auto"/>
                <w:sz w:val="24"/>
                <w:szCs w:val="24"/>
                <w:highlight w:val="none"/>
              </w:rPr>
            </w:pPr>
          </w:p>
        </w:tc>
      </w:tr>
      <w:tr w14:paraId="1371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8BF8DC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96</w:t>
            </w:r>
          </w:p>
        </w:tc>
        <w:tc>
          <w:tcPr>
            <w:tcW w:w="1206" w:type="dxa"/>
            <w:vMerge w:val="continue"/>
            <w:shd w:val="clear" w:color="auto" w:fill="auto"/>
            <w:tcMar>
              <w:top w:w="0" w:type="dxa"/>
              <w:left w:w="105" w:type="dxa"/>
              <w:bottom w:w="0" w:type="dxa"/>
              <w:right w:w="105" w:type="dxa"/>
            </w:tcMar>
            <w:vAlign w:val="center"/>
          </w:tcPr>
          <w:p w14:paraId="465EA58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64E907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CA5C5A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预防演练-演练统计分析</w:t>
            </w:r>
          </w:p>
        </w:tc>
        <w:tc>
          <w:tcPr>
            <w:tcW w:w="1700" w:type="dxa"/>
            <w:shd w:val="clear" w:color="auto" w:fill="auto"/>
            <w:tcMar>
              <w:top w:w="0" w:type="dxa"/>
              <w:left w:w="105" w:type="dxa"/>
              <w:bottom w:w="0" w:type="dxa"/>
              <w:right w:w="105" w:type="dxa"/>
            </w:tcMar>
            <w:vAlign w:val="center"/>
          </w:tcPr>
          <w:p w14:paraId="466DD0F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05589D44">
            <w:pPr>
              <w:outlineLvl w:val="9"/>
              <w:rPr>
                <w:rFonts w:hint="eastAsia" w:ascii="宋体" w:hAnsi="宋体" w:eastAsia="宋体" w:cs="宋体"/>
                <w:color w:val="auto"/>
                <w:sz w:val="24"/>
                <w:szCs w:val="24"/>
                <w:highlight w:val="none"/>
              </w:rPr>
            </w:pPr>
          </w:p>
        </w:tc>
      </w:tr>
      <w:tr w14:paraId="25B8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754921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97</w:t>
            </w:r>
          </w:p>
        </w:tc>
        <w:tc>
          <w:tcPr>
            <w:tcW w:w="1206" w:type="dxa"/>
            <w:vMerge w:val="continue"/>
            <w:shd w:val="clear" w:color="auto" w:fill="auto"/>
            <w:tcMar>
              <w:top w:w="0" w:type="dxa"/>
              <w:left w:w="105" w:type="dxa"/>
              <w:bottom w:w="0" w:type="dxa"/>
              <w:right w:w="105" w:type="dxa"/>
            </w:tcMar>
            <w:vAlign w:val="center"/>
          </w:tcPr>
          <w:p w14:paraId="6E809E4B">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5A16E8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BDA7C0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预防演练-演练材料管理</w:t>
            </w:r>
          </w:p>
        </w:tc>
        <w:tc>
          <w:tcPr>
            <w:tcW w:w="1700" w:type="dxa"/>
            <w:shd w:val="clear" w:color="auto" w:fill="auto"/>
            <w:tcMar>
              <w:top w:w="0" w:type="dxa"/>
              <w:left w:w="105" w:type="dxa"/>
              <w:bottom w:w="0" w:type="dxa"/>
              <w:right w:w="105" w:type="dxa"/>
            </w:tcMar>
            <w:vAlign w:val="center"/>
          </w:tcPr>
          <w:p w14:paraId="4E06C78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0BC6BAE9">
            <w:pPr>
              <w:outlineLvl w:val="9"/>
              <w:rPr>
                <w:rFonts w:hint="eastAsia" w:ascii="宋体" w:hAnsi="宋体" w:eastAsia="宋体" w:cs="宋体"/>
                <w:color w:val="auto"/>
                <w:sz w:val="24"/>
                <w:szCs w:val="24"/>
                <w:highlight w:val="none"/>
              </w:rPr>
            </w:pPr>
          </w:p>
        </w:tc>
      </w:tr>
      <w:tr w14:paraId="3F1E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44CA11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98</w:t>
            </w:r>
          </w:p>
        </w:tc>
        <w:tc>
          <w:tcPr>
            <w:tcW w:w="1206" w:type="dxa"/>
            <w:vMerge w:val="continue"/>
            <w:shd w:val="clear" w:color="auto" w:fill="auto"/>
            <w:tcMar>
              <w:top w:w="0" w:type="dxa"/>
              <w:left w:w="105" w:type="dxa"/>
              <w:bottom w:w="0" w:type="dxa"/>
              <w:right w:w="105" w:type="dxa"/>
            </w:tcMar>
            <w:vAlign w:val="center"/>
          </w:tcPr>
          <w:p w14:paraId="440817EF">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4DA2A4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A366FE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预防演练-演练交流共享</w:t>
            </w:r>
          </w:p>
        </w:tc>
        <w:tc>
          <w:tcPr>
            <w:tcW w:w="1700" w:type="dxa"/>
            <w:shd w:val="clear" w:color="auto" w:fill="auto"/>
            <w:tcMar>
              <w:top w:w="0" w:type="dxa"/>
              <w:left w:w="105" w:type="dxa"/>
              <w:bottom w:w="0" w:type="dxa"/>
              <w:right w:w="105" w:type="dxa"/>
            </w:tcMar>
            <w:vAlign w:val="center"/>
          </w:tcPr>
          <w:p w14:paraId="078540E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0CD6739">
            <w:pPr>
              <w:outlineLvl w:val="9"/>
              <w:rPr>
                <w:rFonts w:hint="eastAsia" w:ascii="宋体" w:hAnsi="宋体" w:eastAsia="宋体" w:cs="宋体"/>
                <w:color w:val="auto"/>
                <w:sz w:val="24"/>
                <w:szCs w:val="24"/>
                <w:highlight w:val="none"/>
              </w:rPr>
            </w:pPr>
          </w:p>
        </w:tc>
      </w:tr>
      <w:tr w14:paraId="3A3A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1560CB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99</w:t>
            </w:r>
          </w:p>
        </w:tc>
        <w:tc>
          <w:tcPr>
            <w:tcW w:w="1206" w:type="dxa"/>
            <w:vMerge w:val="continue"/>
            <w:shd w:val="clear" w:color="auto" w:fill="auto"/>
            <w:tcMar>
              <w:top w:w="0" w:type="dxa"/>
              <w:left w:w="105" w:type="dxa"/>
              <w:bottom w:w="0" w:type="dxa"/>
              <w:right w:w="105" w:type="dxa"/>
            </w:tcMar>
            <w:vAlign w:val="center"/>
          </w:tcPr>
          <w:p w14:paraId="20F41091">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3852D10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应急处置-风险评估</w:t>
            </w:r>
          </w:p>
        </w:tc>
        <w:tc>
          <w:tcPr>
            <w:tcW w:w="3124" w:type="dxa"/>
            <w:shd w:val="clear" w:color="auto" w:fill="auto"/>
            <w:tcMar>
              <w:top w:w="0" w:type="dxa"/>
              <w:left w:w="105" w:type="dxa"/>
              <w:bottom w:w="0" w:type="dxa"/>
              <w:right w:w="105" w:type="dxa"/>
            </w:tcMar>
            <w:vAlign w:val="center"/>
          </w:tcPr>
          <w:p w14:paraId="67B4FB2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监控目标管理-防护目标管理</w:t>
            </w:r>
          </w:p>
        </w:tc>
        <w:tc>
          <w:tcPr>
            <w:tcW w:w="1700" w:type="dxa"/>
            <w:shd w:val="clear" w:color="auto" w:fill="auto"/>
            <w:tcMar>
              <w:top w:w="0" w:type="dxa"/>
              <w:left w:w="105" w:type="dxa"/>
              <w:bottom w:w="0" w:type="dxa"/>
              <w:right w:w="105" w:type="dxa"/>
            </w:tcMar>
            <w:vAlign w:val="center"/>
          </w:tcPr>
          <w:p w14:paraId="2E12C1C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6EE31BD">
            <w:pPr>
              <w:outlineLvl w:val="9"/>
              <w:rPr>
                <w:rFonts w:hint="eastAsia" w:ascii="宋体" w:hAnsi="宋体" w:eastAsia="宋体" w:cs="宋体"/>
                <w:color w:val="auto"/>
                <w:sz w:val="24"/>
                <w:szCs w:val="24"/>
                <w:highlight w:val="none"/>
              </w:rPr>
            </w:pPr>
          </w:p>
        </w:tc>
      </w:tr>
      <w:tr w14:paraId="6DFB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A4BFE5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100</w:t>
            </w:r>
          </w:p>
        </w:tc>
        <w:tc>
          <w:tcPr>
            <w:tcW w:w="1206" w:type="dxa"/>
            <w:vMerge w:val="continue"/>
            <w:shd w:val="clear" w:color="auto" w:fill="auto"/>
            <w:tcMar>
              <w:top w:w="0" w:type="dxa"/>
              <w:left w:w="105" w:type="dxa"/>
              <w:bottom w:w="0" w:type="dxa"/>
              <w:right w:w="105" w:type="dxa"/>
            </w:tcMar>
            <w:vAlign w:val="center"/>
          </w:tcPr>
          <w:p w14:paraId="000F8E7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8B0EA86">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919BC3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监控目标管理-危险源管理</w:t>
            </w:r>
          </w:p>
        </w:tc>
        <w:tc>
          <w:tcPr>
            <w:tcW w:w="1700" w:type="dxa"/>
            <w:shd w:val="clear" w:color="auto" w:fill="auto"/>
            <w:tcMar>
              <w:top w:w="0" w:type="dxa"/>
              <w:left w:w="105" w:type="dxa"/>
              <w:bottom w:w="0" w:type="dxa"/>
              <w:right w:w="105" w:type="dxa"/>
            </w:tcMar>
            <w:vAlign w:val="center"/>
          </w:tcPr>
          <w:p w14:paraId="47E19F1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9B9FC47">
            <w:pPr>
              <w:outlineLvl w:val="9"/>
              <w:rPr>
                <w:rFonts w:hint="eastAsia" w:ascii="宋体" w:hAnsi="宋体" w:eastAsia="宋体" w:cs="宋体"/>
                <w:color w:val="auto"/>
                <w:sz w:val="24"/>
                <w:szCs w:val="24"/>
                <w:highlight w:val="none"/>
              </w:rPr>
            </w:pPr>
          </w:p>
        </w:tc>
      </w:tr>
      <w:tr w14:paraId="2E00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4BDE17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101</w:t>
            </w:r>
          </w:p>
        </w:tc>
        <w:tc>
          <w:tcPr>
            <w:tcW w:w="1206" w:type="dxa"/>
            <w:vMerge w:val="continue"/>
            <w:shd w:val="clear" w:color="auto" w:fill="auto"/>
            <w:tcMar>
              <w:top w:w="0" w:type="dxa"/>
              <w:left w:w="105" w:type="dxa"/>
              <w:bottom w:w="0" w:type="dxa"/>
              <w:right w:w="105" w:type="dxa"/>
            </w:tcMar>
            <w:vAlign w:val="center"/>
          </w:tcPr>
          <w:p w14:paraId="170C6D3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C3927F1">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519D3B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风险信息查询-风险区划查询</w:t>
            </w:r>
          </w:p>
        </w:tc>
        <w:tc>
          <w:tcPr>
            <w:tcW w:w="1700" w:type="dxa"/>
            <w:shd w:val="clear" w:color="auto" w:fill="auto"/>
            <w:tcMar>
              <w:top w:w="0" w:type="dxa"/>
              <w:left w:w="105" w:type="dxa"/>
              <w:bottom w:w="0" w:type="dxa"/>
              <w:right w:w="105" w:type="dxa"/>
            </w:tcMar>
            <w:vAlign w:val="center"/>
          </w:tcPr>
          <w:p w14:paraId="06D5BF8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CC9AF56">
            <w:pPr>
              <w:outlineLvl w:val="9"/>
              <w:rPr>
                <w:rFonts w:hint="eastAsia" w:ascii="宋体" w:hAnsi="宋体" w:eastAsia="宋体" w:cs="宋体"/>
                <w:color w:val="auto"/>
                <w:sz w:val="24"/>
                <w:szCs w:val="24"/>
                <w:highlight w:val="none"/>
              </w:rPr>
            </w:pPr>
          </w:p>
        </w:tc>
      </w:tr>
      <w:tr w14:paraId="7806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954DC7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102</w:t>
            </w:r>
          </w:p>
        </w:tc>
        <w:tc>
          <w:tcPr>
            <w:tcW w:w="1206" w:type="dxa"/>
            <w:vMerge w:val="continue"/>
            <w:shd w:val="clear" w:color="auto" w:fill="auto"/>
            <w:tcMar>
              <w:top w:w="0" w:type="dxa"/>
              <w:left w:w="105" w:type="dxa"/>
              <w:bottom w:w="0" w:type="dxa"/>
              <w:right w:w="105" w:type="dxa"/>
            </w:tcMar>
            <w:vAlign w:val="center"/>
          </w:tcPr>
          <w:p w14:paraId="423AD4D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B39827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BEE6EC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风险信息查询-避灾点查询</w:t>
            </w:r>
          </w:p>
        </w:tc>
        <w:tc>
          <w:tcPr>
            <w:tcW w:w="1700" w:type="dxa"/>
            <w:shd w:val="clear" w:color="auto" w:fill="auto"/>
            <w:tcMar>
              <w:top w:w="0" w:type="dxa"/>
              <w:left w:w="105" w:type="dxa"/>
              <w:bottom w:w="0" w:type="dxa"/>
              <w:right w:w="105" w:type="dxa"/>
            </w:tcMar>
            <w:vAlign w:val="center"/>
          </w:tcPr>
          <w:p w14:paraId="441AACD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040317BB">
            <w:pPr>
              <w:outlineLvl w:val="9"/>
              <w:rPr>
                <w:rFonts w:hint="eastAsia" w:ascii="宋体" w:hAnsi="宋体" w:eastAsia="宋体" w:cs="宋体"/>
                <w:color w:val="auto"/>
                <w:sz w:val="24"/>
                <w:szCs w:val="24"/>
                <w:highlight w:val="none"/>
              </w:rPr>
            </w:pPr>
          </w:p>
        </w:tc>
      </w:tr>
      <w:tr w14:paraId="2FD9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8F3999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103</w:t>
            </w:r>
          </w:p>
        </w:tc>
        <w:tc>
          <w:tcPr>
            <w:tcW w:w="1206" w:type="dxa"/>
            <w:vMerge w:val="continue"/>
            <w:shd w:val="clear" w:color="auto" w:fill="auto"/>
            <w:tcMar>
              <w:top w:w="0" w:type="dxa"/>
              <w:left w:w="105" w:type="dxa"/>
              <w:bottom w:w="0" w:type="dxa"/>
              <w:right w:w="105" w:type="dxa"/>
            </w:tcMar>
            <w:vAlign w:val="center"/>
          </w:tcPr>
          <w:p w14:paraId="4DE9467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D1BE7C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26E9C4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风险信息查询-撤离路线分析</w:t>
            </w:r>
          </w:p>
        </w:tc>
        <w:tc>
          <w:tcPr>
            <w:tcW w:w="1700" w:type="dxa"/>
            <w:shd w:val="clear" w:color="auto" w:fill="auto"/>
            <w:tcMar>
              <w:top w:w="0" w:type="dxa"/>
              <w:left w:w="105" w:type="dxa"/>
              <w:bottom w:w="0" w:type="dxa"/>
              <w:right w:w="105" w:type="dxa"/>
            </w:tcMar>
            <w:vAlign w:val="center"/>
          </w:tcPr>
          <w:p w14:paraId="27AB230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58B8C835">
            <w:pPr>
              <w:outlineLvl w:val="9"/>
              <w:rPr>
                <w:rFonts w:hint="eastAsia" w:ascii="宋体" w:hAnsi="宋体" w:eastAsia="宋体" w:cs="宋体"/>
                <w:color w:val="auto"/>
                <w:sz w:val="24"/>
                <w:szCs w:val="24"/>
                <w:highlight w:val="none"/>
              </w:rPr>
            </w:pPr>
          </w:p>
        </w:tc>
      </w:tr>
      <w:tr w14:paraId="5788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43A585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104</w:t>
            </w:r>
          </w:p>
        </w:tc>
        <w:tc>
          <w:tcPr>
            <w:tcW w:w="1206" w:type="dxa"/>
            <w:vMerge w:val="continue"/>
            <w:shd w:val="clear" w:color="auto" w:fill="auto"/>
            <w:tcMar>
              <w:top w:w="0" w:type="dxa"/>
              <w:left w:w="105" w:type="dxa"/>
              <w:bottom w:w="0" w:type="dxa"/>
              <w:right w:w="105" w:type="dxa"/>
            </w:tcMar>
            <w:vAlign w:val="center"/>
          </w:tcPr>
          <w:p w14:paraId="592C275F">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A094613">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6C98EB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风险研判分析-风险信息录入</w:t>
            </w:r>
          </w:p>
        </w:tc>
        <w:tc>
          <w:tcPr>
            <w:tcW w:w="1700" w:type="dxa"/>
            <w:shd w:val="clear" w:color="auto" w:fill="auto"/>
            <w:tcMar>
              <w:top w:w="0" w:type="dxa"/>
              <w:left w:w="105" w:type="dxa"/>
              <w:bottom w:w="0" w:type="dxa"/>
              <w:right w:w="105" w:type="dxa"/>
            </w:tcMar>
            <w:vAlign w:val="center"/>
          </w:tcPr>
          <w:p w14:paraId="4F25AA1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5F3A0053">
            <w:pPr>
              <w:outlineLvl w:val="9"/>
              <w:rPr>
                <w:rFonts w:hint="eastAsia" w:ascii="宋体" w:hAnsi="宋体" w:eastAsia="宋体" w:cs="宋体"/>
                <w:color w:val="auto"/>
                <w:sz w:val="24"/>
                <w:szCs w:val="24"/>
                <w:highlight w:val="none"/>
              </w:rPr>
            </w:pPr>
          </w:p>
        </w:tc>
      </w:tr>
      <w:tr w14:paraId="2071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468F70C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105</w:t>
            </w:r>
          </w:p>
        </w:tc>
        <w:tc>
          <w:tcPr>
            <w:tcW w:w="1206" w:type="dxa"/>
            <w:vMerge w:val="continue"/>
            <w:shd w:val="clear" w:color="auto" w:fill="auto"/>
            <w:tcMar>
              <w:top w:w="0" w:type="dxa"/>
              <w:left w:w="105" w:type="dxa"/>
              <w:bottom w:w="0" w:type="dxa"/>
              <w:right w:w="105" w:type="dxa"/>
            </w:tcMar>
            <w:vAlign w:val="center"/>
          </w:tcPr>
          <w:p w14:paraId="4AF061B6">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2CB25F3">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28B9A7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风险研判分析-风险态势标绘</w:t>
            </w:r>
          </w:p>
        </w:tc>
        <w:tc>
          <w:tcPr>
            <w:tcW w:w="1700" w:type="dxa"/>
            <w:shd w:val="clear" w:color="auto" w:fill="auto"/>
            <w:tcMar>
              <w:top w:w="0" w:type="dxa"/>
              <w:left w:w="105" w:type="dxa"/>
              <w:bottom w:w="0" w:type="dxa"/>
              <w:right w:w="105" w:type="dxa"/>
            </w:tcMar>
            <w:vAlign w:val="center"/>
          </w:tcPr>
          <w:p w14:paraId="5B29F5A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522F5272">
            <w:pPr>
              <w:outlineLvl w:val="9"/>
              <w:rPr>
                <w:rFonts w:hint="eastAsia" w:ascii="宋体" w:hAnsi="宋体" w:eastAsia="宋体" w:cs="宋体"/>
                <w:color w:val="auto"/>
                <w:sz w:val="24"/>
                <w:szCs w:val="24"/>
                <w:highlight w:val="none"/>
              </w:rPr>
            </w:pPr>
          </w:p>
        </w:tc>
      </w:tr>
      <w:tr w14:paraId="16D4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0E8334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106</w:t>
            </w:r>
          </w:p>
        </w:tc>
        <w:tc>
          <w:tcPr>
            <w:tcW w:w="1206" w:type="dxa"/>
            <w:vMerge w:val="continue"/>
            <w:shd w:val="clear" w:color="auto" w:fill="auto"/>
            <w:tcMar>
              <w:top w:w="0" w:type="dxa"/>
              <w:left w:w="105" w:type="dxa"/>
              <w:bottom w:w="0" w:type="dxa"/>
              <w:right w:w="105" w:type="dxa"/>
            </w:tcMar>
            <w:vAlign w:val="center"/>
          </w:tcPr>
          <w:p w14:paraId="44BCC4C3">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07112A4">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0C689B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风险研判分析-风险研判</w:t>
            </w:r>
          </w:p>
        </w:tc>
        <w:tc>
          <w:tcPr>
            <w:tcW w:w="1700" w:type="dxa"/>
            <w:shd w:val="clear" w:color="auto" w:fill="auto"/>
            <w:tcMar>
              <w:top w:w="0" w:type="dxa"/>
              <w:left w:w="105" w:type="dxa"/>
              <w:bottom w:w="0" w:type="dxa"/>
              <w:right w:w="105" w:type="dxa"/>
            </w:tcMar>
            <w:vAlign w:val="center"/>
          </w:tcPr>
          <w:p w14:paraId="48F0646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858B5A5">
            <w:pPr>
              <w:outlineLvl w:val="9"/>
              <w:rPr>
                <w:rFonts w:hint="eastAsia" w:ascii="宋体" w:hAnsi="宋体" w:eastAsia="宋体" w:cs="宋体"/>
                <w:color w:val="auto"/>
                <w:sz w:val="24"/>
                <w:szCs w:val="24"/>
                <w:highlight w:val="none"/>
              </w:rPr>
            </w:pPr>
          </w:p>
        </w:tc>
      </w:tr>
      <w:tr w14:paraId="20EB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FDAAE7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107</w:t>
            </w:r>
          </w:p>
        </w:tc>
        <w:tc>
          <w:tcPr>
            <w:tcW w:w="1206" w:type="dxa"/>
            <w:vMerge w:val="continue"/>
            <w:shd w:val="clear" w:color="auto" w:fill="auto"/>
            <w:tcMar>
              <w:top w:w="0" w:type="dxa"/>
              <w:left w:w="105" w:type="dxa"/>
              <w:bottom w:w="0" w:type="dxa"/>
              <w:right w:w="105" w:type="dxa"/>
            </w:tcMar>
            <w:vAlign w:val="center"/>
          </w:tcPr>
          <w:p w14:paraId="7331841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20E86B2">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1B6EE2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风险研判分析-风险分析统计</w:t>
            </w:r>
          </w:p>
        </w:tc>
        <w:tc>
          <w:tcPr>
            <w:tcW w:w="1700" w:type="dxa"/>
            <w:shd w:val="clear" w:color="auto" w:fill="auto"/>
            <w:tcMar>
              <w:top w:w="0" w:type="dxa"/>
              <w:left w:w="105" w:type="dxa"/>
              <w:bottom w:w="0" w:type="dxa"/>
              <w:right w:w="105" w:type="dxa"/>
            </w:tcMar>
            <w:vAlign w:val="center"/>
          </w:tcPr>
          <w:p w14:paraId="7D76C72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0DA9A6C4">
            <w:pPr>
              <w:outlineLvl w:val="9"/>
              <w:rPr>
                <w:rFonts w:hint="eastAsia" w:ascii="宋体" w:hAnsi="宋体" w:eastAsia="宋体" w:cs="宋体"/>
                <w:color w:val="auto"/>
                <w:sz w:val="24"/>
                <w:szCs w:val="24"/>
                <w:highlight w:val="none"/>
              </w:rPr>
            </w:pPr>
          </w:p>
        </w:tc>
      </w:tr>
      <w:tr w14:paraId="3E8E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0" w:hRule="atLeast"/>
          <w:tblCellSpacing w:w="15" w:type="dxa"/>
        </w:trPr>
        <w:tc>
          <w:tcPr>
            <w:tcW w:w="832" w:type="dxa"/>
            <w:shd w:val="clear" w:color="auto" w:fill="auto"/>
            <w:tcMar>
              <w:top w:w="0" w:type="dxa"/>
              <w:left w:w="105" w:type="dxa"/>
              <w:bottom w:w="0" w:type="dxa"/>
              <w:right w:w="105" w:type="dxa"/>
            </w:tcMar>
            <w:vAlign w:val="center"/>
          </w:tcPr>
          <w:p w14:paraId="4813E41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108</w:t>
            </w:r>
          </w:p>
        </w:tc>
        <w:tc>
          <w:tcPr>
            <w:tcW w:w="1206" w:type="dxa"/>
            <w:vMerge w:val="continue"/>
            <w:shd w:val="clear" w:color="auto" w:fill="auto"/>
            <w:tcMar>
              <w:top w:w="0" w:type="dxa"/>
              <w:left w:w="105" w:type="dxa"/>
              <w:bottom w:w="0" w:type="dxa"/>
              <w:right w:w="105" w:type="dxa"/>
            </w:tcMar>
            <w:vAlign w:val="center"/>
          </w:tcPr>
          <w:p w14:paraId="0962B74C">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8F0848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D716F3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风险评估模型-突发事件风险评估指标</w:t>
            </w:r>
          </w:p>
        </w:tc>
        <w:tc>
          <w:tcPr>
            <w:tcW w:w="1700" w:type="dxa"/>
            <w:shd w:val="clear" w:color="auto" w:fill="auto"/>
            <w:tcMar>
              <w:top w:w="0" w:type="dxa"/>
              <w:left w:w="105" w:type="dxa"/>
              <w:bottom w:w="0" w:type="dxa"/>
              <w:right w:w="105" w:type="dxa"/>
            </w:tcMar>
            <w:vAlign w:val="center"/>
          </w:tcPr>
          <w:p w14:paraId="425F166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6D0D4EE">
            <w:pPr>
              <w:outlineLvl w:val="9"/>
              <w:rPr>
                <w:rFonts w:hint="eastAsia" w:ascii="宋体" w:hAnsi="宋体" w:eastAsia="宋体" w:cs="宋体"/>
                <w:color w:val="auto"/>
                <w:sz w:val="24"/>
                <w:szCs w:val="24"/>
                <w:highlight w:val="none"/>
              </w:rPr>
            </w:pPr>
          </w:p>
        </w:tc>
      </w:tr>
      <w:tr w14:paraId="16B0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F8E0E1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109</w:t>
            </w:r>
          </w:p>
        </w:tc>
        <w:tc>
          <w:tcPr>
            <w:tcW w:w="1206" w:type="dxa"/>
            <w:vMerge w:val="continue"/>
            <w:shd w:val="clear" w:color="auto" w:fill="auto"/>
            <w:tcMar>
              <w:top w:w="0" w:type="dxa"/>
              <w:left w:w="105" w:type="dxa"/>
              <w:bottom w:w="0" w:type="dxa"/>
              <w:right w:w="105" w:type="dxa"/>
            </w:tcMar>
            <w:vAlign w:val="center"/>
          </w:tcPr>
          <w:p w14:paraId="7468017A">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E4DB452">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F8C542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风险评估模型-评估指标管理</w:t>
            </w:r>
          </w:p>
        </w:tc>
        <w:tc>
          <w:tcPr>
            <w:tcW w:w="1700" w:type="dxa"/>
            <w:shd w:val="clear" w:color="auto" w:fill="auto"/>
            <w:tcMar>
              <w:top w:w="0" w:type="dxa"/>
              <w:left w:w="105" w:type="dxa"/>
              <w:bottom w:w="0" w:type="dxa"/>
              <w:right w:w="105" w:type="dxa"/>
            </w:tcMar>
            <w:vAlign w:val="center"/>
          </w:tcPr>
          <w:p w14:paraId="2FEF36D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084A0CB">
            <w:pPr>
              <w:outlineLvl w:val="9"/>
              <w:rPr>
                <w:rFonts w:hint="eastAsia" w:ascii="宋体" w:hAnsi="宋体" w:eastAsia="宋体" w:cs="宋体"/>
                <w:color w:val="auto"/>
                <w:sz w:val="24"/>
                <w:szCs w:val="24"/>
                <w:highlight w:val="none"/>
              </w:rPr>
            </w:pPr>
          </w:p>
        </w:tc>
      </w:tr>
      <w:tr w14:paraId="1000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FFA7E7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110</w:t>
            </w:r>
          </w:p>
        </w:tc>
        <w:tc>
          <w:tcPr>
            <w:tcW w:w="1206" w:type="dxa"/>
            <w:vMerge w:val="continue"/>
            <w:shd w:val="clear" w:color="auto" w:fill="auto"/>
            <w:tcMar>
              <w:top w:w="0" w:type="dxa"/>
              <w:left w:w="105" w:type="dxa"/>
              <w:bottom w:w="0" w:type="dxa"/>
              <w:right w:w="105" w:type="dxa"/>
            </w:tcMar>
            <w:vAlign w:val="center"/>
          </w:tcPr>
          <w:p w14:paraId="2B932FB4">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F463FF2">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332761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风险评估模型-评估公式管理</w:t>
            </w:r>
          </w:p>
        </w:tc>
        <w:tc>
          <w:tcPr>
            <w:tcW w:w="1700" w:type="dxa"/>
            <w:shd w:val="clear" w:color="auto" w:fill="auto"/>
            <w:tcMar>
              <w:top w:w="0" w:type="dxa"/>
              <w:left w:w="105" w:type="dxa"/>
              <w:bottom w:w="0" w:type="dxa"/>
              <w:right w:w="105" w:type="dxa"/>
            </w:tcMar>
            <w:vAlign w:val="center"/>
          </w:tcPr>
          <w:p w14:paraId="1F8161B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91341A6">
            <w:pPr>
              <w:outlineLvl w:val="9"/>
              <w:rPr>
                <w:rFonts w:hint="eastAsia" w:ascii="宋体" w:hAnsi="宋体" w:eastAsia="宋体" w:cs="宋体"/>
                <w:color w:val="auto"/>
                <w:sz w:val="24"/>
                <w:szCs w:val="24"/>
                <w:highlight w:val="none"/>
              </w:rPr>
            </w:pPr>
          </w:p>
        </w:tc>
      </w:tr>
      <w:tr w14:paraId="033E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B2BA7B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111</w:t>
            </w:r>
          </w:p>
        </w:tc>
        <w:tc>
          <w:tcPr>
            <w:tcW w:w="1206" w:type="dxa"/>
            <w:vMerge w:val="continue"/>
            <w:shd w:val="clear" w:color="auto" w:fill="auto"/>
            <w:tcMar>
              <w:top w:w="0" w:type="dxa"/>
              <w:left w:w="105" w:type="dxa"/>
              <w:bottom w:w="0" w:type="dxa"/>
              <w:right w:w="105" w:type="dxa"/>
            </w:tcMar>
            <w:vAlign w:val="center"/>
          </w:tcPr>
          <w:p w14:paraId="117EF9B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2B93DEC">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6F759E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风险评估模型-评估方法管理</w:t>
            </w:r>
          </w:p>
        </w:tc>
        <w:tc>
          <w:tcPr>
            <w:tcW w:w="1700" w:type="dxa"/>
            <w:shd w:val="clear" w:color="auto" w:fill="auto"/>
            <w:tcMar>
              <w:top w:w="0" w:type="dxa"/>
              <w:left w:w="105" w:type="dxa"/>
              <w:bottom w:w="0" w:type="dxa"/>
              <w:right w:w="105" w:type="dxa"/>
            </w:tcMar>
            <w:vAlign w:val="center"/>
          </w:tcPr>
          <w:p w14:paraId="4CEC82B6">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585BC76">
            <w:pPr>
              <w:outlineLvl w:val="9"/>
              <w:rPr>
                <w:rFonts w:hint="eastAsia" w:ascii="宋体" w:hAnsi="宋体" w:eastAsia="宋体" w:cs="宋体"/>
                <w:color w:val="auto"/>
                <w:sz w:val="24"/>
                <w:szCs w:val="24"/>
                <w:highlight w:val="none"/>
              </w:rPr>
            </w:pPr>
          </w:p>
        </w:tc>
      </w:tr>
      <w:tr w14:paraId="5D45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BEAE5D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112</w:t>
            </w:r>
          </w:p>
        </w:tc>
        <w:tc>
          <w:tcPr>
            <w:tcW w:w="1206" w:type="dxa"/>
            <w:vMerge w:val="continue"/>
            <w:shd w:val="clear" w:color="auto" w:fill="auto"/>
            <w:tcMar>
              <w:top w:w="0" w:type="dxa"/>
              <w:left w:w="105" w:type="dxa"/>
              <w:bottom w:w="0" w:type="dxa"/>
              <w:right w:w="105" w:type="dxa"/>
            </w:tcMar>
            <w:vAlign w:val="center"/>
          </w:tcPr>
          <w:p w14:paraId="17B06D2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AF3B77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84B902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风险报告管理</w:t>
            </w:r>
          </w:p>
        </w:tc>
        <w:tc>
          <w:tcPr>
            <w:tcW w:w="1700" w:type="dxa"/>
            <w:shd w:val="clear" w:color="auto" w:fill="auto"/>
            <w:tcMar>
              <w:top w:w="0" w:type="dxa"/>
              <w:left w:w="105" w:type="dxa"/>
              <w:bottom w:w="0" w:type="dxa"/>
              <w:right w:w="105" w:type="dxa"/>
            </w:tcMar>
            <w:vAlign w:val="center"/>
          </w:tcPr>
          <w:p w14:paraId="6CB766F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0AFBF47">
            <w:pPr>
              <w:outlineLvl w:val="9"/>
              <w:rPr>
                <w:rFonts w:hint="eastAsia" w:ascii="宋体" w:hAnsi="宋体" w:eastAsia="宋体" w:cs="宋体"/>
                <w:color w:val="auto"/>
                <w:sz w:val="24"/>
                <w:szCs w:val="24"/>
                <w:highlight w:val="none"/>
              </w:rPr>
            </w:pPr>
          </w:p>
        </w:tc>
      </w:tr>
      <w:tr w14:paraId="4CD8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F9C5BC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113</w:t>
            </w:r>
          </w:p>
        </w:tc>
        <w:tc>
          <w:tcPr>
            <w:tcW w:w="1206" w:type="dxa"/>
            <w:vMerge w:val="continue"/>
            <w:shd w:val="clear" w:color="auto" w:fill="auto"/>
            <w:tcMar>
              <w:top w:w="0" w:type="dxa"/>
              <w:left w:w="105" w:type="dxa"/>
              <w:bottom w:w="0" w:type="dxa"/>
              <w:right w:w="105" w:type="dxa"/>
            </w:tcMar>
            <w:vAlign w:val="center"/>
          </w:tcPr>
          <w:p w14:paraId="44AAD08B">
            <w:pPr>
              <w:outlineLvl w:val="9"/>
              <w:rPr>
                <w:rFonts w:hint="eastAsia" w:ascii="宋体" w:hAnsi="宋体" w:eastAsia="宋体" w:cs="宋体"/>
                <w:color w:val="auto"/>
                <w:sz w:val="24"/>
                <w:szCs w:val="24"/>
                <w:highlight w:val="none"/>
              </w:rPr>
            </w:pPr>
          </w:p>
        </w:tc>
        <w:tc>
          <w:tcPr>
            <w:tcW w:w="887" w:type="dxa"/>
            <w:vMerge w:val="restart"/>
            <w:shd w:val="clear" w:color="auto" w:fill="auto"/>
            <w:tcMar>
              <w:top w:w="0" w:type="dxa"/>
              <w:left w:w="105" w:type="dxa"/>
              <w:bottom w:w="0" w:type="dxa"/>
              <w:right w:w="105" w:type="dxa"/>
            </w:tcMar>
            <w:vAlign w:val="center"/>
          </w:tcPr>
          <w:p w14:paraId="31BB31C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应急处置-指挥联动</w:t>
            </w:r>
          </w:p>
        </w:tc>
        <w:tc>
          <w:tcPr>
            <w:tcW w:w="3124" w:type="dxa"/>
            <w:shd w:val="clear" w:color="auto" w:fill="auto"/>
            <w:tcMar>
              <w:top w:w="0" w:type="dxa"/>
              <w:left w:w="105" w:type="dxa"/>
              <w:bottom w:w="0" w:type="dxa"/>
              <w:right w:w="105" w:type="dxa"/>
            </w:tcMar>
            <w:vAlign w:val="center"/>
          </w:tcPr>
          <w:p w14:paraId="18274BB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指挥体系联动-组织体系管理</w:t>
            </w:r>
          </w:p>
        </w:tc>
        <w:tc>
          <w:tcPr>
            <w:tcW w:w="1700" w:type="dxa"/>
            <w:shd w:val="clear" w:color="auto" w:fill="auto"/>
            <w:tcMar>
              <w:top w:w="0" w:type="dxa"/>
              <w:left w:w="105" w:type="dxa"/>
              <w:bottom w:w="0" w:type="dxa"/>
              <w:right w:w="105" w:type="dxa"/>
            </w:tcMar>
            <w:vAlign w:val="center"/>
          </w:tcPr>
          <w:p w14:paraId="389024C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128AA40">
            <w:pPr>
              <w:outlineLvl w:val="9"/>
              <w:rPr>
                <w:rFonts w:hint="eastAsia" w:ascii="宋体" w:hAnsi="宋体" w:eastAsia="宋体" w:cs="宋体"/>
                <w:color w:val="auto"/>
                <w:sz w:val="24"/>
                <w:szCs w:val="24"/>
                <w:highlight w:val="none"/>
              </w:rPr>
            </w:pPr>
          </w:p>
        </w:tc>
      </w:tr>
      <w:tr w14:paraId="63AA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011EB2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114</w:t>
            </w:r>
          </w:p>
        </w:tc>
        <w:tc>
          <w:tcPr>
            <w:tcW w:w="1206" w:type="dxa"/>
            <w:vMerge w:val="continue"/>
            <w:shd w:val="clear" w:color="auto" w:fill="auto"/>
            <w:tcMar>
              <w:top w:w="0" w:type="dxa"/>
              <w:left w:w="105" w:type="dxa"/>
              <w:bottom w:w="0" w:type="dxa"/>
              <w:right w:w="105" w:type="dxa"/>
            </w:tcMar>
            <w:vAlign w:val="center"/>
          </w:tcPr>
          <w:p w14:paraId="7B39BD1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361B12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4B632C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指挥体系联动-信息自动关联</w:t>
            </w:r>
          </w:p>
        </w:tc>
        <w:tc>
          <w:tcPr>
            <w:tcW w:w="1700" w:type="dxa"/>
            <w:shd w:val="clear" w:color="auto" w:fill="auto"/>
            <w:tcMar>
              <w:top w:w="0" w:type="dxa"/>
              <w:left w:w="105" w:type="dxa"/>
              <w:bottom w:w="0" w:type="dxa"/>
              <w:right w:w="105" w:type="dxa"/>
            </w:tcMar>
            <w:vAlign w:val="center"/>
          </w:tcPr>
          <w:p w14:paraId="5EE2FCA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E67D8D0">
            <w:pPr>
              <w:outlineLvl w:val="9"/>
              <w:rPr>
                <w:rFonts w:hint="eastAsia" w:ascii="宋体" w:hAnsi="宋体" w:eastAsia="宋体" w:cs="宋体"/>
                <w:color w:val="auto"/>
                <w:sz w:val="24"/>
                <w:szCs w:val="24"/>
                <w:highlight w:val="none"/>
              </w:rPr>
            </w:pPr>
          </w:p>
        </w:tc>
      </w:tr>
      <w:tr w14:paraId="0511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F03A1F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115</w:t>
            </w:r>
          </w:p>
        </w:tc>
        <w:tc>
          <w:tcPr>
            <w:tcW w:w="1206" w:type="dxa"/>
            <w:vMerge w:val="continue"/>
            <w:shd w:val="clear" w:color="auto" w:fill="auto"/>
            <w:tcMar>
              <w:top w:w="0" w:type="dxa"/>
              <w:left w:w="105" w:type="dxa"/>
              <w:bottom w:w="0" w:type="dxa"/>
              <w:right w:w="105" w:type="dxa"/>
            </w:tcMar>
            <w:vAlign w:val="center"/>
          </w:tcPr>
          <w:p w14:paraId="7F3A5124">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DF4A9ED">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FA7D9E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指挥体系联动-信息快速检索</w:t>
            </w:r>
          </w:p>
        </w:tc>
        <w:tc>
          <w:tcPr>
            <w:tcW w:w="1700" w:type="dxa"/>
            <w:shd w:val="clear" w:color="auto" w:fill="auto"/>
            <w:tcMar>
              <w:top w:w="0" w:type="dxa"/>
              <w:left w:w="105" w:type="dxa"/>
              <w:bottom w:w="0" w:type="dxa"/>
              <w:right w:w="105" w:type="dxa"/>
            </w:tcMar>
            <w:vAlign w:val="center"/>
          </w:tcPr>
          <w:p w14:paraId="1DDA6A7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5F97F32">
            <w:pPr>
              <w:outlineLvl w:val="9"/>
              <w:rPr>
                <w:rFonts w:hint="eastAsia" w:ascii="宋体" w:hAnsi="宋体" w:eastAsia="宋体" w:cs="宋体"/>
                <w:color w:val="auto"/>
                <w:sz w:val="24"/>
                <w:szCs w:val="24"/>
                <w:highlight w:val="none"/>
              </w:rPr>
            </w:pPr>
          </w:p>
        </w:tc>
      </w:tr>
      <w:tr w14:paraId="5E5E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D911C5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116</w:t>
            </w:r>
          </w:p>
        </w:tc>
        <w:tc>
          <w:tcPr>
            <w:tcW w:w="1206" w:type="dxa"/>
            <w:vMerge w:val="continue"/>
            <w:shd w:val="clear" w:color="auto" w:fill="auto"/>
            <w:tcMar>
              <w:top w:w="0" w:type="dxa"/>
              <w:left w:w="105" w:type="dxa"/>
              <w:bottom w:w="0" w:type="dxa"/>
              <w:right w:w="105" w:type="dxa"/>
            </w:tcMar>
            <w:vAlign w:val="center"/>
          </w:tcPr>
          <w:p w14:paraId="6340C26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60F7F78">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545531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指挥体系联动-指挥保障体系</w:t>
            </w:r>
          </w:p>
        </w:tc>
        <w:tc>
          <w:tcPr>
            <w:tcW w:w="1700" w:type="dxa"/>
            <w:shd w:val="clear" w:color="auto" w:fill="auto"/>
            <w:tcMar>
              <w:top w:w="0" w:type="dxa"/>
              <w:left w:w="105" w:type="dxa"/>
              <w:bottom w:w="0" w:type="dxa"/>
              <w:right w:w="105" w:type="dxa"/>
            </w:tcMar>
            <w:vAlign w:val="center"/>
          </w:tcPr>
          <w:p w14:paraId="7C5A32B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52FEE71">
            <w:pPr>
              <w:outlineLvl w:val="9"/>
              <w:rPr>
                <w:rFonts w:hint="eastAsia" w:ascii="宋体" w:hAnsi="宋体" w:eastAsia="宋体" w:cs="宋体"/>
                <w:color w:val="auto"/>
                <w:sz w:val="24"/>
                <w:szCs w:val="24"/>
                <w:highlight w:val="none"/>
              </w:rPr>
            </w:pPr>
          </w:p>
        </w:tc>
      </w:tr>
      <w:tr w14:paraId="23C3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4B1078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117</w:t>
            </w:r>
          </w:p>
        </w:tc>
        <w:tc>
          <w:tcPr>
            <w:tcW w:w="1206" w:type="dxa"/>
            <w:vMerge w:val="continue"/>
            <w:shd w:val="clear" w:color="auto" w:fill="auto"/>
            <w:tcMar>
              <w:top w:w="0" w:type="dxa"/>
              <w:left w:w="105" w:type="dxa"/>
              <w:bottom w:w="0" w:type="dxa"/>
              <w:right w:w="105" w:type="dxa"/>
            </w:tcMar>
            <w:vAlign w:val="center"/>
          </w:tcPr>
          <w:p w14:paraId="3B7636A4">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F61509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377773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指挥体系联动-指挥管理理体系</w:t>
            </w:r>
          </w:p>
        </w:tc>
        <w:tc>
          <w:tcPr>
            <w:tcW w:w="1700" w:type="dxa"/>
            <w:shd w:val="clear" w:color="auto" w:fill="auto"/>
            <w:tcMar>
              <w:top w:w="0" w:type="dxa"/>
              <w:left w:w="105" w:type="dxa"/>
              <w:bottom w:w="0" w:type="dxa"/>
              <w:right w:w="105" w:type="dxa"/>
            </w:tcMar>
            <w:vAlign w:val="center"/>
          </w:tcPr>
          <w:p w14:paraId="1BB697E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53A5AA5">
            <w:pPr>
              <w:outlineLvl w:val="9"/>
              <w:rPr>
                <w:rFonts w:hint="eastAsia" w:ascii="宋体" w:hAnsi="宋体" w:eastAsia="宋体" w:cs="宋体"/>
                <w:color w:val="auto"/>
                <w:sz w:val="24"/>
                <w:szCs w:val="24"/>
                <w:highlight w:val="none"/>
              </w:rPr>
            </w:pPr>
          </w:p>
        </w:tc>
      </w:tr>
      <w:tr w14:paraId="412F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8AF6D7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118</w:t>
            </w:r>
          </w:p>
        </w:tc>
        <w:tc>
          <w:tcPr>
            <w:tcW w:w="1206" w:type="dxa"/>
            <w:vMerge w:val="continue"/>
            <w:shd w:val="clear" w:color="auto" w:fill="auto"/>
            <w:tcMar>
              <w:top w:w="0" w:type="dxa"/>
              <w:left w:w="105" w:type="dxa"/>
              <w:bottom w:w="0" w:type="dxa"/>
              <w:right w:w="105" w:type="dxa"/>
            </w:tcMar>
            <w:vAlign w:val="center"/>
          </w:tcPr>
          <w:p w14:paraId="5AE2103E">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1A06B87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478FD95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资源调动联动-视频资源调度</w:t>
            </w:r>
          </w:p>
        </w:tc>
        <w:tc>
          <w:tcPr>
            <w:tcW w:w="1700" w:type="dxa"/>
            <w:shd w:val="clear" w:color="auto" w:fill="auto"/>
            <w:tcMar>
              <w:top w:w="0" w:type="dxa"/>
              <w:left w:w="105" w:type="dxa"/>
              <w:bottom w:w="0" w:type="dxa"/>
              <w:right w:w="105" w:type="dxa"/>
            </w:tcMar>
            <w:vAlign w:val="center"/>
          </w:tcPr>
          <w:p w14:paraId="71836C3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9A5A5F6">
            <w:pPr>
              <w:outlineLvl w:val="9"/>
              <w:rPr>
                <w:rFonts w:hint="eastAsia" w:ascii="宋体" w:hAnsi="宋体" w:eastAsia="宋体" w:cs="宋体"/>
                <w:color w:val="auto"/>
                <w:sz w:val="24"/>
                <w:szCs w:val="24"/>
                <w:highlight w:val="none"/>
              </w:rPr>
            </w:pPr>
          </w:p>
        </w:tc>
      </w:tr>
      <w:tr w14:paraId="2D69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2A02D80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119</w:t>
            </w:r>
          </w:p>
        </w:tc>
        <w:tc>
          <w:tcPr>
            <w:tcW w:w="1206" w:type="dxa"/>
            <w:vMerge w:val="continue"/>
            <w:shd w:val="clear" w:color="auto" w:fill="auto"/>
            <w:tcMar>
              <w:top w:w="0" w:type="dxa"/>
              <w:left w:w="105" w:type="dxa"/>
              <w:bottom w:w="0" w:type="dxa"/>
              <w:right w:w="105" w:type="dxa"/>
            </w:tcMar>
            <w:vAlign w:val="center"/>
          </w:tcPr>
          <w:p w14:paraId="273902FE">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3EF9418">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E4C745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资源调动联动-应急力量调度</w:t>
            </w:r>
          </w:p>
        </w:tc>
        <w:tc>
          <w:tcPr>
            <w:tcW w:w="1700" w:type="dxa"/>
            <w:shd w:val="clear" w:color="auto" w:fill="auto"/>
            <w:tcMar>
              <w:top w:w="0" w:type="dxa"/>
              <w:left w:w="105" w:type="dxa"/>
              <w:bottom w:w="0" w:type="dxa"/>
              <w:right w:w="105" w:type="dxa"/>
            </w:tcMar>
            <w:vAlign w:val="center"/>
          </w:tcPr>
          <w:p w14:paraId="2CD0B73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10D6A70">
            <w:pPr>
              <w:outlineLvl w:val="9"/>
              <w:rPr>
                <w:rFonts w:hint="eastAsia" w:ascii="宋体" w:hAnsi="宋体" w:eastAsia="宋体" w:cs="宋体"/>
                <w:color w:val="auto"/>
                <w:sz w:val="24"/>
                <w:szCs w:val="24"/>
                <w:highlight w:val="none"/>
              </w:rPr>
            </w:pPr>
          </w:p>
        </w:tc>
      </w:tr>
      <w:tr w14:paraId="106C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CAFFC4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120</w:t>
            </w:r>
          </w:p>
        </w:tc>
        <w:tc>
          <w:tcPr>
            <w:tcW w:w="1206" w:type="dxa"/>
            <w:vMerge w:val="continue"/>
            <w:shd w:val="clear" w:color="auto" w:fill="auto"/>
            <w:tcMar>
              <w:top w:w="0" w:type="dxa"/>
              <w:left w:w="105" w:type="dxa"/>
              <w:bottom w:w="0" w:type="dxa"/>
              <w:right w:w="105" w:type="dxa"/>
            </w:tcMar>
            <w:vAlign w:val="center"/>
          </w:tcPr>
          <w:p w14:paraId="25FD1C9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1211EAD">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0C78D73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资源调动联动-通信资源调度</w:t>
            </w:r>
          </w:p>
        </w:tc>
        <w:tc>
          <w:tcPr>
            <w:tcW w:w="1700" w:type="dxa"/>
            <w:shd w:val="clear" w:color="auto" w:fill="auto"/>
            <w:tcMar>
              <w:top w:w="0" w:type="dxa"/>
              <w:left w:w="105" w:type="dxa"/>
              <w:bottom w:w="0" w:type="dxa"/>
              <w:right w:w="105" w:type="dxa"/>
            </w:tcMar>
            <w:vAlign w:val="center"/>
          </w:tcPr>
          <w:p w14:paraId="296489B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2952AB5">
            <w:pPr>
              <w:outlineLvl w:val="9"/>
              <w:rPr>
                <w:rFonts w:hint="eastAsia" w:ascii="宋体" w:hAnsi="宋体" w:eastAsia="宋体" w:cs="宋体"/>
                <w:color w:val="auto"/>
                <w:sz w:val="24"/>
                <w:szCs w:val="24"/>
                <w:highlight w:val="none"/>
              </w:rPr>
            </w:pPr>
          </w:p>
        </w:tc>
      </w:tr>
      <w:tr w14:paraId="4223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6BA16B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121</w:t>
            </w:r>
          </w:p>
        </w:tc>
        <w:tc>
          <w:tcPr>
            <w:tcW w:w="1206" w:type="dxa"/>
            <w:vMerge w:val="continue"/>
            <w:shd w:val="clear" w:color="auto" w:fill="auto"/>
            <w:tcMar>
              <w:top w:w="0" w:type="dxa"/>
              <w:left w:w="105" w:type="dxa"/>
              <w:bottom w:w="0" w:type="dxa"/>
              <w:right w:w="105" w:type="dxa"/>
            </w:tcMar>
            <w:vAlign w:val="center"/>
          </w:tcPr>
          <w:p w14:paraId="1DC1BB9C">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477CB8F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50D7E6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资源调动联动-物资资源调度</w:t>
            </w:r>
          </w:p>
        </w:tc>
        <w:tc>
          <w:tcPr>
            <w:tcW w:w="1700" w:type="dxa"/>
            <w:shd w:val="clear" w:color="auto" w:fill="auto"/>
            <w:tcMar>
              <w:top w:w="0" w:type="dxa"/>
              <w:left w:w="105" w:type="dxa"/>
              <w:bottom w:w="0" w:type="dxa"/>
              <w:right w:w="105" w:type="dxa"/>
            </w:tcMar>
            <w:vAlign w:val="center"/>
          </w:tcPr>
          <w:p w14:paraId="657EB2F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8A12D5B">
            <w:pPr>
              <w:outlineLvl w:val="9"/>
              <w:rPr>
                <w:rFonts w:hint="eastAsia" w:ascii="宋体" w:hAnsi="宋体" w:eastAsia="宋体" w:cs="宋体"/>
                <w:color w:val="auto"/>
                <w:sz w:val="24"/>
                <w:szCs w:val="24"/>
                <w:highlight w:val="none"/>
              </w:rPr>
            </w:pPr>
          </w:p>
        </w:tc>
      </w:tr>
      <w:tr w14:paraId="6812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44FDB8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122</w:t>
            </w:r>
          </w:p>
        </w:tc>
        <w:tc>
          <w:tcPr>
            <w:tcW w:w="1206" w:type="dxa"/>
            <w:vMerge w:val="continue"/>
            <w:shd w:val="clear" w:color="auto" w:fill="auto"/>
            <w:tcMar>
              <w:top w:w="0" w:type="dxa"/>
              <w:left w:w="105" w:type="dxa"/>
              <w:bottom w:w="0" w:type="dxa"/>
              <w:right w:w="105" w:type="dxa"/>
            </w:tcMar>
            <w:vAlign w:val="center"/>
          </w:tcPr>
          <w:p w14:paraId="20BAA1BB">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8D3581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11590A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资源调动联动-交通运输调度</w:t>
            </w:r>
          </w:p>
        </w:tc>
        <w:tc>
          <w:tcPr>
            <w:tcW w:w="1700" w:type="dxa"/>
            <w:shd w:val="clear" w:color="auto" w:fill="auto"/>
            <w:tcMar>
              <w:top w:w="0" w:type="dxa"/>
              <w:left w:w="105" w:type="dxa"/>
              <w:bottom w:w="0" w:type="dxa"/>
              <w:right w:w="105" w:type="dxa"/>
            </w:tcMar>
            <w:vAlign w:val="center"/>
          </w:tcPr>
          <w:p w14:paraId="388320D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A39A3BA">
            <w:pPr>
              <w:outlineLvl w:val="9"/>
              <w:rPr>
                <w:rFonts w:hint="eastAsia" w:ascii="宋体" w:hAnsi="宋体" w:eastAsia="宋体" w:cs="宋体"/>
                <w:color w:val="auto"/>
                <w:sz w:val="24"/>
                <w:szCs w:val="24"/>
                <w:highlight w:val="none"/>
              </w:rPr>
            </w:pPr>
          </w:p>
        </w:tc>
      </w:tr>
      <w:tr w14:paraId="7649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3DD89E8">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123</w:t>
            </w:r>
          </w:p>
        </w:tc>
        <w:tc>
          <w:tcPr>
            <w:tcW w:w="1206" w:type="dxa"/>
            <w:vMerge w:val="continue"/>
            <w:shd w:val="clear" w:color="auto" w:fill="auto"/>
            <w:tcMar>
              <w:top w:w="0" w:type="dxa"/>
              <w:left w:w="105" w:type="dxa"/>
              <w:bottom w:w="0" w:type="dxa"/>
              <w:right w:w="105" w:type="dxa"/>
            </w:tcMar>
            <w:vAlign w:val="center"/>
          </w:tcPr>
          <w:p w14:paraId="65705FB8">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21FC63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D78EC3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资源调动联动-人员防护管理</w:t>
            </w:r>
          </w:p>
        </w:tc>
        <w:tc>
          <w:tcPr>
            <w:tcW w:w="1700" w:type="dxa"/>
            <w:shd w:val="clear" w:color="auto" w:fill="auto"/>
            <w:tcMar>
              <w:top w:w="0" w:type="dxa"/>
              <w:left w:w="105" w:type="dxa"/>
              <w:bottom w:w="0" w:type="dxa"/>
              <w:right w:w="105" w:type="dxa"/>
            </w:tcMar>
            <w:vAlign w:val="center"/>
          </w:tcPr>
          <w:p w14:paraId="78CBC83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65D76E2">
            <w:pPr>
              <w:outlineLvl w:val="9"/>
              <w:rPr>
                <w:rFonts w:hint="eastAsia" w:ascii="宋体" w:hAnsi="宋体" w:eastAsia="宋体" w:cs="宋体"/>
                <w:color w:val="auto"/>
                <w:sz w:val="24"/>
                <w:szCs w:val="24"/>
                <w:highlight w:val="none"/>
              </w:rPr>
            </w:pPr>
          </w:p>
        </w:tc>
      </w:tr>
      <w:tr w14:paraId="3A12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840A367">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124</w:t>
            </w:r>
          </w:p>
        </w:tc>
        <w:tc>
          <w:tcPr>
            <w:tcW w:w="1206" w:type="dxa"/>
            <w:vMerge w:val="continue"/>
            <w:shd w:val="clear" w:color="auto" w:fill="auto"/>
            <w:tcMar>
              <w:top w:w="0" w:type="dxa"/>
              <w:left w:w="105" w:type="dxa"/>
              <w:bottom w:w="0" w:type="dxa"/>
              <w:right w:w="105" w:type="dxa"/>
            </w:tcMar>
            <w:vAlign w:val="center"/>
          </w:tcPr>
          <w:p w14:paraId="39A2BFEF">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662FFA6">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546752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资源调动联动-医疗保障管理</w:t>
            </w:r>
          </w:p>
        </w:tc>
        <w:tc>
          <w:tcPr>
            <w:tcW w:w="1700" w:type="dxa"/>
            <w:shd w:val="clear" w:color="auto" w:fill="auto"/>
            <w:tcMar>
              <w:top w:w="0" w:type="dxa"/>
              <w:left w:w="105" w:type="dxa"/>
              <w:bottom w:w="0" w:type="dxa"/>
              <w:right w:w="105" w:type="dxa"/>
            </w:tcMar>
            <w:vAlign w:val="center"/>
          </w:tcPr>
          <w:p w14:paraId="1FEFC31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082CDA5C">
            <w:pPr>
              <w:outlineLvl w:val="9"/>
              <w:rPr>
                <w:rFonts w:hint="eastAsia" w:ascii="宋体" w:hAnsi="宋体" w:eastAsia="宋体" w:cs="宋体"/>
                <w:color w:val="auto"/>
                <w:sz w:val="24"/>
                <w:szCs w:val="24"/>
                <w:highlight w:val="none"/>
              </w:rPr>
            </w:pPr>
          </w:p>
        </w:tc>
      </w:tr>
      <w:tr w14:paraId="394B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907111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125</w:t>
            </w:r>
          </w:p>
        </w:tc>
        <w:tc>
          <w:tcPr>
            <w:tcW w:w="1206" w:type="dxa"/>
            <w:vMerge w:val="continue"/>
            <w:shd w:val="clear" w:color="auto" w:fill="auto"/>
            <w:tcMar>
              <w:top w:w="0" w:type="dxa"/>
              <w:left w:w="105" w:type="dxa"/>
              <w:bottom w:w="0" w:type="dxa"/>
              <w:right w:w="105" w:type="dxa"/>
            </w:tcMar>
            <w:vAlign w:val="center"/>
          </w:tcPr>
          <w:p w14:paraId="08E5B10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0801CE2">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6D5FFB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消息服务联动-通知公告</w:t>
            </w:r>
          </w:p>
        </w:tc>
        <w:tc>
          <w:tcPr>
            <w:tcW w:w="1700" w:type="dxa"/>
            <w:shd w:val="clear" w:color="auto" w:fill="auto"/>
            <w:tcMar>
              <w:top w:w="0" w:type="dxa"/>
              <w:left w:w="105" w:type="dxa"/>
              <w:bottom w:w="0" w:type="dxa"/>
              <w:right w:w="105" w:type="dxa"/>
            </w:tcMar>
            <w:vAlign w:val="center"/>
          </w:tcPr>
          <w:p w14:paraId="4D202E1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EDB2B4E">
            <w:pPr>
              <w:outlineLvl w:val="9"/>
              <w:rPr>
                <w:rFonts w:hint="eastAsia" w:ascii="宋体" w:hAnsi="宋体" w:eastAsia="宋体" w:cs="宋体"/>
                <w:color w:val="auto"/>
                <w:sz w:val="24"/>
                <w:szCs w:val="24"/>
                <w:highlight w:val="none"/>
              </w:rPr>
            </w:pPr>
          </w:p>
        </w:tc>
      </w:tr>
      <w:tr w14:paraId="180F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BB092E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126</w:t>
            </w:r>
          </w:p>
        </w:tc>
        <w:tc>
          <w:tcPr>
            <w:tcW w:w="1206" w:type="dxa"/>
            <w:vMerge w:val="continue"/>
            <w:shd w:val="clear" w:color="auto" w:fill="auto"/>
            <w:tcMar>
              <w:top w:w="0" w:type="dxa"/>
              <w:left w:w="105" w:type="dxa"/>
              <w:bottom w:w="0" w:type="dxa"/>
              <w:right w:w="105" w:type="dxa"/>
            </w:tcMar>
            <w:vAlign w:val="center"/>
          </w:tcPr>
          <w:p w14:paraId="2C48958C">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4651A6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852637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消息服务联动-指令下达</w:t>
            </w:r>
          </w:p>
        </w:tc>
        <w:tc>
          <w:tcPr>
            <w:tcW w:w="1700" w:type="dxa"/>
            <w:shd w:val="clear" w:color="auto" w:fill="auto"/>
            <w:tcMar>
              <w:top w:w="0" w:type="dxa"/>
              <w:left w:w="105" w:type="dxa"/>
              <w:bottom w:w="0" w:type="dxa"/>
              <w:right w:w="105" w:type="dxa"/>
            </w:tcMar>
            <w:vAlign w:val="center"/>
          </w:tcPr>
          <w:p w14:paraId="2F39A8C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8B7365C">
            <w:pPr>
              <w:outlineLvl w:val="9"/>
              <w:rPr>
                <w:rFonts w:hint="eastAsia" w:ascii="宋体" w:hAnsi="宋体" w:eastAsia="宋体" w:cs="宋体"/>
                <w:color w:val="auto"/>
                <w:sz w:val="24"/>
                <w:szCs w:val="24"/>
                <w:highlight w:val="none"/>
              </w:rPr>
            </w:pPr>
          </w:p>
        </w:tc>
      </w:tr>
      <w:tr w14:paraId="1535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F35C363">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127</w:t>
            </w:r>
          </w:p>
        </w:tc>
        <w:tc>
          <w:tcPr>
            <w:tcW w:w="1206" w:type="dxa"/>
            <w:vMerge w:val="continue"/>
            <w:shd w:val="clear" w:color="auto" w:fill="auto"/>
            <w:tcMar>
              <w:top w:w="0" w:type="dxa"/>
              <w:left w:w="105" w:type="dxa"/>
              <w:bottom w:w="0" w:type="dxa"/>
              <w:right w:w="105" w:type="dxa"/>
            </w:tcMar>
            <w:vAlign w:val="center"/>
          </w:tcPr>
          <w:p w14:paraId="537CBB9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62660930">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9663C0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消息服务联动-短信服务</w:t>
            </w:r>
          </w:p>
        </w:tc>
        <w:tc>
          <w:tcPr>
            <w:tcW w:w="1700" w:type="dxa"/>
            <w:shd w:val="clear" w:color="auto" w:fill="auto"/>
            <w:tcMar>
              <w:top w:w="0" w:type="dxa"/>
              <w:left w:w="105" w:type="dxa"/>
              <w:bottom w:w="0" w:type="dxa"/>
              <w:right w:w="105" w:type="dxa"/>
            </w:tcMar>
            <w:vAlign w:val="center"/>
          </w:tcPr>
          <w:p w14:paraId="31F711F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6EE844C">
            <w:pPr>
              <w:outlineLvl w:val="9"/>
              <w:rPr>
                <w:rFonts w:hint="eastAsia" w:ascii="宋体" w:hAnsi="宋体" w:eastAsia="宋体" w:cs="宋体"/>
                <w:color w:val="auto"/>
                <w:sz w:val="24"/>
                <w:szCs w:val="24"/>
                <w:highlight w:val="none"/>
              </w:rPr>
            </w:pPr>
          </w:p>
        </w:tc>
      </w:tr>
      <w:tr w14:paraId="2626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13E903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128</w:t>
            </w:r>
          </w:p>
        </w:tc>
        <w:tc>
          <w:tcPr>
            <w:tcW w:w="1206" w:type="dxa"/>
            <w:vMerge w:val="continue"/>
            <w:shd w:val="clear" w:color="auto" w:fill="auto"/>
            <w:tcMar>
              <w:top w:w="0" w:type="dxa"/>
              <w:left w:w="105" w:type="dxa"/>
              <w:bottom w:w="0" w:type="dxa"/>
              <w:right w:w="105" w:type="dxa"/>
            </w:tcMar>
            <w:vAlign w:val="center"/>
          </w:tcPr>
          <w:p w14:paraId="5DACB22C">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723DC6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60479A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消息服务联动-文件管理</w:t>
            </w:r>
          </w:p>
        </w:tc>
        <w:tc>
          <w:tcPr>
            <w:tcW w:w="1700" w:type="dxa"/>
            <w:shd w:val="clear" w:color="auto" w:fill="auto"/>
            <w:tcMar>
              <w:top w:w="0" w:type="dxa"/>
              <w:left w:w="105" w:type="dxa"/>
              <w:bottom w:w="0" w:type="dxa"/>
              <w:right w:w="105" w:type="dxa"/>
            </w:tcMar>
            <w:vAlign w:val="center"/>
          </w:tcPr>
          <w:p w14:paraId="3ACD76F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2557928">
            <w:pPr>
              <w:outlineLvl w:val="9"/>
              <w:rPr>
                <w:rFonts w:hint="eastAsia" w:ascii="宋体" w:hAnsi="宋体" w:eastAsia="宋体" w:cs="宋体"/>
                <w:color w:val="auto"/>
                <w:sz w:val="24"/>
                <w:szCs w:val="24"/>
                <w:highlight w:val="none"/>
              </w:rPr>
            </w:pPr>
          </w:p>
        </w:tc>
      </w:tr>
      <w:tr w14:paraId="1882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7C6191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129</w:t>
            </w:r>
          </w:p>
        </w:tc>
        <w:tc>
          <w:tcPr>
            <w:tcW w:w="1206" w:type="dxa"/>
            <w:vMerge w:val="continue"/>
            <w:shd w:val="clear" w:color="auto" w:fill="auto"/>
            <w:tcMar>
              <w:top w:w="0" w:type="dxa"/>
              <w:left w:w="105" w:type="dxa"/>
              <w:bottom w:w="0" w:type="dxa"/>
              <w:right w:w="105" w:type="dxa"/>
            </w:tcMar>
            <w:vAlign w:val="center"/>
          </w:tcPr>
          <w:p w14:paraId="617E359B">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8609AB6">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9BAE0A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指挥处置联动-融合受理</w:t>
            </w:r>
          </w:p>
        </w:tc>
        <w:tc>
          <w:tcPr>
            <w:tcW w:w="1700" w:type="dxa"/>
            <w:shd w:val="clear" w:color="auto" w:fill="auto"/>
            <w:tcMar>
              <w:top w:w="0" w:type="dxa"/>
              <w:left w:w="105" w:type="dxa"/>
              <w:bottom w:w="0" w:type="dxa"/>
              <w:right w:w="105" w:type="dxa"/>
            </w:tcMar>
            <w:vAlign w:val="center"/>
          </w:tcPr>
          <w:p w14:paraId="547E8D6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6E5C8FE">
            <w:pPr>
              <w:outlineLvl w:val="9"/>
              <w:rPr>
                <w:rFonts w:hint="eastAsia" w:ascii="宋体" w:hAnsi="宋体" w:eastAsia="宋体" w:cs="宋体"/>
                <w:color w:val="auto"/>
                <w:sz w:val="24"/>
                <w:szCs w:val="24"/>
                <w:highlight w:val="none"/>
              </w:rPr>
            </w:pPr>
          </w:p>
        </w:tc>
      </w:tr>
      <w:tr w14:paraId="2374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7BCC6E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130</w:t>
            </w:r>
          </w:p>
        </w:tc>
        <w:tc>
          <w:tcPr>
            <w:tcW w:w="1206" w:type="dxa"/>
            <w:vMerge w:val="continue"/>
            <w:shd w:val="clear" w:color="auto" w:fill="auto"/>
            <w:tcMar>
              <w:top w:w="0" w:type="dxa"/>
              <w:left w:w="105" w:type="dxa"/>
              <w:bottom w:w="0" w:type="dxa"/>
              <w:right w:w="105" w:type="dxa"/>
            </w:tcMar>
            <w:vAlign w:val="center"/>
          </w:tcPr>
          <w:p w14:paraId="2267A7FD">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94BD405">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782F56D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指挥处置联动-指挥调度</w:t>
            </w:r>
          </w:p>
        </w:tc>
        <w:tc>
          <w:tcPr>
            <w:tcW w:w="1700" w:type="dxa"/>
            <w:shd w:val="clear" w:color="auto" w:fill="auto"/>
            <w:tcMar>
              <w:top w:w="0" w:type="dxa"/>
              <w:left w:w="105" w:type="dxa"/>
              <w:bottom w:w="0" w:type="dxa"/>
              <w:right w:w="105" w:type="dxa"/>
            </w:tcMar>
            <w:vAlign w:val="center"/>
          </w:tcPr>
          <w:p w14:paraId="3E66DB7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E2BCA5A">
            <w:pPr>
              <w:outlineLvl w:val="9"/>
              <w:rPr>
                <w:rFonts w:hint="eastAsia" w:ascii="宋体" w:hAnsi="宋体" w:eastAsia="宋体" w:cs="宋体"/>
                <w:color w:val="auto"/>
                <w:sz w:val="24"/>
                <w:szCs w:val="24"/>
                <w:highlight w:val="none"/>
              </w:rPr>
            </w:pPr>
          </w:p>
        </w:tc>
      </w:tr>
      <w:tr w14:paraId="539C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B04B48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131</w:t>
            </w:r>
          </w:p>
        </w:tc>
        <w:tc>
          <w:tcPr>
            <w:tcW w:w="1206" w:type="dxa"/>
            <w:vMerge w:val="continue"/>
            <w:shd w:val="clear" w:color="auto" w:fill="auto"/>
            <w:tcMar>
              <w:top w:w="0" w:type="dxa"/>
              <w:left w:w="105" w:type="dxa"/>
              <w:bottom w:w="0" w:type="dxa"/>
              <w:right w:w="105" w:type="dxa"/>
            </w:tcMar>
            <w:vAlign w:val="center"/>
          </w:tcPr>
          <w:p w14:paraId="198CC7E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7C350B0E">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64E3C34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指挥处置联动-联动处置</w:t>
            </w:r>
          </w:p>
        </w:tc>
        <w:tc>
          <w:tcPr>
            <w:tcW w:w="1700" w:type="dxa"/>
            <w:shd w:val="clear" w:color="auto" w:fill="auto"/>
            <w:tcMar>
              <w:top w:w="0" w:type="dxa"/>
              <w:left w:w="105" w:type="dxa"/>
              <w:bottom w:w="0" w:type="dxa"/>
              <w:right w:w="105" w:type="dxa"/>
            </w:tcMar>
            <w:vAlign w:val="center"/>
          </w:tcPr>
          <w:p w14:paraId="09497551">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2C870862">
            <w:pPr>
              <w:outlineLvl w:val="9"/>
              <w:rPr>
                <w:rFonts w:hint="eastAsia" w:ascii="宋体" w:hAnsi="宋体" w:eastAsia="宋体" w:cs="宋体"/>
                <w:color w:val="auto"/>
                <w:sz w:val="24"/>
                <w:szCs w:val="24"/>
                <w:highlight w:val="none"/>
              </w:rPr>
            </w:pPr>
          </w:p>
        </w:tc>
      </w:tr>
      <w:tr w14:paraId="5DA8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DE7C92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132</w:t>
            </w:r>
          </w:p>
        </w:tc>
        <w:tc>
          <w:tcPr>
            <w:tcW w:w="1206" w:type="dxa"/>
            <w:vMerge w:val="continue"/>
            <w:shd w:val="clear" w:color="auto" w:fill="auto"/>
            <w:tcMar>
              <w:top w:w="0" w:type="dxa"/>
              <w:left w:w="105" w:type="dxa"/>
              <w:bottom w:w="0" w:type="dxa"/>
              <w:right w:w="105" w:type="dxa"/>
            </w:tcMar>
            <w:vAlign w:val="center"/>
          </w:tcPr>
          <w:p w14:paraId="6333B435">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C0644B1">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C64417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督办联动处置-任务登记</w:t>
            </w:r>
          </w:p>
        </w:tc>
        <w:tc>
          <w:tcPr>
            <w:tcW w:w="1700" w:type="dxa"/>
            <w:shd w:val="clear" w:color="auto" w:fill="auto"/>
            <w:tcMar>
              <w:top w:w="0" w:type="dxa"/>
              <w:left w:w="105" w:type="dxa"/>
              <w:bottom w:w="0" w:type="dxa"/>
              <w:right w:w="105" w:type="dxa"/>
            </w:tcMar>
            <w:vAlign w:val="center"/>
          </w:tcPr>
          <w:p w14:paraId="502D0C3C">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3396FE4B">
            <w:pPr>
              <w:outlineLvl w:val="9"/>
              <w:rPr>
                <w:rFonts w:hint="eastAsia" w:ascii="宋体" w:hAnsi="宋体" w:eastAsia="宋体" w:cs="宋体"/>
                <w:color w:val="auto"/>
                <w:sz w:val="24"/>
                <w:szCs w:val="24"/>
                <w:highlight w:val="none"/>
              </w:rPr>
            </w:pPr>
          </w:p>
        </w:tc>
      </w:tr>
      <w:tr w14:paraId="4A87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0143588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133</w:t>
            </w:r>
          </w:p>
        </w:tc>
        <w:tc>
          <w:tcPr>
            <w:tcW w:w="1206" w:type="dxa"/>
            <w:vMerge w:val="continue"/>
            <w:shd w:val="clear" w:color="auto" w:fill="auto"/>
            <w:tcMar>
              <w:top w:w="0" w:type="dxa"/>
              <w:left w:w="105" w:type="dxa"/>
              <w:bottom w:w="0" w:type="dxa"/>
              <w:right w:w="105" w:type="dxa"/>
            </w:tcMar>
            <w:vAlign w:val="center"/>
          </w:tcPr>
          <w:p w14:paraId="6D9D9B2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363BBEBD">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DAC2B9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督办联动处置-交办派发</w:t>
            </w:r>
          </w:p>
        </w:tc>
        <w:tc>
          <w:tcPr>
            <w:tcW w:w="1700" w:type="dxa"/>
            <w:shd w:val="clear" w:color="auto" w:fill="auto"/>
            <w:tcMar>
              <w:top w:w="0" w:type="dxa"/>
              <w:left w:w="105" w:type="dxa"/>
              <w:bottom w:w="0" w:type="dxa"/>
              <w:right w:w="105" w:type="dxa"/>
            </w:tcMar>
            <w:vAlign w:val="center"/>
          </w:tcPr>
          <w:p w14:paraId="71C86F9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D6DEEE7">
            <w:pPr>
              <w:outlineLvl w:val="9"/>
              <w:rPr>
                <w:rFonts w:hint="eastAsia" w:ascii="宋体" w:hAnsi="宋体" w:eastAsia="宋体" w:cs="宋体"/>
                <w:color w:val="auto"/>
                <w:sz w:val="24"/>
                <w:szCs w:val="24"/>
                <w:highlight w:val="none"/>
              </w:rPr>
            </w:pPr>
          </w:p>
        </w:tc>
      </w:tr>
      <w:tr w14:paraId="2093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359E321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134</w:t>
            </w:r>
          </w:p>
        </w:tc>
        <w:tc>
          <w:tcPr>
            <w:tcW w:w="1206" w:type="dxa"/>
            <w:vMerge w:val="continue"/>
            <w:shd w:val="clear" w:color="auto" w:fill="auto"/>
            <w:tcMar>
              <w:top w:w="0" w:type="dxa"/>
              <w:left w:w="105" w:type="dxa"/>
              <w:bottom w:w="0" w:type="dxa"/>
              <w:right w:w="105" w:type="dxa"/>
            </w:tcMar>
            <w:vAlign w:val="center"/>
          </w:tcPr>
          <w:p w14:paraId="647BD202">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33A0997">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24F8E89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督办联动处置-签收落实</w:t>
            </w:r>
          </w:p>
        </w:tc>
        <w:tc>
          <w:tcPr>
            <w:tcW w:w="1700" w:type="dxa"/>
            <w:shd w:val="clear" w:color="auto" w:fill="auto"/>
            <w:tcMar>
              <w:top w:w="0" w:type="dxa"/>
              <w:left w:w="105" w:type="dxa"/>
              <w:bottom w:w="0" w:type="dxa"/>
              <w:right w:w="105" w:type="dxa"/>
            </w:tcMar>
            <w:vAlign w:val="center"/>
          </w:tcPr>
          <w:p w14:paraId="5C121BD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4261AFD1">
            <w:pPr>
              <w:outlineLvl w:val="9"/>
              <w:rPr>
                <w:rFonts w:hint="eastAsia" w:ascii="宋体" w:hAnsi="宋体" w:eastAsia="宋体" w:cs="宋体"/>
                <w:color w:val="auto"/>
                <w:sz w:val="24"/>
                <w:szCs w:val="24"/>
                <w:highlight w:val="none"/>
              </w:rPr>
            </w:pPr>
          </w:p>
        </w:tc>
      </w:tr>
      <w:tr w14:paraId="36E5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7A2311F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135</w:t>
            </w:r>
          </w:p>
        </w:tc>
        <w:tc>
          <w:tcPr>
            <w:tcW w:w="1206" w:type="dxa"/>
            <w:vMerge w:val="continue"/>
            <w:shd w:val="clear" w:color="auto" w:fill="auto"/>
            <w:tcMar>
              <w:top w:w="0" w:type="dxa"/>
              <w:left w:w="105" w:type="dxa"/>
              <w:bottom w:w="0" w:type="dxa"/>
              <w:right w:w="105" w:type="dxa"/>
            </w:tcMar>
            <w:vAlign w:val="center"/>
          </w:tcPr>
          <w:p w14:paraId="08A55570">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8125E34">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103D442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督办联动处置-联动交流</w:t>
            </w:r>
          </w:p>
        </w:tc>
        <w:tc>
          <w:tcPr>
            <w:tcW w:w="1700" w:type="dxa"/>
            <w:shd w:val="clear" w:color="auto" w:fill="auto"/>
            <w:tcMar>
              <w:top w:w="0" w:type="dxa"/>
              <w:left w:w="105" w:type="dxa"/>
              <w:bottom w:w="0" w:type="dxa"/>
              <w:right w:w="105" w:type="dxa"/>
            </w:tcMar>
            <w:vAlign w:val="center"/>
          </w:tcPr>
          <w:p w14:paraId="6761B82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EBF4D1D">
            <w:pPr>
              <w:outlineLvl w:val="9"/>
              <w:rPr>
                <w:rFonts w:hint="eastAsia" w:ascii="宋体" w:hAnsi="宋体" w:eastAsia="宋体" w:cs="宋体"/>
                <w:color w:val="auto"/>
                <w:sz w:val="24"/>
                <w:szCs w:val="24"/>
                <w:highlight w:val="none"/>
              </w:rPr>
            </w:pPr>
          </w:p>
        </w:tc>
      </w:tr>
      <w:tr w14:paraId="739C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6DEDB3A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136</w:t>
            </w:r>
          </w:p>
        </w:tc>
        <w:tc>
          <w:tcPr>
            <w:tcW w:w="1206" w:type="dxa"/>
            <w:vMerge w:val="continue"/>
            <w:shd w:val="clear" w:color="auto" w:fill="auto"/>
            <w:tcMar>
              <w:top w:w="0" w:type="dxa"/>
              <w:left w:w="105" w:type="dxa"/>
              <w:bottom w:w="0" w:type="dxa"/>
              <w:right w:w="105" w:type="dxa"/>
            </w:tcMar>
            <w:vAlign w:val="center"/>
          </w:tcPr>
          <w:p w14:paraId="69EE0FA1">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6DBC70A">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EB8188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督办联动处置-催办督办</w:t>
            </w:r>
          </w:p>
        </w:tc>
        <w:tc>
          <w:tcPr>
            <w:tcW w:w="1700" w:type="dxa"/>
            <w:shd w:val="clear" w:color="auto" w:fill="auto"/>
            <w:tcMar>
              <w:top w:w="0" w:type="dxa"/>
              <w:left w:w="105" w:type="dxa"/>
              <w:bottom w:w="0" w:type="dxa"/>
              <w:right w:w="105" w:type="dxa"/>
            </w:tcMar>
            <w:vAlign w:val="center"/>
          </w:tcPr>
          <w:p w14:paraId="782E746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2580D756">
            <w:pPr>
              <w:outlineLvl w:val="9"/>
              <w:rPr>
                <w:rFonts w:hint="eastAsia" w:ascii="宋体" w:hAnsi="宋体" w:eastAsia="宋体" w:cs="宋体"/>
                <w:color w:val="auto"/>
                <w:sz w:val="24"/>
                <w:szCs w:val="24"/>
                <w:highlight w:val="none"/>
              </w:rPr>
            </w:pPr>
          </w:p>
        </w:tc>
      </w:tr>
      <w:tr w14:paraId="3810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77620F4">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137</w:t>
            </w:r>
          </w:p>
        </w:tc>
        <w:tc>
          <w:tcPr>
            <w:tcW w:w="1206" w:type="dxa"/>
            <w:vMerge w:val="continue"/>
            <w:shd w:val="clear" w:color="auto" w:fill="auto"/>
            <w:tcMar>
              <w:top w:w="0" w:type="dxa"/>
              <w:left w:w="105" w:type="dxa"/>
              <w:bottom w:w="0" w:type="dxa"/>
              <w:right w:w="105" w:type="dxa"/>
            </w:tcMar>
            <w:vAlign w:val="center"/>
          </w:tcPr>
          <w:p w14:paraId="11C2F549">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BC638EC">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19861D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督办联动处置-过程反馈</w:t>
            </w:r>
          </w:p>
        </w:tc>
        <w:tc>
          <w:tcPr>
            <w:tcW w:w="1700" w:type="dxa"/>
            <w:shd w:val="clear" w:color="auto" w:fill="auto"/>
            <w:tcMar>
              <w:top w:w="0" w:type="dxa"/>
              <w:left w:w="105" w:type="dxa"/>
              <w:bottom w:w="0" w:type="dxa"/>
              <w:right w:w="105" w:type="dxa"/>
            </w:tcMar>
            <w:vAlign w:val="center"/>
          </w:tcPr>
          <w:p w14:paraId="6D4DE9E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11BC53E6">
            <w:pPr>
              <w:outlineLvl w:val="9"/>
              <w:rPr>
                <w:rFonts w:hint="eastAsia" w:ascii="宋体" w:hAnsi="宋体" w:eastAsia="宋体" w:cs="宋体"/>
                <w:color w:val="auto"/>
                <w:sz w:val="24"/>
                <w:szCs w:val="24"/>
                <w:highlight w:val="none"/>
              </w:rPr>
            </w:pPr>
          </w:p>
        </w:tc>
      </w:tr>
      <w:tr w14:paraId="6E5C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157A7D55">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138</w:t>
            </w:r>
          </w:p>
        </w:tc>
        <w:tc>
          <w:tcPr>
            <w:tcW w:w="1206" w:type="dxa"/>
            <w:vMerge w:val="continue"/>
            <w:shd w:val="clear" w:color="auto" w:fill="auto"/>
            <w:tcMar>
              <w:top w:w="0" w:type="dxa"/>
              <w:left w:w="105" w:type="dxa"/>
              <w:bottom w:w="0" w:type="dxa"/>
              <w:right w:w="105" w:type="dxa"/>
            </w:tcMar>
            <w:vAlign w:val="center"/>
          </w:tcPr>
          <w:p w14:paraId="47E89136">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2977D96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5FA7D31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督办联动处置-考核评价</w:t>
            </w:r>
          </w:p>
        </w:tc>
        <w:tc>
          <w:tcPr>
            <w:tcW w:w="1700" w:type="dxa"/>
            <w:shd w:val="clear" w:color="auto" w:fill="auto"/>
            <w:tcMar>
              <w:top w:w="0" w:type="dxa"/>
              <w:left w:w="105" w:type="dxa"/>
              <w:bottom w:w="0" w:type="dxa"/>
              <w:right w:w="105" w:type="dxa"/>
            </w:tcMar>
            <w:vAlign w:val="center"/>
          </w:tcPr>
          <w:p w14:paraId="1A6AD02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7E9EB44F">
            <w:pPr>
              <w:outlineLvl w:val="9"/>
              <w:rPr>
                <w:rFonts w:hint="eastAsia" w:ascii="宋体" w:hAnsi="宋体" w:eastAsia="宋体" w:cs="宋体"/>
                <w:color w:val="auto"/>
                <w:sz w:val="24"/>
                <w:szCs w:val="24"/>
                <w:highlight w:val="none"/>
              </w:rPr>
            </w:pPr>
          </w:p>
        </w:tc>
      </w:tr>
      <w:tr w14:paraId="4B21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038306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139</w:t>
            </w:r>
          </w:p>
        </w:tc>
        <w:tc>
          <w:tcPr>
            <w:tcW w:w="1206" w:type="dxa"/>
            <w:vMerge w:val="continue"/>
            <w:shd w:val="clear" w:color="auto" w:fill="auto"/>
            <w:tcMar>
              <w:top w:w="0" w:type="dxa"/>
              <w:left w:w="105" w:type="dxa"/>
              <w:bottom w:w="0" w:type="dxa"/>
              <w:right w:w="105" w:type="dxa"/>
            </w:tcMar>
            <w:vAlign w:val="center"/>
          </w:tcPr>
          <w:p w14:paraId="5CC4E09A">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5C69D9C9">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D8F444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督办联动处置-查询监控</w:t>
            </w:r>
          </w:p>
        </w:tc>
        <w:tc>
          <w:tcPr>
            <w:tcW w:w="1700" w:type="dxa"/>
            <w:shd w:val="clear" w:color="auto" w:fill="auto"/>
            <w:tcMar>
              <w:top w:w="0" w:type="dxa"/>
              <w:left w:w="105" w:type="dxa"/>
              <w:bottom w:w="0" w:type="dxa"/>
              <w:right w:w="105" w:type="dxa"/>
            </w:tcMar>
            <w:vAlign w:val="center"/>
          </w:tcPr>
          <w:p w14:paraId="0F8B0C40">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A7BC2F9">
            <w:pPr>
              <w:outlineLvl w:val="9"/>
              <w:rPr>
                <w:rFonts w:hint="eastAsia" w:ascii="宋体" w:hAnsi="宋体" w:eastAsia="宋体" w:cs="宋体"/>
                <w:color w:val="auto"/>
                <w:sz w:val="24"/>
                <w:szCs w:val="24"/>
                <w:highlight w:val="none"/>
              </w:rPr>
            </w:pPr>
          </w:p>
        </w:tc>
      </w:tr>
      <w:tr w14:paraId="2F88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5" w:hRule="atLeast"/>
          <w:tblCellSpacing w:w="15" w:type="dxa"/>
        </w:trPr>
        <w:tc>
          <w:tcPr>
            <w:tcW w:w="832" w:type="dxa"/>
            <w:shd w:val="clear" w:color="auto" w:fill="auto"/>
            <w:tcMar>
              <w:top w:w="0" w:type="dxa"/>
              <w:left w:w="105" w:type="dxa"/>
              <w:bottom w:w="0" w:type="dxa"/>
              <w:right w:w="105" w:type="dxa"/>
            </w:tcMar>
            <w:vAlign w:val="center"/>
          </w:tcPr>
          <w:p w14:paraId="5B2D37C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140</w:t>
            </w:r>
          </w:p>
        </w:tc>
        <w:tc>
          <w:tcPr>
            <w:tcW w:w="1206" w:type="dxa"/>
            <w:vMerge w:val="continue"/>
            <w:shd w:val="clear" w:color="auto" w:fill="auto"/>
            <w:tcMar>
              <w:top w:w="0" w:type="dxa"/>
              <w:left w:w="105" w:type="dxa"/>
              <w:bottom w:w="0" w:type="dxa"/>
              <w:right w:w="105" w:type="dxa"/>
            </w:tcMar>
            <w:vAlign w:val="center"/>
          </w:tcPr>
          <w:p w14:paraId="680EDCD6">
            <w:pPr>
              <w:outlineLvl w:val="9"/>
              <w:rPr>
                <w:rFonts w:hint="eastAsia" w:ascii="宋体" w:hAnsi="宋体" w:eastAsia="宋体" w:cs="宋体"/>
                <w:color w:val="auto"/>
                <w:sz w:val="24"/>
                <w:szCs w:val="24"/>
                <w:highlight w:val="none"/>
              </w:rPr>
            </w:pPr>
          </w:p>
        </w:tc>
        <w:tc>
          <w:tcPr>
            <w:tcW w:w="887" w:type="dxa"/>
            <w:vMerge w:val="continue"/>
            <w:shd w:val="clear" w:color="auto" w:fill="auto"/>
            <w:tcMar>
              <w:top w:w="0" w:type="dxa"/>
              <w:left w:w="105" w:type="dxa"/>
              <w:bottom w:w="0" w:type="dxa"/>
              <w:right w:w="105" w:type="dxa"/>
            </w:tcMar>
            <w:vAlign w:val="center"/>
          </w:tcPr>
          <w:p w14:paraId="0578C55B">
            <w:pPr>
              <w:outlineLvl w:val="9"/>
              <w:rPr>
                <w:rFonts w:hint="eastAsia" w:ascii="宋体" w:hAnsi="宋体" w:eastAsia="宋体" w:cs="宋体"/>
                <w:color w:val="auto"/>
                <w:sz w:val="24"/>
                <w:szCs w:val="24"/>
                <w:highlight w:val="none"/>
              </w:rPr>
            </w:pPr>
          </w:p>
        </w:tc>
        <w:tc>
          <w:tcPr>
            <w:tcW w:w="3124" w:type="dxa"/>
            <w:shd w:val="clear" w:color="auto" w:fill="auto"/>
            <w:tcMar>
              <w:top w:w="0" w:type="dxa"/>
              <w:left w:w="105" w:type="dxa"/>
              <w:bottom w:w="0" w:type="dxa"/>
              <w:right w:w="105" w:type="dxa"/>
            </w:tcMar>
            <w:vAlign w:val="center"/>
          </w:tcPr>
          <w:p w14:paraId="3BAF327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督办联动处置-督办分析</w:t>
            </w:r>
          </w:p>
        </w:tc>
        <w:tc>
          <w:tcPr>
            <w:tcW w:w="1700" w:type="dxa"/>
            <w:shd w:val="clear" w:color="auto" w:fill="auto"/>
            <w:tcMar>
              <w:top w:w="0" w:type="dxa"/>
              <w:left w:w="105" w:type="dxa"/>
              <w:bottom w:w="0" w:type="dxa"/>
              <w:right w:w="105" w:type="dxa"/>
            </w:tcMar>
            <w:vAlign w:val="center"/>
          </w:tcPr>
          <w:p w14:paraId="2554B8ED">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新建</w:t>
            </w:r>
          </w:p>
        </w:tc>
        <w:tc>
          <w:tcPr>
            <w:tcW w:w="1941" w:type="dxa"/>
            <w:vMerge w:val="continue"/>
            <w:shd w:val="clear" w:color="auto" w:fill="auto"/>
            <w:tcMar>
              <w:top w:w="0" w:type="dxa"/>
              <w:left w:w="105" w:type="dxa"/>
              <w:bottom w:w="0" w:type="dxa"/>
              <w:right w:w="105" w:type="dxa"/>
            </w:tcMar>
            <w:vAlign w:val="center"/>
          </w:tcPr>
          <w:p w14:paraId="64D931E6">
            <w:pPr>
              <w:outlineLvl w:val="9"/>
              <w:rPr>
                <w:rFonts w:hint="eastAsia" w:ascii="宋体" w:hAnsi="宋体" w:eastAsia="宋体" w:cs="宋体"/>
                <w:color w:val="auto"/>
                <w:sz w:val="24"/>
                <w:szCs w:val="24"/>
                <w:highlight w:val="none"/>
              </w:rPr>
            </w:pPr>
          </w:p>
        </w:tc>
      </w:tr>
    </w:tbl>
    <w:p w14:paraId="5B591D3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1.1.3.1 </w:t>
      </w:r>
      <w:r>
        <w:rPr>
          <w:rFonts w:hint="eastAsia" w:ascii="宋体" w:hAnsi="宋体" w:eastAsia="宋体" w:cs="宋体"/>
          <w:color w:val="auto"/>
          <w:sz w:val="28"/>
          <w:szCs w:val="28"/>
          <w:highlight w:val="none"/>
        </w:rPr>
        <w:t>事件管理中心</w:t>
      </w:r>
    </w:p>
    <w:p w14:paraId="708F784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1.1.3.1.1 </w:t>
      </w:r>
      <w:r>
        <w:rPr>
          <w:rFonts w:hint="eastAsia" w:ascii="宋体" w:hAnsi="宋体" w:eastAsia="宋体" w:cs="宋体"/>
          <w:color w:val="auto"/>
          <w:sz w:val="28"/>
          <w:szCs w:val="28"/>
          <w:highlight w:val="none"/>
        </w:rPr>
        <w:t>统一受理</w:t>
      </w:r>
    </w:p>
    <w:p w14:paraId="5D1A1E8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1.1.3.1.1.1 </w:t>
      </w:r>
      <w:r>
        <w:rPr>
          <w:rFonts w:hint="eastAsia" w:ascii="宋体" w:hAnsi="宋体" w:eastAsia="宋体" w:cs="宋体"/>
          <w:color w:val="auto"/>
          <w:sz w:val="28"/>
          <w:szCs w:val="28"/>
          <w:highlight w:val="none"/>
        </w:rPr>
        <w:t>受理渠道拓展</w:t>
      </w:r>
    </w:p>
    <w:p w14:paraId="7795EBB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1.1.3.1.1.1.1 </w:t>
      </w:r>
      <w:r>
        <w:rPr>
          <w:rStyle w:val="17"/>
          <w:rFonts w:hint="eastAsia" w:ascii="宋体" w:hAnsi="宋体" w:eastAsia="宋体" w:cs="宋体"/>
          <w:color w:val="auto"/>
          <w:sz w:val="28"/>
          <w:szCs w:val="28"/>
          <w:highlight w:val="none"/>
        </w:rPr>
        <w:t>12345平台受理接入</w:t>
      </w:r>
    </w:p>
    <w:p w14:paraId="227F416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充分发挥现有福州市12345便民服务中心在整个福州市的影响力，充分发挥“12345有事找政府”的意义，对接12345平台网站、电话等渠道诉求件信息，依据新的事件分类实现对事件受理、查询，对事件受理的类别修改等。实现对接福州市12345网站进行所有事件的受理信息。</w:t>
      </w:r>
    </w:p>
    <w:p w14:paraId="406A054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1.1.3.1.1.1.2 </w:t>
      </w:r>
      <w:r>
        <w:rPr>
          <w:rStyle w:val="17"/>
          <w:rFonts w:hint="eastAsia" w:ascii="宋体" w:hAnsi="宋体" w:eastAsia="宋体" w:cs="宋体"/>
          <w:color w:val="auto"/>
          <w:sz w:val="28"/>
          <w:szCs w:val="28"/>
          <w:highlight w:val="none"/>
        </w:rPr>
        <w:t>12319微信公众号上报受理</w:t>
      </w:r>
    </w:p>
    <w:p w14:paraId="14A521D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接入国家统一微信公众号“12319微信公众服务号”，依据新的事件分类实现对事件受理、查询，对事件受理的类别修改等。实现通过微信号进行所有事件的受理信息。</w:t>
      </w:r>
    </w:p>
    <w:p w14:paraId="077D443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1.1.3.1.1.1.3 </w:t>
      </w:r>
      <w:r>
        <w:rPr>
          <w:rStyle w:val="17"/>
          <w:rFonts w:hint="eastAsia" w:ascii="宋体" w:hAnsi="宋体" w:eastAsia="宋体" w:cs="宋体"/>
          <w:color w:val="auto"/>
          <w:sz w:val="28"/>
          <w:szCs w:val="28"/>
          <w:highlight w:val="none"/>
        </w:rPr>
        <w:t>AI视频智能分析上报受理</w:t>
      </w:r>
    </w:p>
    <w:p w14:paraId="40E9878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与AI视频智能分析平台对接，通过接口调用，AI视频智能分析平台采将集的事件信息自动派发到接报平台，并转换为符合规范的统一事件表单进行统一管理，目前可实现视频AI智能识别服务的总体建设思路是充分利用全市的视频探头资源，按照“智能、整合、优化、提升”的理念，辅助进行事件采集与核查反馈，逐步建立全市视频AI智能识别能力, 对全市视频探头覆盖区域，实现全天24小时监测，根据城市管理相关规章制度在不同摄像机的场景中预设不同的报警规则，对流动摊点、垃圾满溢、占道经营、横幅游行、共享单车乱停放等20类城市管理与社会治理事件进行场景检测、智能识别、案件自动分类、自动取证、任务智能派发一旦目标在场景中出现了违反预定义规则的行为，系统会自动发出报警，指挥中心根据这些预警信息进行筛选与分派操作，提升城市管理与社会治理水平。</w:t>
      </w:r>
    </w:p>
    <w:p w14:paraId="247A54BC">
      <w:pPr>
        <w:pStyle w:val="14"/>
        <w:keepNext w:val="0"/>
        <w:keepLines w:val="0"/>
        <w:widowControl/>
        <w:suppressLineNumbers w:val="0"/>
        <w:ind w:left="420" w:firstLine="15"/>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 探头颜色区分</w:t>
      </w:r>
    </w:p>
    <w:p w14:paraId="768680E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平台摄像头设备多，现场坐席在监控视频时需要时常切换设备，如果无法有效区分，可能会导致坐席员重复监控部分摄像头影响工作效率，所以对探头进行颜色区分，坐席员点击后的设备为黄色，坏的和无法打开的为红色，未点击的为蓝色。</w:t>
      </w:r>
    </w:p>
    <w:p w14:paraId="0217B5A3">
      <w:pPr>
        <w:pStyle w:val="14"/>
        <w:keepNext w:val="0"/>
        <w:keepLines w:val="0"/>
        <w:widowControl/>
        <w:suppressLineNumbers w:val="0"/>
        <w:ind w:left="420" w:firstLine="15"/>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 已点探头识别</w:t>
      </w:r>
    </w:p>
    <w:p w14:paraId="3E1D717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现场坐席员需要对其他坐席员已点的探头能够识别，已点探头带有颜色标识需保持实时刷新，避免坐席员对其他账号坐席员点过的探头重复点击。</w:t>
      </w:r>
    </w:p>
    <w:p w14:paraId="046E175C">
      <w:pPr>
        <w:pStyle w:val="14"/>
        <w:keepNext w:val="0"/>
        <w:keepLines w:val="0"/>
        <w:widowControl/>
        <w:suppressLineNumbers w:val="0"/>
        <w:ind w:left="420" w:firstLine="15"/>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 地图关联双屏</w:t>
      </w:r>
    </w:p>
    <w:p w14:paraId="1C2E43A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通过双屏方式展示，左侧为视频上报模块，右侧为地图界面，可显示摄像头定位情况。地图上设备显示可使用聚类的方式显示，区域存在大量摄像头时，只显示数量，地图放大后，可查看此区域具体摄像头。</w:t>
      </w:r>
    </w:p>
    <w:p w14:paraId="215F0206">
      <w:pPr>
        <w:pStyle w:val="14"/>
        <w:keepNext w:val="0"/>
        <w:keepLines w:val="0"/>
        <w:widowControl/>
        <w:suppressLineNumbers w:val="0"/>
        <w:ind w:left="420" w:firstLine="15"/>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 设备标签</w:t>
      </w:r>
    </w:p>
    <w:p w14:paraId="19E9941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视频对接，因设备数量多，用户在日常使用可以对摄像头设备绑定对呀标签，如部分摄像头所在位置专门用于监控某些类别案件，或该摄像头存在高发问题等，需实现摄像头与标签进行绑定关联。</w:t>
      </w:r>
    </w:p>
    <w:p w14:paraId="727A0EDA">
      <w:pPr>
        <w:pStyle w:val="14"/>
        <w:keepNext w:val="0"/>
        <w:keepLines w:val="0"/>
        <w:widowControl/>
        <w:suppressLineNumbers w:val="0"/>
        <w:ind w:left="420" w:firstLine="15"/>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 探头统计</w:t>
      </w:r>
    </w:p>
    <w:p w14:paraId="1DACA02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工作量加强管理，需要对有效点击量进行统计，从点击量，有效点击个数，案件上报数三个维度进行统计</w:t>
      </w:r>
    </w:p>
    <w:p w14:paraId="0E0755F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1.1.3.1.1.1.4 </w:t>
      </w:r>
      <w:r>
        <w:rPr>
          <w:rStyle w:val="17"/>
          <w:rFonts w:hint="eastAsia" w:ascii="宋体" w:hAnsi="宋体" w:eastAsia="宋体" w:cs="宋体"/>
          <w:color w:val="auto"/>
          <w:sz w:val="28"/>
          <w:szCs w:val="28"/>
          <w:highlight w:val="none"/>
        </w:rPr>
        <w:t>物联网感知平台上报受理</w:t>
      </w:r>
    </w:p>
    <w:p w14:paraId="21EC1CE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与物联网感知平台对接，通过事件接口调用，获取物联网感知平台自动采集的事件信息，并转换为符合规范的统一事件表单，接入到信息接报平台中进行统一管理。</w:t>
      </w:r>
    </w:p>
    <w:p w14:paraId="3841F6E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1.1.3.1.1.1.5 </w:t>
      </w:r>
      <w:r>
        <w:rPr>
          <w:rStyle w:val="17"/>
          <w:rFonts w:hint="eastAsia" w:ascii="宋体" w:hAnsi="宋体" w:eastAsia="宋体" w:cs="宋体"/>
          <w:color w:val="auto"/>
          <w:sz w:val="28"/>
          <w:szCs w:val="28"/>
          <w:highlight w:val="none"/>
        </w:rPr>
        <w:t>社情民意受理</w:t>
      </w:r>
    </w:p>
    <w:p w14:paraId="312D917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社情民意模块是市级网格化社会服务管理信息中心负责统一受理全民参与手机过热线反映的社会管理类问题，根据问题的类型、性质、详情事由等信息，结合《福州市社会管理工作手册》，对问题进行研判分流、回访核查。</w:t>
      </w:r>
    </w:p>
    <w:p w14:paraId="3B686F3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该模块包括：登记栏、待办案卷栏、核查栏、移交案卷栏、督办栏和存档栏。</w:t>
      </w:r>
    </w:p>
    <w:p w14:paraId="17FE4FC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基于GIS地图的社情民意登记受理</w:t>
      </w:r>
    </w:p>
    <w:p w14:paraId="0C6A085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受理员全面受理社会公众通过拨打中心特服号码反映的问题，并通过图文一体化窗口，实现基于GIS的位置定位，社情民意信息填写。</w:t>
      </w:r>
    </w:p>
    <w:p w14:paraId="7EF161DE">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2、</w:t>
      </w:r>
      <w:r>
        <w:rPr>
          <w:rFonts w:hint="eastAsia" w:ascii="宋体" w:hAnsi="宋体" w:eastAsia="宋体" w:cs="宋体"/>
          <w:color w:val="auto"/>
          <w:sz w:val="24"/>
          <w:szCs w:val="24"/>
          <w:highlight w:val="none"/>
        </w:rPr>
        <w:t>社情民意处置督办</w:t>
      </w:r>
    </w:p>
    <w:p w14:paraId="164B4A9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受理员根据案卷的指示灯判断案卷所处的状态和阶段，如果指示灯显示红色，即案卷超过规定的处置时限，则受理员可通过向处置部门发送督办，加快案卷的处置进度。</w:t>
      </w:r>
    </w:p>
    <w:p w14:paraId="2228791E">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3、</w:t>
      </w:r>
      <w:r>
        <w:rPr>
          <w:rFonts w:hint="eastAsia" w:ascii="宋体" w:hAnsi="宋体" w:eastAsia="宋体" w:cs="宋体"/>
          <w:color w:val="auto"/>
          <w:sz w:val="24"/>
          <w:szCs w:val="24"/>
          <w:highlight w:val="none"/>
        </w:rPr>
        <w:t>社情民意处置流程查看</w:t>
      </w:r>
    </w:p>
    <w:p w14:paraId="5CA4E9C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受理员可查看每条事件的详细信息，包括上报的详细信息（事件类型、大类、小类、当事人、地址、事件描述等）、处置的过程信息（处置环节、处理单位、处理时间、处理人、核查人、核查结果等）。</w:t>
      </w:r>
    </w:p>
    <w:p w14:paraId="7FE907E3">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指示灯预警提示</w:t>
      </w:r>
    </w:p>
    <w:p w14:paraId="52591E6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参照指示灯预警功能，对事件所处的不同阶段、不同等级采用不同的图标进行标识，便于受理员能直观地区分哪些案卷目前处于超时状态、哪些案卷属于重大级别等。</w:t>
      </w:r>
    </w:p>
    <w:p w14:paraId="5462B992">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5、</w:t>
      </w:r>
      <w:r>
        <w:rPr>
          <w:rFonts w:hint="eastAsia" w:ascii="宋体" w:hAnsi="宋体" w:eastAsia="宋体" w:cs="宋体"/>
          <w:color w:val="auto"/>
          <w:sz w:val="24"/>
          <w:szCs w:val="24"/>
          <w:highlight w:val="none"/>
        </w:rPr>
        <w:t>核查结案</w:t>
      </w:r>
    </w:p>
    <w:p w14:paraId="1225A81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受理员可通过电话回访的方式，核查相关处置部门反馈回来的处置结果，根据核查结果，再决定是否结案。</w:t>
      </w:r>
    </w:p>
    <w:p w14:paraId="075348C9">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color w:val="auto"/>
          <w:sz w:val="24"/>
          <w:szCs w:val="24"/>
          <w:highlight w:val="none"/>
        </w:rPr>
        <w:t>答复授权</w:t>
      </w:r>
    </w:p>
    <w:p w14:paraId="3D9555E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各级社会服务管理组织机构对当前阶段名称为“授权”的案卷，进行答复授权。选择“同意”或“不同意”并且填写答复意见，之后点击“确定”。</w:t>
      </w:r>
    </w:p>
    <w:p w14:paraId="599BF246">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7、</w:t>
      </w:r>
      <w:r>
        <w:rPr>
          <w:rFonts w:hint="eastAsia" w:ascii="宋体" w:hAnsi="宋体" w:eastAsia="宋体" w:cs="宋体"/>
          <w:color w:val="auto"/>
          <w:sz w:val="24"/>
          <w:szCs w:val="24"/>
          <w:highlight w:val="none"/>
        </w:rPr>
        <w:t>案卷回辙</w:t>
      </w:r>
    </w:p>
    <w:p w14:paraId="3FF6BD0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如果批转到本中心的案卷并不属于其受理范围内，可以将其回辙给上一工作阶段；如果发现专业部门反馈回来的任务未按要求完成，可以将案卷回退至职能部门进行重新处置。</w:t>
      </w:r>
    </w:p>
    <w:p w14:paraId="3A5AF5D1">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color w:val="auto"/>
          <w:sz w:val="24"/>
          <w:szCs w:val="24"/>
          <w:highlight w:val="none"/>
        </w:rPr>
        <w:t>登记页面历史记录查询</w:t>
      </w:r>
    </w:p>
    <w:p w14:paraId="701C4A2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受理员在登记社会公众反映的问题时，可根据公众举报电话或举报人姓名查询其历史案卷，为中心对案卷的统计、分析提供重要参考。</w:t>
      </w:r>
    </w:p>
    <w:p w14:paraId="0AD5D51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1.1.3.1.1.2 </w:t>
      </w:r>
      <w:r>
        <w:rPr>
          <w:rFonts w:hint="eastAsia" w:ascii="宋体" w:hAnsi="宋体" w:eastAsia="宋体" w:cs="宋体"/>
          <w:color w:val="auto"/>
          <w:sz w:val="28"/>
          <w:szCs w:val="28"/>
          <w:highlight w:val="none"/>
        </w:rPr>
        <w:t>相似事件理智能识别</w:t>
      </w:r>
    </w:p>
    <w:p w14:paraId="234DF85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现实工作中，监督指挥中心坐席员在分派案件时，经常发生相似案卷的情况，比如：信息采集员为了完成信息采集的工作任务，多次重复上报同一案卷；或者，某一案件已经被其他信息采集员上报、立案、处理，换班后，另外的信息采集员不了解情况，再次上报该案件。这类相似案卷以前经常依靠监督指挥中心人工的方式来判别，或者是案卷派遣后，由处置部门反馈该案卷为相似案卷，给日常工作带来极大困扰。为了有效避免信息采集员重复上报同一案卷，通过建设统一的受理智能识别服务12345平台、城管平台在受理案件时将案件信息传送至智能识别服务中判断是否存在历史重复受理案件，系统针对相似案卷进行智能分析，并进行相似案卷的提示，提高工作效率。</w:t>
      </w:r>
    </w:p>
    <w:p w14:paraId="5F3E8C1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1.1.3.1.1.2.1 </w:t>
      </w:r>
      <w:r>
        <w:rPr>
          <w:rStyle w:val="17"/>
          <w:rFonts w:hint="eastAsia" w:ascii="宋体" w:hAnsi="宋体" w:eastAsia="宋体" w:cs="宋体"/>
          <w:color w:val="auto"/>
          <w:sz w:val="28"/>
          <w:szCs w:val="28"/>
          <w:highlight w:val="none"/>
        </w:rPr>
        <w:t>相似事件规则设置</w:t>
      </w:r>
    </w:p>
    <w:p w14:paraId="561B307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默认同一地点（10米之内），一段时间内（默认一天），或者符合其他约束条件的案件为相似案卷（注：有些特殊的小类有不同的时间、距离限制），支持相似案卷的图标显示，以及查看相似案件列表。</w:t>
      </w:r>
    </w:p>
    <w:p w14:paraId="7ABB95E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1.1.3.1.1.2.2 </w:t>
      </w:r>
      <w:r>
        <w:rPr>
          <w:rStyle w:val="17"/>
          <w:rFonts w:hint="eastAsia" w:ascii="宋体" w:hAnsi="宋体" w:eastAsia="宋体" w:cs="宋体"/>
          <w:color w:val="auto"/>
          <w:sz w:val="28"/>
          <w:szCs w:val="28"/>
          <w:highlight w:val="none"/>
        </w:rPr>
        <w:t>上报时相似事件提示</w:t>
      </w:r>
    </w:p>
    <w:p w14:paraId="7287D70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在案件上报时进行相似案卷提示。信息采集员或者使用市民通的社会公众上报案件时，系统首先根据上报的时间、地点来判断该案件是否已被上报、立案或处置，如果该案件已被上报、立案或处置，则认为该案件为相似案件。对信息采集员或者市民做出相似案卷提示。</w:t>
      </w:r>
    </w:p>
    <w:p w14:paraId="77DC3A4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同时可通过后台设置，是否允许上报相似案件。</w:t>
      </w:r>
    </w:p>
    <w:p w14:paraId="0EB0C96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1.1.3.1.1.2.3 </w:t>
      </w:r>
      <w:r>
        <w:rPr>
          <w:rStyle w:val="17"/>
          <w:rFonts w:hint="eastAsia" w:ascii="宋体" w:hAnsi="宋体" w:eastAsia="宋体" w:cs="宋体"/>
          <w:color w:val="auto"/>
          <w:sz w:val="28"/>
          <w:szCs w:val="28"/>
          <w:highlight w:val="none"/>
        </w:rPr>
        <w:t>立案环节相似事件提示</w:t>
      </w:r>
    </w:p>
    <w:p w14:paraId="6F2E76F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立案阶段进行相似案件提示，主要是防止大量的相似案件，导致后面的专业部门花费更多的精力来甄别该案件是否是重复案件。通过在立案环节系统自动进行相似案卷提示，可以大大提高案件的办理效率。系统支持按照一定的规则，如根据案件大小类、案件发生范围、案件发生时间等条件，来判断该案件是否与之前的案件属于同一重复案件。</w:t>
      </w:r>
    </w:p>
    <w:p w14:paraId="756CDFA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监督员上报的案件以及受理员登记的案件立案时，都会进行相似案件的判断，如果该案件满足了相似案件的判断规则，则系统自动判断该案件存在相似案件，以小图标的形式进行相似案卷提醒。</w:t>
      </w:r>
    </w:p>
    <w:p w14:paraId="1C9B08E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1.1.3.1.1.2.4 </w:t>
      </w:r>
      <w:r>
        <w:rPr>
          <w:rStyle w:val="17"/>
          <w:rFonts w:hint="eastAsia" w:ascii="宋体" w:hAnsi="宋体" w:eastAsia="宋体" w:cs="宋体"/>
          <w:color w:val="auto"/>
          <w:sz w:val="28"/>
          <w:szCs w:val="28"/>
          <w:highlight w:val="none"/>
        </w:rPr>
        <w:t>相似事件详情</w:t>
      </w:r>
    </w:p>
    <w:p w14:paraId="513057A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支持查看相似案卷详情列表。系统自动对某一案件做出相似案卷判断后，如果该案件存在相似案卷，则对该案件进行“相似案卷”标识。通过“相似案卷”标识可查看相似案卷列表，列表中包括：当前上报的案件基本信息以及疑似重复的案件信息。</w:t>
      </w:r>
    </w:p>
    <w:p w14:paraId="2941A73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1.1.3.1.1.3 </w:t>
      </w:r>
      <w:r>
        <w:rPr>
          <w:rFonts w:hint="eastAsia" w:ascii="宋体" w:hAnsi="宋体" w:eastAsia="宋体" w:cs="宋体"/>
          <w:color w:val="auto"/>
          <w:sz w:val="28"/>
          <w:szCs w:val="28"/>
          <w:highlight w:val="none"/>
        </w:rPr>
        <w:t>非采集区域智能提醒</w:t>
      </w:r>
    </w:p>
    <w:p w14:paraId="5F0FA0C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特定时段、特定区域涉及施工类的问题（施工单位有正规的施工审批手续文件），此类问题专业部门难以按立结案标准要求进行处置。因此，拓展管控区域智能提醒功能，针对城市管理中的一些区域由于环境综合提升需要施工，可由专业部门申请特定时段内对该区域暂停问题上报，审核通过后，监督中心可将该区域该时段发生的问题设置为“禁止上报”。</w:t>
      </w:r>
    </w:p>
    <w:p w14:paraId="21296F0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有时间发生规律的特定类型案件，只允许在规定时间段内上报案件。比如道路保洁公司每天都会在固定的时间段内进行道路保洁，在规定保洁时间段之外采集上报该类案件，环卫公司一般不会响应处置，影响计时考核，因此限制监督员在该时段内上报道路保洁类问题。</w:t>
      </w:r>
    </w:p>
    <w:p w14:paraId="7220C103">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1.1.3.1.1.3.1 </w:t>
      </w:r>
      <w:r>
        <w:rPr>
          <w:rStyle w:val="17"/>
          <w:rFonts w:hint="eastAsia" w:ascii="宋体" w:hAnsi="宋体" w:eastAsia="宋体" w:cs="宋体"/>
          <w:color w:val="auto"/>
          <w:sz w:val="28"/>
          <w:szCs w:val="28"/>
          <w:highlight w:val="none"/>
        </w:rPr>
        <w:t>基本属性设置</w:t>
      </w:r>
    </w:p>
    <w:p w14:paraId="5BF14E7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管控区域的基本属性进行设置，包括区域标识、区域名称、起始管控时间、采集要求、附件信息等。其中区域标识是网格的标识码，起始管控时间是限制问题上报的时间段，附件信息是能证明合法施工的文件或图片。</w:t>
      </w:r>
    </w:p>
    <w:p w14:paraId="30D19F9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1.1.3.1.1.3.2 </w:t>
      </w:r>
      <w:r>
        <w:rPr>
          <w:rStyle w:val="17"/>
          <w:rFonts w:hint="eastAsia" w:ascii="宋体" w:hAnsi="宋体" w:eastAsia="宋体" w:cs="宋体"/>
          <w:color w:val="auto"/>
          <w:sz w:val="28"/>
          <w:szCs w:val="28"/>
          <w:highlight w:val="none"/>
        </w:rPr>
        <w:t>管控区域绘制</w:t>
      </w:r>
    </w:p>
    <w:p w14:paraId="5293BFA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通过地图标注的方式绘制管控区域，按照实际施工情况，选择多边形，在地图上绘制管控区域，在绘制的管控区域，管控时间段内，禁止问题上报。</w:t>
      </w:r>
    </w:p>
    <w:p w14:paraId="3CBFBC3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1.1.3.1.1.3.3 </w:t>
      </w:r>
      <w:r>
        <w:rPr>
          <w:rStyle w:val="17"/>
          <w:rFonts w:hint="eastAsia" w:ascii="宋体" w:hAnsi="宋体" w:eastAsia="宋体" w:cs="宋体"/>
          <w:color w:val="auto"/>
          <w:sz w:val="28"/>
          <w:szCs w:val="28"/>
          <w:highlight w:val="none"/>
        </w:rPr>
        <w:t>限制时段设置</w:t>
      </w:r>
    </w:p>
    <w:p w14:paraId="374F1A7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通过设置限制问题的上报时段，只允许上报限制时段内的案件，超出限制时段内不允许上报。</w:t>
      </w:r>
    </w:p>
    <w:p w14:paraId="01986D6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1.1.3.1.1.3.4 </w:t>
      </w:r>
      <w:r>
        <w:rPr>
          <w:rStyle w:val="17"/>
          <w:rFonts w:hint="eastAsia" w:ascii="宋体" w:hAnsi="宋体" w:eastAsia="宋体" w:cs="宋体"/>
          <w:color w:val="auto"/>
          <w:sz w:val="28"/>
          <w:szCs w:val="28"/>
          <w:highlight w:val="none"/>
        </w:rPr>
        <w:t>管控区域智能提醒</w:t>
      </w:r>
    </w:p>
    <w:p w14:paraId="6B4446D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当监督员在管控区域上报此类问题时，城管通上会提醒监督员该段时间此区域不允许上报。</w:t>
      </w:r>
    </w:p>
    <w:p w14:paraId="360B2F2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1.1.3.1.1.3.5 </w:t>
      </w:r>
      <w:r>
        <w:rPr>
          <w:rStyle w:val="17"/>
          <w:rFonts w:hint="eastAsia" w:ascii="宋体" w:hAnsi="宋体" w:eastAsia="宋体" w:cs="宋体"/>
          <w:color w:val="auto"/>
          <w:sz w:val="28"/>
          <w:szCs w:val="28"/>
          <w:highlight w:val="none"/>
        </w:rPr>
        <w:t>限制时段智能提醒</w:t>
      </w:r>
    </w:p>
    <w:p w14:paraId="12140BC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对于某些案件类型、区域（路段），只能在某些时段内采集才是有效案件。因此需要对上报的时段做限制。如果不允许上报，则给出警告提示。</w:t>
      </w:r>
    </w:p>
    <w:p w14:paraId="4E455A3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1.1.3.1.1.4 </w:t>
      </w:r>
      <w:r>
        <w:rPr>
          <w:rFonts w:hint="eastAsia" w:ascii="宋体" w:hAnsi="宋体" w:eastAsia="宋体" w:cs="宋体"/>
          <w:color w:val="auto"/>
          <w:sz w:val="28"/>
          <w:szCs w:val="28"/>
          <w:highlight w:val="none"/>
        </w:rPr>
        <w:t>受理一席三屏支撑</w:t>
      </w:r>
    </w:p>
    <w:p w14:paraId="44BC8E93">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1.1.3.1.1.4.1 </w:t>
      </w:r>
      <w:r>
        <w:rPr>
          <w:rStyle w:val="17"/>
          <w:rFonts w:hint="eastAsia" w:ascii="宋体" w:hAnsi="宋体" w:eastAsia="宋体" w:cs="宋体"/>
          <w:color w:val="auto"/>
          <w:sz w:val="28"/>
          <w:szCs w:val="28"/>
          <w:highlight w:val="none"/>
        </w:rPr>
        <w:t>事件位置落图</w:t>
      </w:r>
    </w:p>
    <w:p w14:paraId="3A2F13F1">
      <w:pPr>
        <w:pStyle w:val="14"/>
        <w:keepNext w:val="0"/>
        <w:keepLines w:val="0"/>
        <w:widowControl/>
        <w:suppressLineNumbers w:val="0"/>
        <w:ind w:left="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显示事件记录的地图位置，在地图上红色小圆点标记事件的位置。</w:t>
      </w:r>
    </w:p>
    <w:p w14:paraId="19274C1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1.1.3.1.1.4.2 </w:t>
      </w:r>
      <w:r>
        <w:rPr>
          <w:rStyle w:val="17"/>
          <w:rFonts w:hint="eastAsia" w:ascii="宋体" w:hAnsi="宋体" w:eastAsia="宋体" w:cs="宋体"/>
          <w:color w:val="auto"/>
          <w:sz w:val="28"/>
          <w:szCs w:val="28"/>
          <w:highlight w:val="none"/>
        </w:rPr>
        <w:t>事件周边网格员落图</w:t>
      </w:r>
    </w:p>
    <w:p w14:paraId="64467B63">
      <w:pPr>
        <w:pStyle w:val="14"/>
        <w:keepNext w:val="0"/>
        <w:keepLines w:val="0"/>
        <w:widowControl/>
        <w:suppressLineNumbers w:val="0"/>
        <w:ind w:left="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通过点击地图上的事件红色小圆点展示该事件周边的网格员，以蓝点显示支持查看网格员信息、行动轨迹，并可发起点对点视频呼叫，实现现场抽检或指挥调度。</w:t>
      </w:r>
    </w:p>
    <w:p w14:paraId="340C2F75">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1.1.3.1.1.4.3 </w:t>
      </w:r>
      <w:r>
        <w:rPr>
          <w:rStyle w:val="17"/>
          <w:rFonts w:hint="eastAsia" w:ascii="宋体" w:hAnsi="宋体" w:eastAsia="宋体" w:cs="宋体"/>
          <w:color w:val="auto"/>
          <w:sz w:val="28"/>
          <w:szCs w:val="28"/>
          <w:highlight w:val="none"/>
        </w:rPr>
        <w:t>网格区域信息图层</w:t>
      </w:r>
    </w:p>
    <w:p w14:paraId="6E9644D4">
      <w:pPr>
        <w:pStyle w:val="14"/>
        <w:keepNext w:val="0"/>
        <w:keepLines w:val="0"/>
        <w:widowControl/>
        <w:suppressLineNumbers w:val="0"/>
        <w:ind w:left="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通过事件的位置展示所属网格信息如归属区域、负责部门等，便于工作人员确定派遣处理等决策。</w:t>
      </w:r>
    </w:p>
    <w:p w14:paraId="334B418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1.1.3.1.1.4.4 </w:t>
      </w:r>
      <w:r>
        <w:rPr>
          <w:rStyle w:val="17"/>
          <w:rFonts w:hint="eastAsia" w:ascii="宋体" w:hAnsi="宋体" w:eastAsia="宋体" w:cs="宋体"/>
          <w:color w:val="auto"/>
          <w:sz w:val="28"/>
          <w:szCs w:val="28"/>
          <w:highlight w:val="none"/>
        </w:rPr>
        <w:t>周边资源落图</w:t>
      </w:r>
    </w:p>
    <w:p w14:paraId="2A844580">
      <w:pPr>
        <w:pStyle w:val="14"/>
        <w:keepNext w:val="0"/>
        <w:keepLines w:val="0"/>
        <w:widowControl/>
        <w:suppressLineNumbers w:val="0"/>
        <w:ind w:left="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以事件为中心点分析事件类型展示周边的资源，包括网格人员、城市部件位置、视频监控点位、车辆位置、应急资源等。周边范围的阈值可自行设定，如可设定为中心点周边的1000米内、500米内等。</w:t>
      </w:r>
    </w:p>
    <w:p w14:paraId="7EC3E1EB">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1.1.3.1.1.4.5 </w:t>
      </w:r>
      <w:r>
        <w:rPr>
          <w:rStyle w:val="17"/>
          <w:rFonts w:hint="eastAsia" w:ascii="宋体" w:hAnsi="宋体" w:eastAsia="宋体" w:cs="宋体"/>
          <w:color w:val="auto"/>
          <w:sz w:val="28"/>
          <w:szCs w:val="28"/>
          <w:highlight w:val="none"/>
        </w:rPr>
        <w:t>业务指导系统接入</w:t>
      </w:r>
    </w:p>
    <w:p w14:paraId="38551138">
      <w:pPr>
        <w:pStyle w:val="14"/>
        <w:keepNext w:val="0"/>
        <w:keepLines w:val="0"/>
        <w:widowControl/>
        <w:suppressLineNumbers w:val="0"/>
        <w:ind w:left="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接入国家平台中业务指导系统；</w:t>
      </w:r>
    </w:p>
    <w:p w14:paraId="339FA2F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1.1.3.1.1.5 </w:t>
      </w:r>
      <w:r>
        <w:rPr>
          <w:rFonts w:hint="eastAsia" w:ascii="宋体" w:hAnsi="宋体" w:eastAsia="宋体" w:cs="宋体"/>
          <w:color w:val="auto"/>
          <w:sz w:val="28"/>
          <w:szCs w:val="28"/>
          <w:highlight w:val="none"/>
        </w:rPr>
        <w:t>差错件办理</w:t>
      </w:r>
    </w:p>
    <w:p w14:paraId="1D1B368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1.1.3.1.1.5.1 </w:t>
      </w:r>
      <w:r>
        <w:rPr>
          <w:rStyle w:val="17"/>
          <w:rFonts w:hint="eastAsia" w:ascii="宋体" w:hAnsi="宋体" w:eastAsia="宋体" w:cs="宋体"/>
          <w:color w:val="auto"/>
          <w:sz w:val="28"/>
          <w:szCs w:val="28"/>
          <w:highlight w:val="none"/>
        </w:rPr>
        <w:t>差错件标识</w:t>
      </w:r>
    </w:p>
    <w:p w14:paraId="7382E58E">
      <w:pPr>
        <w:pStyle w:val="14"/>
        <w:keepNext w:val="0"/>
        <w:keepLines w:val="0"/>
        <w:widowControl/>
        <w:suppressLineNumbers w:val="0"/>
        <w:spacing w:before="120" w:beforeAutospacing="0"/>
        <w:ind w:left="39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坐席员可对网格员导致的案件进行差错件标识，被标识的差错件会在差错件功能界面中显示。</w:t>
      </w:r>
    </w:p>
    <w:p w14:paraId="7E1CDBC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1.1.3.1.1.5.2 </w:t>
      </w:r>
      <w:r>
        <w:rPr>
          <w:rStyle w:val="17"/>
          <w:rFonts w:hint="eastAsia" w:ascii="宋体" w:hAnsi="宋体" w:eastAsia="宋体" w:cs="宋体"/>
          <w:color w:val="auto"/>
          <w:sz w:val="28"/>
          <w:szCs w:val="28"/>
          <w:highlight w:val="none"/>
        </w:rPr>
        <w:t>差错件列表</w:t>
      </w:r>
    </w:p>
    <w:p w14:paraId="582BD06B">
      <w:pPr>
        <w:pStyle w:val="14"/>
        <w:keepNext w:val="0"/>
        <w:keepLines w:val="0"/>
        <w:widowControl/>
        <w:suppressLineNumbers w:val="0"/>
        <w:spacing w:before="120" w:beforeAutospacing="0"/>
        <w:ind w:left="39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网格员管理员可查看差错件功能界面，并且可以对案件进行详情查看，可以进行差错件申请，申请内容包括申诉意见及附件上传（支持照片、文件等）。</w:t>
      </w:r>
    </w:p>
    <w:p w14:paraId="348B42F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1.1.3.1.1.5.3 </w:t>
      </w:r>
      <w:r>
        <w:rPr>
          <w:rStyle w:val="17"/>
          <w:rFonts w:hint="eastAsia" w:ascii="宋体" w:hAnsi="宋体" w:eastAsia="宋体" w:cs="宋体"/>
          <w:color w:val="auto"/>
          <w:sz w:val="28"/>
          <w:szCs w:val="28"/>
          <w:highlight w:val="none"/>
        </w:rPr>
        <w:t>差错件审核</w:t>
      </w:r>
    </w:p>
    <w:p w14:paraId="1E947E1C">
      <w:pPr>
        <w:pStyle w:val="14"/>
        <w:keepNext w:val="0"/>
        <w:keepLines w:val="0"/>
        <w:widowControl/>
        <w:suppressLineNumbers w:val="0"/>
        <w:spacing w:before="120" w:beforeAutospacing="0"/>
        <w:ind w:left="39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坐席员可对申诉的差错件进行审核，审核通过的差错件则被标记为“审核通过”，未通过案件被标记为”审核未通过“并且需采集公司再次申诉。</w:t>
      </w:r>
    </w:p>
    <w:p w14:paraId="68A994D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1.1.3.1.1.5.4 </w:t>
      </w:r>
      <w:r>
        <w:rPr>
          <w:rStyle w:val="17"/>
          <w:rFonts w:hint="eastAsia" w:ascii="宋体" w:hAnsi="宋体" w:eastAsia="宋体" w:cs="宋体"/>
          <w:color w:val="auto"/>
          <w:sz w:val="28"/>
          <w:szCs w:val="28"/>
          <w:highlight w:val="none"/>
        </w:rPr>
        <w:t>差错件状态</w:t>
      </w:r>
    </w:p>
    <w:p w14:paraId="4ED0DEC6">
      <w:pPr>
        <w:pStyle w:val="14"/>
        <w:keepNext w:val="0"/>
        <w:keepLines w:val="0"/>
        <w:widowControl/>
        <w:suppressLineNumbers w:val="0"/>
        <w:spacing w:before="120" w:beforeAutospacing="0"/>
        <w:ind w:left="39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差错件状态，”未申诉“，”申诉中“、”审核通过“、”审核未通过“。</w:t>
      </w:r>
    </w:p>
    <w:p w14:paraId="752C209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1.1.3.1.1.5.5 </w:t>
      </w:r>
      <w:r>
        <w:rPr>
          <w:rStyle w:val="17"/>
          <w:rFonts w:hint="eastAsia" w:ascii="宋体" w:hAnsi="宋体" w:eastAsia="宋体" w:cs="宋体"/>
          <w:color w:val="auto"/>
          <w:sz w:val="28"/>
          <w:szCs w:val="28"/>
          <w:highlight w:val="none"/>
        </w:rPr>
        <w:t>差错件统计</w:t>
      </w:r>
    </w:p>
    <w:p w14:paraId="750B7334">
      <w:pPr>
        <w:pStyle w:val="14"/>
        <w:keepNext w:val="0"/>
        <w:keepLines w:val="0"/>
        <w:widowControl/>
        <w:suppressLineNumbers w:val="0"/>
        <w:spacing w:before="120" w:beforeAutospacing="0"/>
        <w:ind w:left="390" w:firstLine="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数据统计，可根据区域、上报时间、差错执行时间、登记人员（标记差错件账号）、监督员、责任网格、差错件状态等字段进行条件搜索。搜索结果可根据区域、监督员、责任网格为分组，统计案件相关数据。</w:t>
      </w:r>
    </w:p>
    <w:p w14:paraId="6B1A98E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1.1.3.1.1.5.6 </w:t>
      </w:r>
      <w:r>
        <w:rPr>
          <w:rStyle w:val="17"/>
          <w:rFonts w:hint="eastAsia" w:ascii="宋体" w:hAnsi="宋体" w:eastAsia="宋体" w:cs="宋体"/>
          <w:color w:val="auto"/>
          <w:sz w:val="28"/>
          <w:szCs w:val="28"/>
          <w:highlight w:val="none"/>
        </w:rPr>
        <w:t>差错件导入导出</w:t>
      </w:r>
    </w:p>
    <w:p w14:paraId="02FE25F7">
      <w:pPr>
        <w:pStyle w:val="14"/>
        <w:keepNext w:val="0"/>
        <w:keepLines w:val="0"/>
        <w:widowControl/>
        <w:suppressLineNumbers w:val="0"/>
        <w:spacing w:before="120" w:beforeAutospacing="0"/>
        <w:ind w:left="42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差错件支持反查及导出数据表。</w:t>
      </w:r>
    </w:p>
    <w:p w14:paraId="7370BC6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1.1.3.1.1.6 </w:t>
      </w:r>
      <w:r>
        <w:rPr>
          <w:rFonts w:hint="eastAsia" w:ascii="宋体" w:hAnsi="宋体" w:eastAsia="宋体" w:cs="宋体"/>
          <w:color w:val="auto"/>
          <w:sz w:val="28"/>
          <w:szCs w:val="28"/>
          <w:highlight w:val="none"/>
        </w:rPr>
        <w:t>统一事件汇聚</w:t>
      </w:r>
    </w:p>
    <w:p w14:paraId="1D4C521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将12345平台、12319微信公众号、随手拍、网格员上报、AI视频智能上报、物联网感知平台等上报受理的事件统一进行汇聚， 以及同步事件的处理流程、办结时限、处理结果等数据，实现平台数据共享为相似事件智能识别服务提供历史数据参考，解决导致同一个事件可能在不同渠道受理多次，造成重复受理，的情况，减少，受理人员、办理人员工作量。</w:t>
      </w:r>
    </w:p>
    <w:p w14:paraId="7BC0E3F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1.1.3.1.2 </w:t>
      </w:r>
      <w:r>
        <w:rPr>
          <w:rFonts w:hint="eastAsia" w:ascii="宋体" w:hAnsi="宋体" w:eastAsia="宋体" w:cs="宋体"/>
          <w:color w:val="auto"/>
          <w:sz w:val="28"/>
          <w:szCs w:val="28"/>
          <w:highlight w:val="none"/>
        </w:rPr>
        <w:t>统一分拨</w:t>
      </w:r>
    </w:p>
    <w:p w14:paraId="55C1927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1.1.3.1.2.1 </w:t>
      </w:r>
      <w:r>
        <w:rPr>
          <w:rFonts w:hint="eastAsia" w:ascii="宋体" w:hAnsi="宋体" w:eastAsia="宋体" w:cs="宋体"/>
          <w:color w:val="auto"/>
          <w:sz w:val="28"/>
          <w:szCs w:val="28"/>
          <w:highlight w:val="none"/>
        </w:rPr>
        <w:t>统一用户登录</w:t>
      </w:r>
    </w:p>
    <w:p w14:paraId="248DAB6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能够识别系统账号，实现业务人员账号统一，一次登录多业务系统快速使用。</w:t>
      </w:r>
    </w:p>
    <w:p w14:paraId="3D70437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1.1.3.1.2.2 </w:t>
      </w:r>
      <w:r>
        <w:rPr>
          <w:rFonts w:hint="eastAsia" w:ascii="宋体" w:hAnsi="宋体" w:eastAsia="宋体" w:cs="宋体"/>
          <w:color w:val="auto"/>
          <w:sz w:val="28"/>
          <w:szCs w:val="28"/>
          <w:highlight w:val="none"/>
        </w:rPr>
        <w:t>案件列表</w:t>
      </w:r>
    </w:p>
    <w:p w14:paraId="1EF990F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在用户使用系统时，应能够展示所操作的案件列表，提供案件的相关操作功能，如查看案件信息、批转等操作。</w:t>
      </w:r>
    </w:p>
    <w:p w14:paraId="461F710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1.1.3.1.2.3 </w:t>
      </w:r>
      <w:r>
        <w:rPr>
          <w:rFonts w:hint="eastAsia" w:ascii="宋体" w:hAnsi="宋体" w:eastAsia="宋体" w:cs="宋体"/>
          <w:color w:val="auto"/>
          <w:sz w:val="28"/>
          <w:szCs w:val="28"/>
          <w:highlight w:val="none"/>
        </w:rPr>
        <w:t>字段设置</w:t>
      </w:r>
    </w:p>
    <w:p w14:paraId="4DF0788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在案件列表中默认显示案件基本信息，用户应能够选择这些字段是否显示。</w:t>
      </w:r>
    </w:p>
    <w:p w14:paraId="4D2454C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1.1.3.1.2.4 </w:t>
      </w:r>
      <w:r>
        <w:rPr>
          <w:rFonts w:hint="eastAsia" w:ascii="宋体" w:hAnsi="宋体" w:eastAsia="宋体" w:cs="宋体"/>
          <w:color w:val="auto"/>
          <w:sz w:val="28"/>
          <w:szCs w:val="28"/>
          <w:highlight w:val="none"/>
        </w:rPr>
        <w:t>案卷筛选</w:t>
      </w:r>
    </w:p>
    <w:p w14:paraId="47E64FF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在待办案件列表中，应能够根据字段内容进行筛选显示。</w:t>
      </w:r>
    </w:p>
    <w:p w14:paraId="355EEE8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1.1.3.1.2.5 </w:t>
      </w:r>
      <w:r>
        <w:rPr>
          <w:rFonts w:hint="eastAsia" w:ascii="宋体" w:hAnsi="宋体" w:eastAsia="宋体" w:cs="宋体"/>
          <w:color w:val="auto"/>
          <w:sz w:val="28"/>
          <w:szCs w:val="28"/>
          <w:highlight w:val="none"/>
        </w:rPr>
        <w:t>案件详细信息</w:t>
      </w:r>
    </w:p>
    <w:p w14:paraId="4D68D36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点击列表中的案件，查看案件的主要信息及相关办理信息，通过案件编号的链接，应能够查询案件的多媒体、地图位置等信息。</w:t>
      </w:r>
    </w:p>
    <w:p w14:paraId="7765CB0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1.1.3.1.2.6 </w:t>
      </w:r>
      <w:r>
        <w:rPr>
          <w:rFonts w:hint="eastAsia" w:ascii="宋体" w:hAnsi="宋体" w:eastAsia="宋体" w:cs="宋体"/>
          <w:color w:val="auto"/>
          <w:sz w:val="28"/>
          <w:szCs w:val="28"/>
          <w:highlight w:val="none"/>
        </w:rPr>
        <w:t>案卷下载</w:t>
      </w:r>
    </w:p>
    <w:p w14:paraId="78F2747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系统能够将案件批量导出、下载当前案件的多媒体信息。</w:t>
      </w:r>
    </w:p>
    <w:p w14:paraId="2903C4B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1.1.3.1.2.7 </w:t>
      </w:r>
      <w:r>
        <w:rPr>
          <w:rFonts w:hint="eastAsia" w:ascii="宋体" w:hAnsi="宋体" w:eastAsia="宋体" w:cs="宋体"/>
          <w:color w:val="auto"/>
          <w:sz w:val="28"/>
          <w:szCs w:val="28"/>
          <w:highlight w:val="none"/>
        </w:rPr>
        <w:t>案件回退</w:t>
      </w:r>
    </w:p>
    <w:p w14:paraId="77F3C93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在案件流转过程中，用户认为不归自己负责的案件，应可以回退给上一阶段。</w:t>
      </w:r>
    </w:p>
    <w:p w14:paraId="4FC4DEB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1.1.3.1.2.8 </w:t>
      </w:r>
      <w:r>
        <w:rPr>
          <w:rFonts w:hint="eastAsia" w:ascii="宋体" w:hAnsi="宋体" w:eastAsia="宋体" w:cs="宋体"/>
          <w:color w:val="auto"/>
          <w:sz w:val="28"/>
          <w:szCs w:val="28"/>
          <w:highlight w:val="none"/>
        </w:rPr>
        <w:t>答复回退</w:t>
      </w:r>
    </w:p>
    <w:p w14:paraId="60E52D5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如果认为被回退的案件不合理，可以选择答复回退，而不用重新批转。</w:t>
      </w:r>
    </w:p>
    <w:p w14:paraId="7F0AEFB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1.1.3.1.2.9 </w:t>
      </w:r>
      <w:r>
        <w:rPr>
          <w:rFonts w:hint="eastAsia" w:ascii="宋体" w:hAnsi="宋体" w:eastAsia="宋体" w:cs="宋体"/>
          <w:color w:val="auto"/>
          <w:sz w:val="28"/>
          <w:szCs w:val="28"/>
          <w:highlight w:val="none"/>
        </w:rPr>
        <w:t>案件批转</w:t>
      </w:r>
    </w:p>
    <w:p w14:paraId="5E9CA7F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在案件流转过程中，用户可以通过批转的菜单将案件派遣至下一个流程。</w:t>
      </w:r>
    </w:p>
    <w:p w14:paraId="595DBA5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1.1.3.1.2.10 </w:t>
      </w:r>
      <w:r>
        <w:rPr>
          <w:rFonts w:hint="eastAsia" w:ascii="宋体" w:hAnsi="宋体" w:eastAsia="宋体" w:cs="宋体"/>
          <w:color w:val="auto"/>
          <w:sz w:val="28"/>
          <w:szCs w:val="28"/>
          <w:highlight w:val="none"/>
        </w:rPr>
        <w:t>一键派遣</w:t>
      </w:r>
    </w:p>
    <w:p w14:paraId="336598AF">
      <w:pPr>
        <w:pStyle w:val="14"/>
        <w:keepNext w:val="0"/>
        <w:keepLines w:val="0"/>
        <w:widowControl/>
        <w:suppressLineNumbers w:val="0"/>
        <w:spacing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根据推荐派遣或其他业务规则（小类配置明确的处置部门），确定的派遣部门只有唯部门时，提供一键快捷派遣的功能。</w:t>
      </w:r>
    </w:p>
    <w:p w14:paraId="1CA9FA4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1.1.3.1.2.11 </w:t>
      </w:r>
      <w:r>
        <w:rPr>
          <w:rFonts w:hint="eastAsia" w:ascii="宋体" w:hAnsi="宋体" w:eastAsia="宋体" w:cs="宋体"/>
          <w:color w:val="auto"/>
          <w:sz w:val="28"/>
          <w:szCs w:val="28"/>
          <w:highlight w:val="none"/>
        </w:rPr>
        <w:t>返工派遣</w:t>
      </w:r>
    </w:p>
    <w:p w14:paraId="3A8810E0">
      <w:pPr>
        <w:pStyle w:val="14"/>
        <w:keepNext w:val="0"/>
        <w:keepLines w:val="0"/>
        <w:widowControl/>
        <w:suppressLineNumbers w:val="0"/>
        <w:spacing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返工的案件，再次派遣只能派遣到原处置部门。</w:t>
      </w:r>
    </w:p>
    <w:p w14:paraId="31F713B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1.1.3.1.2.12 </w:t>
      </w:r>
      <w:r>
        <w:rPr>
          <w:rFonts w:hint="eastAsia" w:ascii="宋体" w:hAnsi="宋体" w:eastAsia="宋体" w:cs="宋体"/>
          <w:color w:val="auto"/>
          <w:sz w:val="28"/>
          <w:szCs w:val="28"/>
          <w:highlight w:val="none"/>
        </w:rPr>
        <w:t>定时派遣</w:t>
      </w:r>
    </w:p>
    <w:p w14:paraId="4036947E">
      <w:pPr>
        <w:pStyle w:val="14"/>
        <w:keepNext w:val="0"/>
        <w:keepLines w:val="0"/>
        <w:widowControl/>
        <w:suppressLineNumbers w:val="0"/>
        <w:spacing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对案件的批转设置定时任务，到达派遣时间后，案件自动派遣并开始计时。同时系统支持对定时派遣案件进行修改定时时间和派遣部门，还支持撤销定时派遣。</w:t>
      </w:r>
    </w:p>
    <w:p w14:paraId="5972B81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1.1.3.1.2.13 </w:t>
      </w:r>
      <w:r>
        <w:rPr>
          <w:rFonts w:hint="eastAsia" w:ascii="宋体" w:hAnsi="宋体" w:eastAsia="宋体" w:cs="宋体"/>
          <w:color w:val="auto"/>
          <w:sz w:val="28"/>
          <w:szCs w:val="28"/>
          <w:highlight w:val="none"/>
        </w:rPr>
        <w:t>主协办派遣</w:t>
      </w:r>
    </w:p>
    <w:p w14:paraId="08B700BC">
      <w:pPr>
        <w:pStyle w:val="14"/>
        <w:keepNext w:val="0"/>
        <w:keepLines w:val="0"/>
        <w:widowControl/>
        <w:suppressLineNumbers w:val="0"/>
        <w:spacing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系统支持同时派遣到多部门，可以设定主办部门、协办部门。</w:t>
      </w:r>
    </w:p>
    <w:p w14:paraId="23FA920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1.1.3.1.2.14 </w:t>
      </w:r>
      <w:r>
        <w:rPr>
          <w:rFonts w:hint="eastAsia" w:ascii="宋体" w:hAnsi="宋体" w:eastAsia="宋体" w:cs="宋体"/>
          <w:color w:val="auto"/>
          <w:sz w:val="28"/>
          <w:szCs w:val="28"/>
          <w:highlight w:val="none"/>
        </w:rPr>
        <w:t>强制派遣</w:t>
      </w:r>
    </w:p>
    <w:p w14:paraId="30229803">
      <w:pPr>
        <w:pStyle w:val="14"/>
        <w:keepNext w:val="0"/>
        <w:keepLines w:val="0"/>
        <w:widowControl/>
        <w:suppressLineNumbers w:val="0"/>
        <w:spacing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指挥中心根据指挥手册或者相关文件要求，确定派遣无误的案件，而专业部门依旧反复进行回退扯皮的案件，中心要求禁止其进行回退操作，把该案件强制指定派遣给相应部门。</w:t>
      </w:r>
    </w:p>
    <w:p w14:paraId="7B93379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1.1.3.1.2.15 </w:t>
      </w:r>
      <w:r>
        <w:rPr>
          <w:rFonts w:hint="eastAsia" w:ascii="宋体" w:hAnsi="宋体" w:eastAsia="宋体" w:cs="宋体"/>
          <w:color w:val="auto"/>
          <w:sz w:val="28"/>
          <w:szCs w:val="28"/>
          <w:highlight w:val="none"/>
        </w:rPr>
        <w:t>跨区派遣</w:t>
      </w:r>
    </w:p>
    <w:p w14:paraId="342F1DD1">
      <w:pPr>
        <w:pStyle w:val="14"/>
        <w:keepNext w:val="0"/>
        <w:keepLines w:val="0"/>
        <w:widowControl/>
        <w:suppressLineNumbers w:val="0"/>
        <w:spacing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一些发生在两个区边界的案卷，可能需要协调相邻区进行派单处置，可以把案件转交给相邻区的派遣员派单到自己的区部门处置。</w:t>
      </w:r>
    </w:p>
    <w:p w14:paraId="0EC8BB0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1.1.3.1.2.16 </w:t>
      </w:r>
      <w:r>
        <w:rPr>
          <w:rFonts w:hint="eastAsia" w:ascii="宋体" w:hAnsi="宋体" w:eastAsia="宋体" w:cs="宋体"/>
          <w:color w:val="auto"/>
          <w:sz w:val="28"/>
          <w:szCs w:val="28"/>
          <w:highlight w:val="none"/>
        </w:rPr>
        <w:t>双派遣</w:t>
      </w:r>
    </w:p>
    <w:p w14:paraId="2D080916">
      <w:pPr>
        <w:pStyle w:val="14"/>
        <w:keepNext w:val="0"/>
        <w:keepLines w:val="0"/>
        <w:widowControl/>
        <w:suppressLineNumbers w:val="0"/>
        <w:spacing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为了提高派给专业公司的案件处置效率，系统提供双派遣功能，即当某一案件派遣给处置部门，同时将该案件派遣给相关的监督部门，由该部门对处置部门的处置情况进行监督。</w:t>
      </w:r>
    </w:p>
    <w:p w14:paraId="517184D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1.1.3.1.3 </w:t>
      </w:r>
      <w:r>
        <w:rPr>
          <w:rFonts w:hint="eastAsia" w:ascii="宋体" w:hAnsi="宋体" w:eastAsia="宋体" w:cs="宋体"/>
          <w:color w:val="auto"/>
          <w:sz w:val="28"/>
          <w:szCs w:val="28"/>
          <w:highlight w:val="none"/>
        </w:rPr>
        <w:t>统一办理</w:t>
      </w:r>
    </w:p>
    <w:p w14:paraId="7E85C82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目前城市事件的管理平台包括12345平台、数字城管平台、综治网格平台、e福州综合指挥平台，这些平台的受理渠道不同，数据也没有共享，导致同一个事件可能在不同平台受理多次，造成重复受理，而且事件的受理以人工为主，增加受理人员、办理人员工作量，对事件汇总、分析也带来一定的副作用。</w:t>
      </w:r>
    </w:p>
    <w:p w14:paraId="70E79904">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调研各区县事件受理情况发现，各区县智慧中心对由于平台分立导致重复事件采集情况，反馈比较强烈，不仅仅增加了受理人员工作量，而且各系统由于要各自完成受理事件闭环，导致后续的办理、反馈、归档等工作都是重复的，导致也增加了各委办局的工作量。</w:t>
      </w:r>
    </w:p>
    <w:p w14:paraId="0572EC8A">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因此建设统一任务处置模块在平台的业务受理时进行多渠道重复事件判断，在处置时统一进行任务展示，处置部门通过统一身份认证进入统一任务处置，直观了解当天要处理的相关事件信息，点击代办事项进入对应的业务平台进行任务处置。</w:t>
      </w:r>
    </w:p>
    <w:p w14:paraId="7A40BB7D">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rPr>
        <w:drawing>
          <wp:inline distT="0" distB="0" distL="114300" distR="114300">
            <wp:extent cx="5686425" cy="2686050"/>
            <wp:effectExtent l="0" t="0" r="9525" b="0"/>
            <wp:docPr id="24" name="图片 41" descr="1649300443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1" descr="1649300443617.png"/>
                    <pic:cNvPicPr>
                      <a:picLocks noChangeAspect="1"/>
                    </pic:cNvPicPr>
                  </pic:nvPicPr>
                  <pic:blipFill>
                    <a:blip r:embed="rId5"/>
                    <a:stretch>
                      <a:fillRect/>
                    </a:stretch>
                  </pic:blipFill>
                  <pic:spPr>
                    <a:xfrm>
                      <a:off x="0" y="0"/>
                      <a:ext cx="5686425" cy="2686050"/>
                    </a:xfrm>
                    <a:prstGeom prst="rect">
                      <a:avLst/>
                    </a:prstGeom>
                    <a:noFill/>
                    <a:ln w="9525">
                      <a:noFill/>
                    </a:ln>
                  </pic:spPr>
                </pic:pic>
              </a:graphicData>
            </a:graphic>
          </wp:inline>
        </w:drawing>
      </w:r>
      <w:r>
        <w:rPr>
          <w:rFonts w:hint="eastAsia" w:ascii="宋体" w:hAnsi="宋体" w:eastAsia="宋体" w:cs="宋体"/>
          <w:color w:val="auto"/>
          <w:sz w:val="24"/>
          <w:szCs w:val="24"/>
          <w:highlight w:val="none"/>
        </w:rPr>
        <w:t>业务统一办理流程示意图</w:t>
      </w:r>
    </w:p>
    <w:p w14:paraId="46EAAA0C">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6E545F3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本次通过对福州数字城管系统的协同工作子系统进行改造，改造为福州市网格化管理综合服务平台的统一业务协同服务模块，改造后的统一业务协同模块，不但支持城市管理问题的业务流转，还可以支持综治、环保、安监、食药监、消防、民政、卫计、公安、人社和司法等相关网格化管理问题的业务流转。</w:t>
      </w:r>
    </w:p>
    <w:p w14:paraId="453AE94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用共性业务流程引擎实现统一受理、统一分拨、统一处置，保证业务流程的一致性。统一业务协同服务实现网格化服务管理业务事项统一的调度分发办理，对用户提交符合要求和规范的请求进行统一的数据分发，通过WebService接口等方式提交给各业务系统。采用总线模式进行数据分发，统一数据交互方式，保证业务监控数据的统一性和完整性。</w:t>
      </w:r>
    </w:p>
    <w:p w14:paraId="2E38895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1.1.3.1.3.1 </w:t>
      </w:r>
      <w:r>
        <w:rPr>
          <w:rFonts w:hint="eastAsia" w:ascii="宋体" w:hAnsi="宋体" w:eastAsia="宋体" w:cs="宋体"/>
          <w:color w:val="auto"/>
          <w:sz w:val="28"/>
          <w:szCs w:val="28"/>
          <w:highlight w:val="none"/>
        </w:rPr>
        <w:t>统一用户登录</w:t>
      </w:r>
    </w:p>
    <w:p w14:paraId="21EE00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能够识别系统账号，实现业务人员账号统一，一次登录多业务系统快速使用。</w:t>
      </w:r>
    </w:p>
    <w:p w14:paraId="2227E85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1.1.3.1.3.2 </w:t>
      </w:r>
      <w:r>
        <w:rPr>
          <w:rFonts w:hint="eastAsia" w:ascii="宋体" w:hAnsi="宋体" w:eastAsia="宋体" w:cs="宋体"/>
          <w:color w:val="auto"/>
          <w:sz w:val="28"/>
          <w:szCs w:val="28"/>
          <w:highlight w:val="none"/>
        </w:rPr>
        <w:t>案件列表</w:t>
      </w:r>
    </w:p>
    <w:p w14:paraId="39008EC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在用户使用系统时，应能够展示所操作的案件列表，提供案件的相关操作功能，如查看案件信息、批转等操作。</w:t>
      </w:r>
    </w:p>
    <w:p w14:paraId="73CCDAC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1.1.3.1.3.3 </w:t>
      </w:r>
      <w:r>
        <w:rPr>
          <w:rFonts w:hint="eastAsia" w:ascii="宋体" w:hAnsi="宋体" w:eastAsia="宋体" w:cs="宋体"/>
          <w:color w:val="auto"/>
          <w:sz w:val="28"/>
          <w:szCs w:val="28"/>
          <w:highlight w:val="none"/>
        </w:rPr>
        <w:t>字段设置</w:t>
      </w:r>
    </w:p>
    <w:p w14:paraId="5585E54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在案件列表中默认显示案件基本信息，用户应能够选择这些字段是否显示。</w:t>
      </w:r>
    </w:p>
    <w:p w14:paraId="4CAF032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1.1.3.1.3.4 </w:t>
      </w:r>
      <w:r>
        <w:rPr>
          <w:rFonts w:hint="eastAsia" w:ascii="宋体" w:hAnsi="宋体" w:eastAsia="宋体" w:cs="宋体"/>
          <w:color w:val="auto"/>
          <w:sz w:val="28"/>
          <w:szCs w:val="28"/>
          <w:highlight w:val="none"/>
        </w:rPr>
        <w:t>案卷筛选</w:t>
      </w:r>
    </w:p>
    <w:p w14:paraId="12DFAF7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在待办案件列表中，应能够根据字段内容进行筛选显示。</w:t>
      </w:r>
    </w:p>
    <w:p w14:paraId="21C12E2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1.1.3.1.3.5 </w:t>
      </w:r>
      <w:r>
        <w:rPr>
          <w:rFonts w:hint="eastAsia" w:ascii="宋体" w:hAnsi="宋体" w:eastAsia="宋体" w:cs="宋体"/>
          <w:color w:val="auto"/>
          <w:sz w:val="28"/>
          <w:szCs w:val="28"/>
          <w:highlight w:val="none"/>
        </w:rPr>
        <w:t>案件详细信息</w:t>
      </w:r>
    </w:p>
    <w:p w14:paraId="5221825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点击列表中的案件，查看案件的主要信息及相关办理信息，通过案件编号的链接，应能够查询案件的多媒体、地图位置等信息。</w:t>
      </w:r>
    </w:p>
    <w:p w14:paraId="2E4AD6B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1.1.3.1.3.6 </w:t>
      </w:r>
      <w:r>
        <w:rPr>
          <w:rFonts w:hint="eastAsia" w:ascii="宋体" w:hAnsi="宋体" w:eastAsia="宋体" w:cs="宋体"/>
          <w:color w:val="auto"/>
          <w:sz w:val="28"/>
          <w:szCs w:val="28"/>
          <w:highlight w:val="none"/>
        </w:rPr>
        <w:t>案卷下载</w:t>
      </w:r>
    </w:p>
    <w:p w14:paraId="1D8BFA1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系统能够将案件批量导出、下载当前案件的多媒体信息。</w:t>
      </w:r>
    </w:p>
    <w:p w14:paraId="45F2F54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1.1.3.1.3.7 </w:t>
      </w:r>
      <w:r>
        <w:rPr>
          <w:rFonts w:hint="eastAsia" w:ascii="宋体" w:hAnsi="宋体" w:eastAsia="宋体" w:cs="宋体"/>
          <w:color w:val="auto"/>
          <w:sz w:val="28"/>
          <w:szCs w:val="28"/>
          <w:highlight w:val="none"/>
        </w:rPr>
        <w:t>案件办理</w:t>
      </w:r>
    </w:p>
    <w:p w14:paraId="718D2DC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在代办案件列表中点击“办理”进行办理等操作。</w:t>
      </w:r>
    </w:p>
    <w:p w14:paraId="5E12C8D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1.1.3.1.3.8 </w:t>
      </w:r>
      <w:r>
        <w:rPr>
          <w:rFonts w:hint="eastAsia" w:ascii="宋体" w:hAnsi="宋体" w:eastAsia="宋体" w:cs="宋体"/>
          <w:color w:val="auto"/>
          <w:sz w:val="28"/>
          <w:szCs w:val="28"/>
          <w:highlight w:val="none"/>
        </w:rPr>
        <w:t>案件回退</w:t>
      </w:r>
    </w:p>
    <w:p w14:paraId="60B7B38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在案件流转过程中，用户认为不归自己负责的案件，应可以回退给上一阶段。</w:t>
      </w:r>
    </w:p>
    <w:p w14:paraId="29CCE18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1.1.3.1.3.9 </w:t>
      </w:r>
      <w:r>
        <w:rPr>
          <w:rFonts w:hint="eastAsia" w:ascii="宋体" w:hAnsi="宋体" w:eastAsia="宋体" w:cs="宋体"/>
          <w:color w:val="auto"/>
          <w:sz w:val="28"/>
          <w:szCs w:val="28"/>
          <w:highlight w:val="none"/>
        </w:rPr>
        <w:t>答复回退</w:t>
      </w:r>
    </w:p>
    <w:p w14:paraId="2FED3A3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如果认为被回退的案件不合理，可以选择答复回退，而不用重新批转。</w:t>
      </w:r>
    </w:p>
    <w:p w14:paraId="7A7A109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1.1.3.1.3.10 </w:t>
      </w:r>
      <w:r>
        <w:rPr>
          <w:rFonts w:hint="eastAsia" w:ascii="宋体" w:hAnsi="宋体" w:eastAsia="宋体" w:cs="宋体"/>
          <w:color w:val="auto"/>
          <w:sz w:val="28"/>
          <w:szCs w:val="28"/>
          <w:highlight w:val="none"/>
        </w:rPr>
        <w:t>经办案件</w:t>
      </w:r>
    </w:p>
    <w:p w14:paraId="2863BF5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对于自己办理过的案件，应提供单独的查询入口。</w:t>
      </w:r>
    </w:p>
    <w:p w14:paraId="5B7D1C6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1.1.3.1.3.11 </w:t>
      </w:r>
      <w:r>
        <w:rPr>
          <w:rFonts w:hint="eastAsia" w:ascii="宋体" w:hAnsi="宋体" w:eastAsia="宋体" w:cs="宋体"/>
          <w:color w:val="auto"/>
          <w:sz w:val="28"/>
          <w:szCs w:val="28"/>
          <w:highlight w:val="none"/>
        </w:rPr>
        <w:t>案件存档</w:t>
      </w:r>
    </w:p>
    <w:p w14:paraId="3237BC5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在问题处理完毕后，网格员核查通过的案件，应能够将案件结案存档。</w:t>
      </w:r>
    </w:p>
    <w:p w14:paraId="030647C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1.1.3.1.3.12 </w:t>
      </w:r>
      <w:r>
        <w:rPr>
          <w:rFonts w:hint="eastAsia" w:ascii="宋体" w:hAnsi="宋体" w:eastAsia="宋体" w:cs="宋体"/>
          <w:color w:val="auto"/>
          <w:sz w:val="28"/>
          <w:szCs w:val="28"/>
          <w:highlight w:val="none"/>
        </w:rPr>
        <w:t>授权操作</w:t>
      </w:r>
    </w:p>
    <w:p w14:paraId="66ACA10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经办人在办理案卷的过程中需要对案卷进行特殊处理，经办人可以根据权限设置向有授权权限的人员申请授权，具体包括延期办理、案件挂账和作废等授权内容。案卷进行申请授权后就会进入授权人的授权箱中，等授权人答复并通过授权意见后，经办人就可以对案卷执行授权操作，方便业务人员在特殊情况下对案卷进行处理。</w:t>
      </w:r>
    </w:p>
    <w:p w14:paraId="56C8973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1.1.3.1.3.13 </w:t>
      </w:r>
      <w:r>
        <w:rPr>
          <w:rFonts w:hint="eastAsia" w:ascii="宋体" w:hAnsi="宋体" w:eastAsia="宋体" w:cs="宋体"/>
          <w:color w:val="auto"/>
          <w:sz w:val="28"/>
          <w:szCs w:val="28"/>
          <w:highlight w:val="none"/>
        </w:rPr>
        <w:t>案件计时</w:t>
      </w:r>
    </w:p>
    <w:p w14:paraId="4C4846A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规定专业部门处理的工作时限，以便于进行考核。并针对不同情况，系统能够提供捆绑计时、停止和恢复计时功能。</w:t>
      </w:r>
    </w:p>
    <w:p w14:paraId="3599CF7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1.1.3.1.3.14 </w:t>
      </w:r>
      <w:r>
        <w:rPr>
          <w:rFonts w:hint="eastAsia" w:ascii="宋体" w:hAnsi="宋体" w:eastAsia="宋体" w:cs="宋体"/>
          <w:color w:val="auto"/>
          <w:sz w:val="28"/>
          <w:szCs w:val="28"/>
          <w:highlight w:val="none"/>
        </w:rPr>
        <w:t>典型案件</w:t>
      </w:r>
    </w:p>
    <w:p w14:paraId="7747DF2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在案件处理过程中，对于一些比较典型的问题，值班长应可以将其作为典型案件单独保存。</w:t>
      </w:r>
    </w:p>
    <w:p w14:paraId="521F575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1.1.3.1.3.15 </w:t>
      </w:r>
      <w:r>
        <w:rPr>
          <w:rFonts w:hint="eastAsia" w:ascii="宋体" w:hAnsi="宋体" w:eastAsia="宋体" w:cs="宋体"/>
          <w:color w:val="auto"/>
          <w:sz w:val="28"/>
          <w:szCs w:val="28"/>
          <w:highlight w:val="none"/>
        </w:rPr>
        <w:t>相似案卷提示</w:t>
      </w:r>
    </w:p>
    <w:p w14:paraId="174F021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系统能够根据问题类型、事发时间、事发所属网格来判断是否有相似问题。能够查看相似问题的详细信息。</w:t>
      </w:r>
    </w:p>
    <w:p w14:paraId="04C53B3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1.1.3.1.3.16 </w:t>
      </w:r>
      <w:r>
        <w:rPr>
          <w:rFonts w:hint="eastAsia" w:ascii="宋体" w:hAnsi="宋体" w:eastAsia="宋体" w:cs="宋体"/>
          <w:color w:val="auto"/>
          <w:sz w:val="28"/>
          <w:szCs w:val="28"/>
          <w:highlight w:val="none"/>
        </w:rPr>
        <w:t>案件回访</w:t>
      </w:r>
    </w:p>
    <w:p w14:paraId="2C21A77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在案件结案前，如果该问题举报人要求回访，则通过登记问题时所留下的回访电话，向举报人反馈该问题的处理结果，并将回访意见填写到回访意见栏中。</w:t>
      </w:r>
    </w:p>
    <w:p w14:paraId="330B810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1.1.3.1.3.17 </w:t>
      </w:r>
      <w:r>
        <w:rPr>
          <w:rFonts w:hint="eastAsia" w:ascii="宋体" w:hAnsi="宋体" w:eastAsia="宋体" w:cs="宋体"/>
          <w:color w:val="auto"/>
          <w:sz w:val="28"/>
          <w:szCs w:val="28"/>
          <w:highlight w:val="none"/>
        </w:rPr>
        <w:t>采集员信息查看</w:t>
      </w:r>
    </w:p>
    <w:p w14:paraId="1ADF763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在查看案件信息时，应该能够调出网格员的相关信息，以方便中心人员与网格员联系。</w:t>
      </w:r>
    </w:p>
    <w:p w14:paraId="5AA8609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1.1.3.1.3.18 </w:t>
      </w:r>
      <w:r>
        <w:rPr>
          <w:rFonts w:hint="eastAsia" w:ascii="宋体" w:hAnsi="宋体" w:eastAsia="宋体" w:cs="宋体"/>
          <w:color w:val="auto"/>
          <w:sz w:val="28"/>
          <w:szCs w:val="28"/>
          <w:highlight w:val="none"/>
        </w:rPr>
        <w:t>综合查询</w:t>
      </w:r>
    </w:p>
    <w:p w14:paraId="4CC68F6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能够快速查询网格化管理问题的案件信息。</w:t>
      </w:r>
    </w:p>
    <w:p w14:paraId="48CA0FD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1.1.3.1.3.19 </w:t>
      </w:r>
      <w:r>
        <w:rPr>
          <w:rFonts w:hint="eastAsia" w:ascii="宋体" w:hAnsi="宋体" w:eastAsia="宋体" w:cs="宋体"/>
          <w:color w:val="auto"/>
          <w:sz w:val="28"/>
          <w:szCs w:val="28"/>
          <w:highlight w:val="none"/>
        </w:rPr>
        <w:t>查询统计</w:t>
      </w:r>
    </w:p>
    <w:p w14:paraId="12B43C6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此功能可以是实现监管案件的查询与统计，系统提供了两种查询方式，一是案卷快速查询，用户选择并输入条件，点击‘查询按钮’就可以看到结果。另一种是模版案卷查询，用户可以单击选择列表中的某个模版进行查询。</w:t>
      </w:r>
    </w:p>
    <w:p w14:paraId="181A075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统计模块给用户提供了几种默认的报表，用户可以根据这些模板，对业务办理情况进行统计，满足领导对案卷总体情况的了解和对业务办理情况查询的需要。</w:t>
      </w:r>
    </w:p>
    <w:p w14:paraId="5E50B71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1.1.3.1.3.20 </w:t>
      </w:r>
      <w:r>
        <w:rPr>
          <w:rFonts w:hint="eastAsia" w:ascii="宋体" w:hAnsi="宋体" w:eastAsia="宋体" w:cs="宋体"/>
          <w:color w:val="auto"/>
          <w:sz w:val="28"/>
          <w:szCs w:val="28"/>
          <w:highlight w:val="none"/>
        </w:rPr>
        <w:t>即时消息</w:t>
      </w:r>
    </w:p>
    <w:p w14:paraId="53137B7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系统提供业务办理人员之间发送消息互相通讯的工具，从而提供业务人员的办事效率，接收到其他人发送的消息保存在该栏目下，操作人员可以进行删除。新案卷到达进行即时消息语音提醒。</w:t>
      </w:r>
    </w:p>
    <w:p w14:paraId="6F586C1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1.1.3.1.3.21 </w:t>
      </w:r>
      <w:r>
        <w:rPr>
          <w:rFonts w:hint="eastAsia" w:ascii="宋体" w:hAnsi="宋体" w:eastAsia="宋体" w:cs="宋体"/>
          <w:color w:val="auto"/>
          <w:sz w:val="28"/>
          <w:szCs w:val="28"/>
          <w:highlight w:val="none"/>
        </w:rPr>
        <w:t>数据对接</w:t>
      </w:r>
    </w:p>
    <w:p w14:paraId="265B11C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系统能够与地理编码子系统实现数据对接，实现案件与空间地图的结合。</w:t>
      </w:r>
    </w:p>
    <w:p w14:paraId="2B297B6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1.1.3.1.4 </w:t>
      </w:r>
      <w:r>
        <w:rPr>
          <w:rFonts w:hint="eastAsia" w:ascii="宋体" w:hAnsi="宋体" w:eastAsia="宋体" w:cs="宋体"/>
          <w:color w:val="auto"/>
          <w:sz w:val="28"/>
          <w:szCs w:val="28"/>
          <w:highlight w:val="none"/>
        </w:rPr>
        <w:t>部门联动处置</w:t>
      </w:r>
    </w:p>
    <w:p w14:paraId="26BEF58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部门联动处置系统是为了推进综合监督体系建设，进一步加强街道对辖区事务的统筹指挥调度和资源整合力度，充分发挥街道发现问题、处置问题的能力和权利，依托网格化服务管理系统逐渐完善基层治理体系一种处理机制。主要功能包括街道联动、一键联动、部门报到、综合考评、综合查询等内容。</w:t>
      </w:r>
    </w:p>
    <w:p w14:paraId="0B00DEE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1.1.3.1.4.1 </w:t>
      </w:r>
      <w:r>
        <w:rPr>
          <w:rFonts w:hint="eastAsia" w:ascii="宋体" w:hAnsi="宋体" w:eastAsia="宋体" w:cs="宋体"/>
          <w:color w:val="auto"/>
          <w:sz w:val="28"/>
          <w:szCs w:val="28"/>
          <w:highlight w:val="none"/>
        </w:rPr>
        <w:t>街道联动</w:t>
      </w:r>
    </w:p>
    <w:p w14:paraId="78A764F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1.1.3.1.4.1.1 </w:t>
      </w:r>
      <w:r>
        <w:rPr>
          <w:rStyle w:val="17"/>
          <w:rFonts w:hint="eastAsia" w:ascii="宋体" w:hAnsi="宋体" w:eastAsia="宋体" w:cs="宋体"/>
          <w:color w:val="auto"/>
          <w:sz w:val="28"/>
          <w:szCs w:val="28"/>
          <w:highlight w:val="none"/>
        </w:rPr>
        <w:t>申请联动</w:t>
      </w:r>
    </w:p>
    <w:p w14:paraId="0333711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街道需要对某个案件进行联动时，通过案件的“办理”选项，进入表单界面，“申请联动”功能中需选择授权人、吹哨类别、报到部门、联系人、联系方式、报到时间、人员要求、特殊要求、申请详情以及根据实际情况选择是否上传附件，确定联动后案件进入街道联动待办栏。e治理app同步增加改功能。</w:t>
      </w:r>
    </w:p>
    <w:p w14:paraId="07C6CDC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1.1.3.1.4.1.2 </w:t>
      </w:r>
      <w:r>
        <w:rPr>
          <w:rStyle w:val="17"/>
          <w:rFonts w:hint="eastAsia" w:ascii="宋体" w:hAnsi="宋体" w:eastAsia="宋体" w:cs="宋体"/>
          <w:color w:val="auto"/>
          <w:sz w:val="28"/>
          <w:szCs w:val="28"/>
          <w:highlight w:val="none"/>
        </w:rPr>
        <w:t>答复联动</w:t>
      </w:r>
    </w:p>
    <w:p w14:paraId="63E68F8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授权人接收到街道的联动申请后，根据实际情况对申请进行答复，如果同意，案件进入吹哨状态，并同时给申请时选定的报到部门发送联动案件，如果不同意，则案件保持不变。e治理app同步增加改功能。</w:t>
      </w:r>
    </w:p>
    <w:p w14:paraId="4E047978">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1.1.3.1.4.1.3 </w:t>
      </w:r>
      <w:r>
        <w:rPr>
          <w:rStyle w:val="17"/>
          <w:rFonts w:hint="eastAsia" w:ascii="宋体" w:hAnsi="宋体" w:eastAsia="宋体" w:cs="宋体"/>
          <w:color w:val="auto"/>
          <w:sz w:val="28"/>
          <w:szCs w:val="28"/>
          <w:highlight w:val="none"/>
        </w:rPr>
        <w:t>查看联动意见</w:t>
      </w:r>
    </w:p>
    <w:p w14:paraId="712A698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此功能主要包括两个模块，联动详情展示和报到部门反馈意见，联动详情界面主要展示申请吹哨时的详细信息，反馈意见模块主要是显示报到部门的相关信息，包括报到部门、收到时间、反馈时间、操作人员以及相关反馈意见。若相关部门未按要求填写“反馈意见”，街道可回退案件给该部门。e治理app同步增加改功能。</w:t>
      </w:r>
    </w:p>
    <w:p w14:paraId="3B0D84D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1.1.3.1.4.1.4 </w:t>
      </w:r>
      <w:r>
        <w:rPr>
          <w:rStyle w:val="17"/>
          <w:rFonts w:hint="eastAsia" w:ascii="宋体" w:hAnsi="宋体" w:eastAsia="宋体" w:cs="宋体"/>
          <w:color w:val="auto"/>
          <w:sz w:val="28"/>
          <w:szCs w:val="28"/>
          <w:highlight w:val="none"/>
        </w:rPr>
        <w:t>街道评价</w:t>
      </w:r>
    </w:p>
    <w:p w14:paraId="6B654F6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报到部门反馈后，街道可以根据报到部门的收到时间、响应时间、报到效率、配合度、专业性以及担当意识等参考指标对各部门的反馈和响应情况进行评价打分。</w:t>
      </w:r>
    </w:p>
    <w:p w14:paraId="50B9A88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1.1.3.1.4.1.5 </w:t>
      </w:r>
      <w:r>
        <w:rPr>
          <w:rStyle w:val="17"/>
          <w:rFonts w:hint="eastAsia" w:ascii="宋体" w:hAnsi="宋体" w:eastAsia="宋体" w:cs="宋体"/>
          <w:color w:val="auto"/>
          <w:sz w:val="28"/>
          <w:szCs w:val="28"/>
          <w:highlight w:val="none"/>
        </w:rPr>
        <w:t>打印街道联动处理表</w:t>
      </w:r>
    </w:p>
    <w:p w14:paraId="69425C5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该模块可以将具体一条吹哨案件处理表打印成pdf文件，打印出来的pdf文件主要包含案件主要信息、报到部门相关信息、处理结果以及领导意见。</w:t>
      </w:r>
    </w:p>
    <w:p w14:paraId="3566C02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1.1.3.1.4.2 </w:t>
      </w:r>
      <w:r>
        <w:rPr>
          <w:rFonts w:hint="eastAsia" w:ascii="宋体" w:hAnsi="宋体" w:eastAsia="宋体" w:cs="宋体"/>
          <w:color w:val="auto"/>
          <w:sz w:val="28"/>
          <w:szCs w:val="28"/>
          <w:highlight w:val="none"/>
        </w:rPr>
        <w:t>一键联动</w:t>
      </w:r>
    </w:p>
    <w:p w14:paraId="61FE616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为了简化案件上报流程，系统增加“一键联动”功能，不需要提前登记案件，街道可以通过九宫格页面一键联动栏目；通过一键联动，直接进入到吹哨界面。</w:t>
      </w:r>
    </w:p>
    <w:p w14:paraId="1E7ECF2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其中，在申请联动界面，除了填写正常案件相同字段外，还增加了问题来源、案件类型和问题描述等基本字段，其中案件类型默认为城市管理，问题来源默认街道联动，案件发生地址默认街道办事处地址。e治理app同步增加改功能。</w:t>
      </w:r>
    </w:p>
    <w:p w14:paraId="37E8152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1.1.3.1.4.3 </w:t>
      </w:r>
      <w:r>
        <w:rPr>
          <w:rFonts w:hint="eastAsia" w:ascii="宋体" w:hAnsi="宋体" w:eastAsia="宋体" w:cs="宋体"/>
          <w:color w:val="auto"/>
          <w:sz w:val="28"/>
          <w:szCs w:val="28"/>
          <w:highlight w:val="none"/>
        </w:rPr>
        <w:t>部门报到</w:t>
      </w:r>
    </w:p>
    <w:p w14:paraId="5DBD09D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1.1.3.1.4.3.1 </w:t>
      </w:r>
      <w:r>
        <w:rPr>
          <w:rStyle w:val="17"/>
          <w:rFonts w:hint="eastAsia" w:ascii="宋体" w:hAnsi="宋体" w:eastAsia="宋体" w:cs="宋体"/>
          <w:color w:val="auto"/>
          <w:sz w:val="28"/>
          <w:szCs w:val="28"/>
          <w:highlight w:val="none"/>
        </w:rPr>
        <w:t>收到联动</w:t>
      </w:r>
    </w:p>
    <w:p w14:paraId="1189377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街道发起的吹哨申请通过后，案件会统一显示在待办栏，各相关委办局可以通过“收到”功能进入到填表页面查看详细信息。e治理app同步增加改功能。</w:t>
      </w:r>
    </w:p>
    <w:p w14:paraId="6E9EAA8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1.1.3.1.4.3.2 </w:t>
      </w:r>
      <w:r>
        <w:rPr>
          <w:rStyle w:val="17"/>
          <w:rFonts w:hint="eastAsia" w:ascii="宋体" w:hAnsi="宋体" w:eastAsia="宋体" w:cs="宋体"/>
          <w:color w:val="auto"/>
          <w:sz w:val="28"/>
          <w:szCs w:val="28"/>
          <w:highlight w:val="none"/>
        </w:rPr>
        <w:t>查看意见</w:t>
      </w:r>
    </w:p>
    <w:p w14:paraId="2B197C0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查看联动”功能进入功能页面，左侧标签页显示街道申请联动时的相关信息以及对各报到部门的一些具体要求，右侧标签页显示的是其他委办局填写的联动意见，最后根据实际情况填写本部门的反馈意见并反馈至街道，该案件也从并从联动待办栏中消失。e治理app同步增加改功能。</w:t>
      </w:r>
    </w:p>
    <w:p w14:paraId="55E8D6D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1.1.3.1.4.3.3 </w:t>
      </w:r>
      <w:r>
        <w:rPr>
          <w:rStyle w:val="17"/>
          <w:rFonts w:hint="eastAsia" w:ascii="宋体" w:hAnsi="宋体" w:eastAsia="宋体" w:cs="宋体"/>
          <w:color w:val="auto"/>
          <w:sz w:val="28"/>
          <w:szCs w:val="28"/>
          <w:highlight w:val="none"/>
        </w:rPr>
        <w:t>查看联动成绩</w:t>
      </w:r>
    </w:p>
    <w:p w14:paraId="6D354FF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街道对联动案件评价后及时将评价表批转至区平台，并且也自动分发到委办局并可以点击下载，部门接收到联动成绩提醒后，通过提醒的消息可查看联动成绩页面，并记录当前案件读取状态，也可以通过导航栏“联动成绩”进入联动成绩页面。</w:t>
      </w:r>
    </w:p>
    <w:p w14:paraId="6670196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联动成绩支持查询，相关部门可以通过案件号和联动时间两个指标进行筛选。</w:t>
      </w:r>
    </w:p>
    <w:p w14:paraId="3584FD6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系统也支持评价表下载功能，可以下载街道打分后的评价表。e治理app同步增加改功能。</w:t>
      </w:r>
    </w:p>
    <w:p w14:paraId="548A766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1.1.3.1.4.4 </w:t>
      </w:r>
      <w:r>
        <w:rPr>
          <w:rFonts w:hint="eastAsia" w:ascii="宋体" w:hAnsi="宋体" w:eastAsia="宋体" w:cs="宋体"/>
          <w:color w:val="auto"/>
          <w:sz w:val="28"/>
          <w:szCs w:val="28"/>
          <w:highlight w:val="none"/>
        </w:rPr>
        <w:t>综合查询</w:t>
      </w:r>
    </w:p>
    <w:p w14:paraId="1F86613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支持对所有联动案件进行系统查询，主要参考指标就是案件号和联动时间。该模块为了方便用户快速寻找对应案件箱里的具体案件，通过输入案件号可以精确查询目标案件，或者通过选择联动时间、联动街道以及联动类别进行模糊查询匹配到对应满足条件的所有案件。</w:t>
      </w:r>
    </w:p>
    <w:p w14:paraId="4B2AC32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1.1.3.1.4.5 </w:t>
      </w:r>
      <w:r>
        <w:rPr>
          <w:rFonts w:hint="eastAsia" w:ascii="宋体" w:hAnsi="宋体" w:eastAsia="宋体" w:cs="宋体"/>
          <w:color w:val="auto"/>
          <w:sz w:val="28"/>
          <w:szCs w:val="28"/>
          <w:highlight w:val="none"/>
        </w:rPr>
        <w:t>综合考评</w:t>
      </w:r>
    </w:p>
    <w:p w14:paraId="073376E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1.1.3.1.4.5.1 </w:t>
      </w:r>
      <w:r>
        <w:rPr>
          <w:rStyle w:val="17"/>
          <w:rFonts w:hint="eastAsia" w:ascii="宋体" w:hAnsi="宋体" w:eastAsia="宋体" w:cs="宋体"/>
          <w:color w:val="auto"/>
          <w:sz w:val="28"/>
          <w:szCs w:val="28"/>
          <w:highlight w:val="none"/>
        </w:rPr>
        <w:t>对部门考核</w:t>
      </w:r>
    </w:p>
    <w:p w14:paraId="5713351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主要用于区网格中心对各报到部门的工作情况进行统计评价，评价指标包含报到案件数、街道评价平均分、区级响应平均分，通过以上指标对各部门进行评价考核，计算总分并进行排名，并且该模块支持统计结果导出和统计说明。</w:t>
      </w:r>
    </w:p>
    <w:p w14:paraId="4802D4F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1.1.3.1.4.5.2 </w:t>
      </w:r>
      <w:r>
        <w:rPr>
          <w:rStyle w:val="17"/>
          <w:rFonts w:hint="eastAsia" w:ascii="宋体" w:hAnsi="宋体" w:eastAsia="宋体" w:cs="宋体"/>
          <w:color w:val="auto"/>
          <w:sz w:val="28"/>
          <w:szCs w:val="28"/>
          <w:highlight w:val="none"/>
        </w:rPr>
        <w:t>对街道考核</w:t>
      </w:r>
    </w:p>
    <w:p w14:paraId="405C6DC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主要用于区网格中心对各街道的工作情况进行综合评价，评价指标包含联动案件数、联动解决率和联动满意度，通过以上指标对各街道进行评价考核，计算总分并进行排名，并且系统支持考核结果导出功能。</w:t>
      </w:r>
    </w:p>
    <w:p w14:paraId="3E5F5AA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1.1.3.1.4.5.3 </w:t>
      </w:r>
      <w:r>
        <w:rPr>
          <w:rStyle w:val="17"/>
          <w:rFonts w:hint="eastAsia" w:ascii="宋体" w:hAnsi="宋体" w:eastAsia="宋体" w:cs="宋体"/>
          <w:color w:val="auto"/>
          <w:sz w:val="28"/>
          <w:szCs w:val="28"/>
          <w:highlight w:val="none"/>
        </w:rPr>
        <w:t>类别统计</w:t>
      </w:r>
    </w:p>
    <w:p w14:paraId="3C49576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该模块主要是根据设定的统计条件对案件箱里符合筛选条件的联动案件进行不同类别的统计查询，我们可以很直观的了解到各报到部门的总体得分和各专项分数，并且该模块还支持案件导出和统计说明。</w:t>
      </w:r>
    </w:p>
    <w:p w14:paraId="1FB2B725">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1.1.3.1.4.5.4 </w:t>
      </w:r>
      <w:r>
        <w:rPr>
          <w:rStyle w:val="17"/>
          <w:rFonts w:hint="eastAsia" w:ascii="宋体" w:hAnsi="宋体" w:eastAsia="宋体" w:cs="宋体"/>
          <w:color w:val="auto"/>
          <w:sz w:val="28"/>
          <w:szCs w:val="28"/>
          <w:highlight w:val="none"/>
        </w:rPr>
        <w:t>联动详细成绩</w:t>
      </w:r>
    </w:p>
    <w:p w14:paraId="4E55251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该模块主要是根据设定的统计条件对案件箱里符合筛选条件的联动案件进行详细成绩查询，我们可以很直观的了解到各报到部门的总体得分和各专项分数，并且该模块还支持案件导出和统计说明。</w:t>
      </w:r>
    </w:p>
    <w:p w14:paraId="30965F3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1.1.3.1.5 </w:t>
      </w:r>
      <w:r>
        <w:rPr>
          <w:rFonts w:hint="eastAsia" w:ascii="宋体" w:hAnsi="宋体" w:eastAsia="宋体" w:cs="宋体"/>
          <w:color w:val="auto"/>
          <w:sz w:val="28"/>
          <w:szCs w:val="28"/>
          <w:highlight w:val="none"/>
        </w:rPr>
        <w:t>信息采集员管理</w:t>
      </w:r>
    </w:p>
    <w:p w14:paraId="0F39391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采集员管理子系统主要对信息采集员队伍外包服务的管理和信息采集人员的智慧化管理。该模块针对部分因统计出错、操作失误或者其他客观问题导致考核结果与实际情况不符的，系统支持处置部门提出申诉，然后由考核部门通过多级审核确认，对考核结果进行修改。同时，针对处置部门主动作为的案件，系统支持处置部门提出申报，由考核部门通过多级审核确认，对考核结果进行修改（考核加分）。</w:t>
      </w:r>
    </w:p>
    <w:p w14:paraId="778BC0A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包括采集员三定维护、状态监控、巡更管理、采集考核、预警管理、设备管理等。</w:t>
      </w:r>
    </w:p>
    <w:p w14:paraId="2D7B566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1.1.3.1.5.1 </w:t>
      </w:r>
      <w:r>
        <w:rPr>
          <w:rFonts w:hint="eastAsia" w:ascii="宋体" w:hAnsi="宋体" w:eastAsia="宋体" w:cs="宋体"/>
          <w:color w:val="auto"/>
          <w:sz w:val="28"/>
          <w:szCs w:val="28"/>
          <w:highlight w:val="none"/>
        </w:rPr>
        <w:t>监控统计指标</w:t>
      </w:r>
    </w:p>
    <w:p w14:paraId="02F4D9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考核申诉系统涉及到申诉任务的状态、阶段，情形如下：</w:t>
      </w:r>
    </w:p>
    <w:p w14:paraId="519201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（1）申报案件条件：主动作为。（作为考核加分）</w:t>
      </w:r>
    </w:p>
    <w:p w14:paraId="29A7737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（2）申诉情形：市级系统故障、市级操作失误、恶劣天气或突发事件、客观原因、推诿、回复不实。</w:t>
      </w:r>
    </w:p>
    <w:p w14:paraId="6F17023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（3）申诉任务审核状态：未申诉（报）、已申诉（报）、已复核、科室已审核、中心领导审核、已过申诉时限。</w:t>
      </w:r>
    </w:p>
    <w:p w14:paraId="26EC2F0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（4）申诉任务当前状态：预审核、部门申诉（报）、考核员复核、科室审核、中心领导审核、结束。</w:t>
      </w:r>
    </w:p>
    <w:p w14:paraId="6DC0565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（5）申诉（报）状态：未申诉、审核中、申诉（报）通过、申诉（报）不通过、已过申诉时限。</w:t>
      </w:r>
    </w:p>
    <w:p w14:paraId="0E607B1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1.1.3.1.5.2 </w:t>
      </w:r>
      <w:r>
        <w:rPr>
          <w:rFonts w:hint="eastAsia" w:ascii="宋体" w:hAnsi="宋体" w:eastAsia="宋体" w:cs="宋体"/>
          <w:color w:val="auto"/>
          <w:sz w:val="28"/>
          <w:szCs w:val="28"/>
          <w:highlight w:val="none"/>
        </w:rPr>
        <w:t>三定维护</w:t>
      </w:r>
    </w:p>
    <w:p w14:paraId="2A419E58">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主要用于信息采集员的人员档案建立、责任网格权限管理等方面的工作，使繁重的信息采集员人员管理工作纳入标准化、信息化，利用先进的技术手段减轻用户在人员档案管理、责任权属管理方面的工作压力。主要包括：人员档案管理、人员信息维护、巡查网格配置等</w:t>
      </w:r>
    </w:p>
    <w:p w14:paraId="38CC2A58">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1.1.3.1.5.2.1 </w:t>
      </w:r>
      <w:r>
        <w:rPr>
          <w:rStyle w:val="17"/>
          <w:rFonts w:hint="eastAsia" w:ascii="宋体" w:hAnsi="宋体" w:eastAsia="宋体" w:cs="宋体"/>
          <w:color w:val="auto"/>
          <w:sz w:val="28"/>
          <w:szCs w:val="28"/>
          <w:highlight w:val="none"/>
        </w:rPr>
        <w:t>人员档案管理</w:t>
      </w:r>
    </w:p>
    <w:p w14:paraId="60EB5943">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人员档案管理主要用于信息采集员的人员档案查询和导入导出，使繁重的信息采集员人员管理工作纳入标准化、信息化，利用先进的技术手段，减轻用户在人员档案管理方面的工作压力</w:t>
      </w:r>
    </w:p>
    <w:p w14:paraId="1483CDB1">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1.1.3.1.5.2.2 </w:t>
      </w:r>
      <w:r>
        <w:rPr>
          <w:rStyle w:val="17"/>
          <w:rFonts w:hint="eastAsia" w:ascii="宋体" w:hAnsi="宋体" w:eastAsia="宋体" w:cs="宋体"/>
          <w:color w:val="auto"/>
          <w:sz w:val="28"/>
          <w:szCs w:val="28"/>
          <w:highlight w:val="none"/>
        </w:rPr>
        <w:t>人员信息维护</w:t>
      </w:r>
    </w:p>
    <w:p w14:paraId="3B35A989">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人员信息维护通过人机界面建立完整的人员信息档案，保证档案的完整性、真实性，并且使档案便于查询、管理。管理员或操作员可以进行新增或修改采集员信息的操作。</w:t>
      </w:r>
    </w:p>
    <w:p w14:paraId="142B8A8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1.1.3.1.5.2.3 </w:t>
      </w:r>
      <w:r>
        <w:rPr>
          <w:rStyle w:val="17"/>
          <w:rFonts w:hint="eastAsia" w:ascii="宋体" w:hAnsi="宋体" w:eastAsia="宋体" w:cs="宋体"/>
          <w:color w:val="auto"/>
          <w:sz w:val="28"/>
          <w:szCs w:val="28"/>
          <w:highlight w:val="none"/>
        </w:rPr>
        <w:t>合同管理</w:t>
      </w:r>
    </w:p>
    <w:p w14:paraId="33416A55">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合同信息通过信息采集员档案界面进行上传，支持添加相关身份证、劳动合同附件信息，并关联信息采集人员，便于对人员合同信息管理。</w:t>
      </w:r>
    </w:p>
    <w:p w14:paraId="3A1FDD0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1.1.3.1.5.2.4 </w:t>
      </w:r>
      <w:r>
        <w:rPr>
          <w:rStyle w:val="17"/>
          <w:rFonts w:hint="eastAsia" w:ascii="宋体" w:hAnsi="宋体" w:eastAsia="宋体" w:cs="宋体"/>
          <w:color w:val="auto"/>
          <w:sz w:val="28"/>
          <w:szCs w:val="28"/>
          <w:highlight w:val="none"/>
        </w:rPr>
        <w:t>人事分析</w:t>
      </w:r>
    </w:p>
    <w:p w14:paraId="3D79C753">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通过“一张表”的统计要求，对人员信息录入字段完整度、在职人数、在职率，离职人数、离职率进行统计，支持时间和区域条件进行查询统计报表，支持日、月、年时间进行生成统计报表数据。</w:t>
      </w:r>
    </w:p>
    <w:p w14:paraId="32C56C6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1.1.3.1.5.2.5 </w:t>
      </w:r>
      <w:r>
        <w:rPr>
          <w:rStyle w:val="17"/>
          <w:rFonts w:hint="eastAsia" w:ascii="宋体" w:hAnsi="宋体" w:eastAsia="宋体" w:cs="宋体"/>
          <w:color w:val="auto"/>
          <w:sz w:val="28"/>
          <w:szCs w:val="28"/>
          <w:highlight w:val="none"/>
        </w:rPr>
        <w:t>巡查网格配置</w:t>
      </w:r>
    </w:p>
    <w:p w14:paraId="1445263F">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当新增采集员或责任网格有调整时，操作员、领导、管理员完成信息采集员与责任网格对应配置关系，明确信息采集员的工作范围、作业区域。</w:t>
      </w:r>
    </w:p>
    <w:p w14:paraId="611FE733">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1.1.3.1.5.2.6 </w:t>
      </w:r>
      <w:r>
        <w:rPr>
          <w:rStyle w:val="17"/>
          <w:rFonts w:hint="eastAsia" w:ascii="宋体" w:hAnsi="宋体" w:eastAsia="宋体" w:cs="宋体"/>
          <w:color w:val="auto"/>
          <w:sz w:val="28"/>
          <w:szCs w:val="28"/>
          <w:highlight w:val="none"/>
        </w:rPr>
        <w:t>查看巡查网格</w:t>
      </w:r>
    </w:p>
    <w:p w14:paraId="0CCB41BD">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点击城区选项能够在地图上展现出本城区内的各个责任网格区域范围、以颜色区分各个责任网格区域的四至边界、地图支持放大、缩小、打印功能。点击单个责任网格区域，则地图上自动放大到相应级别，且能够显示出范围、四至边界以颜色区分、地图支持放大、缩小、打印功能。地图做在单独页面上，增加地图显示框的大小，更方便查看责任网格边界和相关信息。</w:t>
      </w:r>
    </w:p>
    <w:p w14:paraId="5281121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1.1.3.1.5.2.7 </w:t>
      </w:r>
      <w:r>
        <w:rPr>
          <w:rStyle w:val="17"/>
          <w:rFonts w:hint="eastAsia" w:ascii="宋体" w:hAnsi="宋体" w:eastAsia="宋体" w:cs="宋体"/>
          <w:color w:val="auto"/>
          <w:sz w:val="28"/>
          <w:szCs w:val="28"/>
          <w:highlight w:val="none"/>
        </w:rPr>
        <w:t>配置巡查网格</w:t>
      </w:r>
    </w:p>
    <w:p w14:paraId="203D598D">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系统按照规则自动生成责任网格编号，用户输入责任网格相关属性信息，然后选择该责任网格相对应的单元网格完成配置。配置责任网格过程中，对责任网格的两个配置规则进行检测，并给出明确的提示。</w:t>
      </w:r>
    </w:p>
    <w:p w14:paraId="5DDA390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1.1.3.1.5.2.8 </w:t>
      </w:r>
      <w:r>
        <w:rPr>
          <w:rStyle w:val="17"/>
          <w:rFonts w:hint="eastAsia" w:ascii="宋体" w:hAnsi="宋体" w:eastAsia="宋体" w:cs="宋体"/>
          <w:color w:val="auto"/>
          <w:sz w:val="28"/>
          <w:szCs w:val="28"/>
          <w:highlight w:val="none"/>
        </w:rPr>
        <w:t>配置权限</w:t>
      </w:r>
    </w:p>
    <w:p w14:paraId="3FD65428">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责任网格配置权限只配置给业务处室。</w:t>
      </w:r>
    </w:p>
    <w:p w14:paraId="2165982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1.1.3.1.5.3 </w:t>
      </w:r>
      <w:r>
        <w:rPr>
          <w:rFonts w:hint="eastAsia" w:ascii="宋体" w:hAnsi="宋体" w:eastAsia="宋体" w:cs="宋体"/>
          <w:color w:val="auto"/>
          <w:sz w:val="28"/>
          <w:szCs w:val="28"/>
          <w:highlight w:val="none"/>
        </w:rPr>
        <w:t>状态监控</w:t>
      </w:r>
    </w:p>
    <w:p w14:paraId="105933E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操作员、领导、管理员登录系统后，显示全部信息采集员当天的情况列表，可对信息采集工作情况进行实时监控。如对超过规则库中定义的预警阈值人、网格进行预警提示。另外可根据用户提供的条件筛选信息采集员信息进行监控查看。</w:t>
      </w:r>
    </w:p>
    <w:p w14:paraId="242B7297">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1.1.3.1.5.3.1 </w:t>
      </w:r>
      <w:r>
        <w:rPr>
          <w:rStyle w:val="17"/>
          <w:rFonts w:hint="eastAsia" w:ascii="宋体" w:hAnsi="宋体" w:eastAsia="宋体" w:cs="宋体"/>
          <w:color w:val="auto"/>
          <w:sz w:val="28"/>
          <w:szCs w:val="28"/>
          <w:highlight w:val="none"/>
        </w:rPr>
        <w:t>“责任网格”查询</w:t>
      </w:r>
    </w:p>
    <w:p w14:paraId="2A11EDCE">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增加“责任网格”查询功能，可以查看责任网格的基本信息，在地图上查看责任网格边界。</w:t>
      </w:r>
    </w:p>
    <w:p w14:paraId="50D8C32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1.1.3.1.5.3.2 </w:t>
      </w:r>
      <w:r>
        <w:rPr>
          <w:rStyle w:val="17"/>
          <w:rFonts w:hint="eastAsia" w:ascii="宋体" w:hAnsi="宋体" w:eastAsia="宋体" w:cs="宋体"/>
          <w:color w:val="auto"/>
          <w:sz w:val="28"/>
          <w:szCs w:val="28"/>
          <w:highlight w:val="none"/>
        </w:rPr>
        <w:t>“巡查网格”查询</w:t>
      </w:r>
    </w:p>
    <w:p w14:paraId="5FB2E57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增加“巡查网格”查询功能，可以查看巡查网格的基本信息，配置的人员，在前在岗的人员；地图中可用颜色区分巡查网格是否有人在岗。</w:t>
      </w:r>
    </w:p>
    <w:p w14:paraId="66994D5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1.1.3.1.5.3.3 </w:t>
      </w:r>
      <w:r>
        <w:rPr>
          <w:rStyle w:val="17"/>
          <w:rFonts w:hint="eastAsia" w:ascii="宋体" w:hAnsi="宋体" w:eastAsia="宋体" w:cs="宋体"/>
          <w:color w:val="auto"/>
          <w:sz w:val="28"/>
          <w:szCs w:val="28"/>
          <w:highlight w:val="none"/>
        </w:rPr>
        <w:t>管理提示</w:t>
      </w:r>
    </w:p>
    <w:p w14:paraId="37040A9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一年365天内，在一个区域内巡查累计超过三个月（90天）的，系统自动将责任网格和采集员名字置为红色字体，同时在保存时弹出友好提示。</w:t>
      </w:r>
    </w:p>
    <w:p w14:paraId="48DBD1C2">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需提供“需三定采集员查询”，可查看查询结果中某位采集员的超期责任网格明细。</w:t>
      </w:r>
    </w:p>
    <w:p w14:paraId="75655D04">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采集员进行轨迹查询中，对采集员在某点停留10分钟以上的时间段给予醒目提示：对于空挡时间段（比如12:15-12:55之间没有轨迹）给予醒目提示，可给出统计功能。</w:t>
      </w:r>
    </w:p>
    <w:p w14:paraId="151FECA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1.1.3.1.5.3.4 </w:t>
      </w:r>
      <w:r>
        <w:rPr>
          <w:rStyle w:val="17"/>
          <w:rFonts w:hint="eastAsia" w:ascii="宋体" w:hAnsi="宋体" w:eastAsia="宋体" w:cs="宋体"/>
          <w:color w:val="auto"/>
          <w:sz w:val="28"/>
          <w:szCs w:val="28"/>
          <w:highlight w:val="none"/>
        </w:rPr>
        <w:t>考勤查询</w:t>
      </w:r>
    </w:p>
    <w:p w14:paraId="3A89087E">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对每天员工考勤情况进行自动记录，包括迟到、早退、旷到等考勤情况的记录，同时对员工工作时间进行统计，实现信息采集员考勤的实时管理，对每天的考勤情况进行细化分析。主要实现功能：</w:t>
      </w:r>
    </w:p>
    <w:p w14:paraId="03843F0C">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对当天的迟到、早退、旷到、串岗等情况进行统计；</w:t>
      </w:r>
    </w:p>
    <w:p w14:paraId="1DD0676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输入查询时间，以天为单位，不可以查询几天、周、月，只能查询以前某天或者本日的考勤情况；</w:t>
      </w:r>
    </w:p>
    <w:p w14:paraId="6F2C2C9A">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可以输入单个信息采集员进行筛选查询。</w:t>
      </w:r>
    </w:p>
    <w:p w14:paraId="7A86367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1.1.3.1.5.3.5 </w:t>
      </w:r>
      <w:r>
        <w:rPr>
          <w:rStyle w:val="17"/>
          <w:rFonts w:hint="eastAsia" w:ascii="宋体" w:hAnsi="宋体" w:eastAsia="宋体" w:cs="宋体"/>
          <w:color w:val="auto"/>
          <w:sz w:val="28"/>
          <w:szCs w:val="28"/>
          <w:highlight w:val="none"/>
        </w:rPr>
        <w:t>考勤统计</w:t>
      </w:r>
    </w:p>
    <w:p w14:paraId="332500BD">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对某个时间段、周、月的员工的考勤情况进行统计分析，便于考勤情况统计，最终数据作为考勤分考评的数据基础。</w:t>
      </w:r>
    </w:p>
    <w:p w14:paraId="6B66B643">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操作员输入时间段、周、月、年、考勤员姓名，系统根据输入项的内容输出全部考勤员或者单个考勤员的考勤统计数据。</w:t>
      </w:r>
    </w:p>
    <w:p w14:paraId="0E8418B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1.1.3.1.5.4 </w:t>
      </w:r>
      <w:r>
        <w:rPr>
          <w:rFonts w:hint="eastAsia" w:ascii="宋体" w:hAnsi="宋体" w:eastAsia="宋体" w:cs="宋体"/>
          <w:color w:val="auto"/>
          <w:sz w:val="28"/>
          <w:szCs w:val="28"/>
          <w:highlight w:val="none"/>
        </w:rPr>
        <w:t>巡更管理</w:t>
      </w:r>
    </w:p>
    <w:p w14:paraId="7BA202A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取定点、定时、定路线的方法对道路、街巷进行巡查。管理人员可以按照责任网格定制巡更标志点，系统生成并制作二维码标牌。信息采集员在城管通手机上对预先设置二维码标牌进行巡更考勤。根据信息采集员对巡更点打点时通过GPS获得的位置和预先设定的巡更点的位置进行对比，如果两者的距离在设定的范围内，意味本次考勤成功。在实际使用中，由于GPS会存在漂移，如建筑物、天气等因素，在巡更定位时还要综合考虑偏差，综合以上，信息采集员发出巡更指令后，系统能够记录以下四种状态：巡更成功、超出范围、GPS未开启、GPS未定位四种状态。主要模块应包括：巡更考勤管理、巡更轨迹展示、巡更统计等。</w:t>
      </w:r>
    </w:p>
    <w:p w14:paraId="039E559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1.1.3.1.5.4.1 </w:t>
      </w:r>
      <w:r>
        <w:rPr>
          <w:rStyle w:val="17"/>
          <w:rFonts w:hint="eastAsia" w:ascii="宋体" w:hAnsi="宋体" w:eastAsia="宋体" w:cs="宋体"/>
          <w:color w:val="auto"/>
          <w:sz w:val="28"/>
          <w:szCs w:val="28"/>
          <w:highlight w:val="none"/>
        </w:rPr>
        <w:t>巡更点设置</w:t>
      </w:r>
    </w:p>
    <w:p w14:paraId="1562AB3E">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管理人员在管理后台根据信息采集员的巡更路线设置巡更点。</w:t>
      </w:r>
    </w:p>
    <w:p w14:paraId="796EE63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1.1.3.1.5.4.2 </w:t>
      </w:r>
      <w:r>
        <w:rPr>
          <w:rStyle w:val="17"/>
          <w:rFonts w:hint="eastAsia" w:ascii="宋体" w:hAnsi="宋体" w:eastAsia="宋体" w:cs="宋体"/>
          <w:color w:val="auto"/>
          <w:sz w:val="28"/>
          <w:szCs w:val="28"/>
          <w:highlight w:val="none"/>
        </w:rPr>
        <w:t>巡更考勤管理</w:t>
      </w:r>
    </w:p>
    <w:p w14:paraId="2084D846">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采集员在规定的巡更路线上，经过巡更点时使用城管通手机进行打点。是城管通巡更管理界面。在该页面，信息采集员可以查看到当天要巡更的圈数、巡更点的位置、以及巡更点打点状态。为查看巡更点在地图中的位置。为非正常巡更状态下，会对信息采集员进行提示。</w:t>
      </w:r>
    </w:p>
    <w:p w14:paraId="13FBA7D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1.1.3.1.5.4.3 </w:t>
      </w:r>
      <w:r>
        <w:rPr>
          <w:rStyle w:val="17"/>
          <w:rFonts w:hint="eastAsia" w:ascii="宋体" w:hAnsi="宋体" w:eastAsia="宋体" w:cs="宋体"/>
          <w:color w:val="auto"/>
          <w:sz w:val="28"/>
          <w:szCs w:val="28"/>
          <w:highlight w:val="none"/>
        </w:rPr>
        <w:t>巡更轨迹展示</w:t>
      </w:r>
    </w:p>
    <w:p w14:paraId="3A38360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根据信息采集员巡更情况，形象的在大屏系统上展示信息采集员的轨迹。点击大屏系统的信息采集员巡更演示，可以看到信息采集员巡更情况。</w:t>
      </w:r>
    </w:p>
    <w:p w14:paraId="2D94A25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1.1.3.1.5.4.4 </w:t>
      </w:r>
      <w:r>
        <w:rPr>
          <w:rStyle w:val="17"/>
          <w:rFonts w:hint="eastAsia" w:ascii="宋体" w:hAnsi="宋体" w:eastAsia="宋体" w:cs="宋体"/>
          <w:color w:val="auto"/>
          <w:sz w:val="28"/>
          <w:szCs w:val="28"/>
          <w:highlight w:val="none"/>
        </w:rPr>
        <w:t>巡更统计</w:t>
      </w:r>
    </w:p>
    <w:p w14:paraId="28D2CD32">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对信息采集员巡更整体情况进行统计。</w:t>
      </w:r>
    </w:p>
    <w:p w14:paraId="28986F8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对信息采集员巡更点的具体巡更情况。</w:t>
      </w:r>
    </w:p>
    <w:p w14:paraId="7B4DCDBE">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信息采集员巡更情况统计表。</w:t>
      </w:r>
    </w:p>
    <w:p w14:paraId="03DC62C1">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根据信息采集员的巡更点打点时间，达到对信息采集员的考勤管理。</w:t>
      </w:r>
    </w:p>
    <w:p w14:paraId="44575DC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1.1.3.1.5.5 </w:t>
      </w:r>
      <w:r>
        <w:rPr>
          <w:rFonts w:hint="eastAsia" w:ascii="宋体" w:hAnsi="宋体" w:eastAsia="宋体" w:cs="宋体"/>
          <w:color w:val="auto"/>
          <w:sz w:val="28"/>
          <w:szCs w:val="28"/>
          <w:highlight w:val="none"/>
        </w:rPr>
        <w:t>采集考核</w:t>
      </w:r>
    </w:p>
    <w:p w14:paraId="2B315082">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根据采集员上报案卷量、漏报情况及人员到岗情况等进行分类汇总，考评单位可参考相关统计数据对采集员或采集公司进行考核评定，给考核管理提供有效的数据支持。</w:t>
      </w:r>
    </w:p>
    <w:p w14:paraId="2E2B2D0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1.1.3.1.5.5.1 </w:t>
      </w:r>
      <w:r>
        <w:rPr>
          <w:rStyle w:val="17"/>
          <w:rFonts w:hint="eastAsia" w:ascii="宋体" w:hAnsi="宋体" w:eastAsia="宋体" w:cs="宋体"/>
          <w:color w:val="auto"/>
          <w:sz w:val="28"/>
          <w:szCs w:val="28"/>
          <w:highlight w:val="none"/>
        </w:rPr>
        <w:t>责任划分</w:t>
      </w:r>
    </w:p>
    <w:p w14:paraId="3113304F">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管理信息采集员部门管理所属网格辖区绑定。</w:t>
      </w:r>
    </w:p>
    <w:p w14:paraId="06BCB1B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1.1.3.1.5.5.2 </w:t>
      </w:r>
      <w:r>
        <w:rPr>
          <w:rStyle w:val="17"/>
          <w:rFonts w:hint="eastAsia" w:ascii="宋体" w:hAnsi="宋体" w:eastAsia="宋体" w:cs="宋体"/>
          <w:color w:val="auto"/>
          <w:sz w:val="28"/>
          <w:szCs w:val="28"/>
          <w:highlight w:val="none"/>
        </w:rPr>
        <w:t>网格分组</w:t>
      </w:r>
    </w:p>
    <w:p w14:paraId="2A66D28C">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通过对信息采集员部门所属网格进行分组，区分各区域小组网格要求。</w:t>
      </w:r>
    </w:p>
    <w:p w14:paraId="75504EE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1.1.3.1.5.5.3 </w:t>
      </w:r>
      <w:r>
        <w:rPr>
          <w:rStyle w:val="17"/>
          <w:rFonts w:hint="eastAsia" w:ascii="宋体" w:hAnsi="宋体" w:eastAsia="宋体" w:cs="宋体"/>
          <w:color w:val="auto"/>
          <w:sz w:val="28"/>
          <w:szCs w:val="28"/>
          <w:highlight w:val="none"/>
        </w:rPr>
        <w:t>班次定义</w:t>
      </w:r>
    </w:p>
    <w:p w14:paraId="41ECA382">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对信息采集员考勤班次时间进行配置，便于对信息采集员考勤的标准时限进行要求。</w:t>
      </w:r>
    </w:p>
    <w:p w14:paraId="5BC30E75">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1.1.3.1.5.5.4 </w:t>
      </w:r>
      <w:r>
        <w:rPr>
          <w:rStyle w:val="17"/>
          <w:rFonts w:hint="eastAsia" w:ascii="宋体" w:hAnsi="宋体" w:eastAsia="宋体" w:cs="宋体"/>
          <w:color w:val="auto"/>
          <w:sz w:val="28"/>
          <w:szCs w:val="28"/>
          <w:highlight w:val="none"/>
        </w:rPr>
        <w:t>网格班次</w:t>
      </w:r>
    </w:p>
    <w:p w14:paraId="2A6E96C9">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通过对信息采集部门网格分组绑定考勤班次配置，已保障现场信息采集员考勤根据实际考勤要求进行的个性化配置。</w:t>
      </w:r>
    </w:p>
    <w:p w14:paraId="791FB81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1.1.3.1.5.5.5 </w:t>
      </w:r>
      <w:r>
        <w:rPr>
          <w:rStyle w:val="17"/>
          <w:rFonts w:hint="eastAsia" w:ascii="宋体" w:hAnsi="宋体" w:eastAsia="宋体" w:cs="宋体"/>
          <w:color w:val="auto"/>
          <w:sz w:val="28"/>
          <w:szCs w:val="28"/>
          <w:highlight w:val="none"/>
        </w:rPr>
        <w:t>排班生成</w:t>
      </w:r>
    </w:p>
    <w:p w14:paraId="53D5BDF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管理信息采集部门排班计划生成，根据采集部门绑定责任网格进行分组排班，支持排班表导出模板及导入数据。在该页面中，可根据时间条件进行展示排班情况。</w:t>
      </w:r>
    </w:p>
    <w:p w14:paraId="471B566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1.1.3.1.5.5.6 </w:t>
      </w:r>
      <w:r>
        <w:rPr>
          <w:rStyle w:val="17"/>
          <w:rFonts w:hint="eastAsia" w:ascii="宋体" w:hAnsi="宋体" w:eastAsia="宋体" w:cs="宋体"/>
          <w:color w:val="auto"/>
          <w:sz w:val="28"/>
          <w:szCs w:val="28"/>
          <w:highlight w:val="none"/>
        </w:rPr>
        <w:t>APP打卡考勤</w:t>
      </w:r>
    </w:p>
    <w:p w14:paraId="741C1FD1">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信息采集员在岗期间，可根据设置的早午晚三班考勤时限内，进行移动端APP打卡考勤，超出时限、不在责任网格内进行考勤打卡，则被统计为异常打卡 数据，并支持采集员管理移动端、电脑端对网格员考勤、缺勤情况进行统计查看。</w:t>
      </w:r>
    </w:p>
    <w:p w14:paraId="6CD3EED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1.1.3.1.5.5.7 </w:t>
      </w:r>
      <w:r>
        <w:rPr>
          <w:rStyle w:val="17"/>
          <w:rFonts w:hint="eastAsia" w:ascii="宋体" w:hAnsi="宋体" w:eastAsia="宋体" w:cs="宋体"/>
          <w:color w:val="auto"/>
          <w:sz w:val="28"/>
          <w:szCs w:val="28"/>
          <w:highlight w:val="none"/>
        </w:rPr>
        <w:t>缺岗责任网格</w:t>
      </w:r>
    </w:p>
    <w:p w14:paraId="00CB19D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采集员可能存在长时间缺岗网格的情况，因此需要在采集员在缺岗半小时后，即给管理中心发送消息提醒“XX采集员已缺岗半小时，请及时确认！”</w:t>
      </w:r>
    </w:p>
    <w:p w14:paraId="7D62570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预警规则：采集员脱离责任网格超过半小时</w:t>
      </w:r>
    </w:p>
    <w:p w14:paraId="7B209FC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1.1.3.1.5.5.8 </w:t>
      </w:r>
      <w:r>
        <w:rPr>
          <w:rStyle w:val="17"/>
          <w:rFonts w:hint="eastAsia" w:ascii="宋体" w:hAnsi="宋体" w:eastAsia="宋体" w:cs="宋体"/>
          <w:color w:val="auto"/>
          <w:sz w:val="28"/>
          <w:szCs w:val="28"/>
          <w:highlight w:val="none"/>
        </w:rPr>
        <w:t>在岗情况展示</w:t>
      </w:r>
    </w:p>
    <w:p w14:paraId="5F640A9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系统根据后台配置排班计划，对各区县信息采集员应在岗，在岗、缺岗人数情况进行统计展示，反查显示每个人员的情况，并支持查看人员详情、工作情况、实时轨迹等相关展示。</w:t>
      </w:r>
    </w:p>
    <w:p w14:paraId="5D55E7E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1.1.3.1.5.6 </w:t>
      </w:r>
      <w:r>
        <w:rPr>
          <w:rFonts w:hint="eastAsia" w:ascii="宋体" w:hAnsi="宋体" w:eastAsia="宋体" w:cs="宋体"/>
          <w:color w:val="auto"/>
          <w:sz w:val="28"/>
          <w:szCs w:val="28"/>
          <w:highlight w:val="none"/>
        </w:rPr>
        <w:t>预警管理</w:t>
      </w:r>
    </w:p>
    <w:p w14:paraId="43784061">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采集员存在异常情况进行系统化监控预警，管理单位可通过预警功能对信息采集员在岗工作情况进行考评监督，并及时提醒，避免信息采集员在工作中存在问题未及时处置导致信息采集员管理出现问题。系统能够记录以下六种异常状态：长时间未产生工作量、离线、信号异常、跨网格、停留五种异常。主要模块包含：静默提醒、离线提醒、停留提醒、脱岗提醒、信号异常提醒、预警配置、预警提示、预警查询；并在监督指挥大屏提供对应功能模块，包括采集员实时预警、在岗情况展示、监督员管理。</w:t>
      </w:r>
    </w:p>
    <w:p w14:paraId="0D2DC87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1.1.3.1.5.6.1 </w:t>
      </w:r>
      <w:r>
        <w:rPr>
          <w:rStyle w:val="17"/>
          <w:rFonts w:hint="eastAsia" w:ascii="宋体" w:hAnsi="宋体" w:eastAsia="宋体" w:cs="宋体"/>
          <w:color w:val="auto"/>
          <w:sz w:val="28"/>
          <w:szCs w:val="28"/>
          <w:highlight w:val="none"/>
        </w:rPr>
        <w:t>静默提醒</w:t>
      </w:r>
    </w:p>
    <w:p w14:paraId="77E0BB3E">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当前经常出现采集员较长时间未上报、核实、核查的情况，因此需要设置在采集员连续一段时间（如1小时）未产生工作量的情况下，给其发布一则消息提醒“您已超过一个小时未产生工作量，请加强巡逻！”</w:t>
      </w:r>
    </w:p>
    <w:p w14:paraId="45CEE438">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预警规则:超过一定时长未产生工作量，时长可配置，如1小时、2小时等。</w:t>
      </w:r>
    </w:p>
    <w:p w14:paraId="3C89E1F8">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1.1.3.1.5.6.2 </w:t>
      </w:r>
      <w:r>
        <w:rPr>
          <w:rStyle w:val="17"/>
          <w:rFonts w:hint="eastAsia" w:ascii="宋体" w:hAnsi="宋体" w:eastAsia="宋体" w:cs="宋体"/>
          <w:color w:val="auto"/>
          <w:sz w:val="28"/>
          <w:szCs w:val="28"/>
          <w:highlight w:val="none"/>
        </w:rPr>
        <w:t>采集员离线提醒</w:t>
      </w:r>
    </w:p>
    <w:p w14:paraId="7179A71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采集员可能存在退出e治理（离线）的情况，因此需要在采集员离线半小时后，即给管理中心发送消息提醒“XX采集员已离线半小时，请及时确认！”</w:t>
      </w:r>
    </w:p>
    <w:p w14:paraId="371E8144">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预警规则：当班采集员离线超过半小时</w:t>
      </w:r>
    </w:p>
    <w:p w14:paraId="5ECCD9B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1.1.3.1.5.6.3 </w:t>
      </w:r>
      <w:r>
        <w:rPr>
          <w:rStyle w:val="17"/>
          <w:rFonts w:hint="eastAsia" w:ascii="宋体" w:hAnsi="宋体" w:eastAsia="宋体" w:cs="宋体"/>
          <w:color w:val="auto"/>
          <w:sz w:val="28"/>
          <w:szCs w:val="28"/>
          <w:highlight w:val="none"/>
        </w:rPr>
        <w:t>采集员停留提醒</w:t>
      </w:r>
    </w:p>
    <w:p w14:paraId="1D5FBF93">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采集员可能存在长时间停留在一个位置（偏差100米）的情况，因此需要在采集员停留半小时后，即给管理中心发送消息提醒“XX采集员已停留半小时，请及时确认！”</w:t>
      </w:r>
    </w:p>
    <w:p w14:paraId="4A94AE5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预警规则：超过半小时，停留在一个位置（偏差100米）</w:t>
      </w:r>
    </w:p>
    <w:p w14:paraId="0A442F0B">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1.1.3.1.5.6.4 </w:t>
      </w:r>
      <w:r>
        <w:rPr>
          <w:rStyle w:val="17"/>
          <w:rFonts w:hint="eastAsia" w:ascii="宋体" w:hAnsi="宋体" w:eastAsia="宋体" w:cs="宋体"/>
          <w:color w:val="auto"/>
          <w:sz w:val="28"/>
          <w:szCs w:val="28"/>
          <w:highlight w:val="none"/>
        </w:rPr>
        <w:t>采集员脱岗提醒</w:t>
      </w:r>
    </w:p>
    <w:p w14:paraId="06FFC974">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采集员可能存在长时间脱离网格的情况，因此需要在采集员在脱岗半小时后，即给管理中心发送消息提醒“XX采集员已脱岗半小时，请及时确认！”</w:t>
      </w:r>
    </w:p>
    <w:p w14:paraId="0CC6EEC3">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预警规则：采集员脱离责任网格超过半小时</w:t>
      </w:r>
    </w:p>
    <w:p w14:paraId="3BB51E0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1.1.3.1.5.6.5 </w:t>
      </w:r>
      <w:r>
        <w:rPr>
          <w:rStyle w:val="17"/>
          <w:rFonts w:hint="eastAsia" w:ascii="宋体" w:hAnsi="宋体" w:eastAsia="宋体" w:cs="宋体"/>
          <w:color w:val="auto"/>
          <w:sz w:val="28"/>
          <w:szCs w:val="28"/>
          <w:highlight w:val="none"/>
        </w:rPr>
        <w:t>采集员信号异常提醒</w:t>
      </w:r>
    </w:p>
    <w:p w14:paraId="5223C44F">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采集员可能存在长时间信号异常（定位轨迹异常）的情况，因此需要在采集员在信号异常半小时后，即给管理中心发送消息提醒“XX采集员信号异常，请及时确认！”</w:t>
      </w:r>
    </w:p>
    <w:p w14:paraId="3A250028">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预警规则：采集员信号异常超过半小时</w:t>
      </w:r>
    </w:p>
    <w:p w14:paraId="21F55DF1">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1.1.3.1.5.6.6 </w:t>
      </w:r>
      <w:r>
        <w:rPr>
          <w:rStyle w:val="17"/>
          <w:rFonts w:hint="eastAsia" w:ascii="宋体" w:hAnsi="宋体" w:eastAsia="宋体" w:cs="宋体"/>
          <w:color w:val="auto"/>
          <w:sz w:val="28"/>
          <w:szCs w:val="28"/>
          <w:highlight w:val="none"/>
        </w:rPr>
        <w:t>预警配置</w:t>
      </w:r>
    </w:p>
    <w:p w14:paraId="238CBA3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管理人员可对信息采集员预警消息进行配置，并通过区域、采集员类型、预警类型及管理人员进行配置。</w:t>
      </w:r>
    </w:p>
    <w:p w14:paraId="5177808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1.1.3.1.5.6.7 </w:t>
      </w:r>
      <w:r>
        <w:rPr>
          <w:rStyle w:val="17"/>
          <w:rFonts w:hint="eastAsia" w:ascii="宋体" w:hAnsi="宋体" w:eastAsia="宋体" w:cs="宋体"/>
          <w:color w:val="auto"/>
          <w:sz w:val="28"/>
          <w:szCs w:val="28"/>
          <w:highlight w:val="none"/>
        </w:rPr>
        <w:t>预警提示</w:t>
      </w:r>
    </w:p>
    <w:p w14:paraId="7E035B89">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采集员在岗期间，出现异常情况达到系统配置的时限后，将会对相关关联人员发送预警消息，网格员自身APP也会进行提示预警情况，要求及时处置。预警消息支持提前如10分钟进行提示，信息采集员进行预警规避。</w:t>
      </w:r>
    </w:p>
    <w:p w14:paraId="4204B0B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1.1.3.1.5.6.8 </w:t>
      </w:r>
      <w:r>
        <w:rPr>
          <w:rStyle w:val="17"/>
          <w:rFonts w:hint="eastAsia" w:ascii="宋体" w:hAnsi="宋体" w:eastAsia="宋体" w:cs="宋体"/>
          <w:color w:val="auto"/>
          <w:sz w:val="28"/>
          <w:szCs w:val="28"/>
          <w:highlight w:val="none"/>
        </w:rPr>
        <w:t>预警查询</w:t>
      </w:r>
    </w:p>
    <w:p w14:paraId="4CAFA9A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信息采集员存在异常后达到要求考核时限，则会生成预警记录，预警记录分为长时间未产生工作量、离线、信号异常、跨网格、停留五类，支持数据根据时间、区域条件进行查询并统计导出数据。</w:t>
      </w:r>
    </w:p>
    <w:p w14:paraId="62EC230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1.1.3.1.5.6.9 </w:t>
      </w:r>
      <w:r>
        <w:rPr>
          <w:rStyle w:val="17"/>
          <w:rFonts w:hint="eastAsia" w:ascii="宋体" w:hAnsi="宋体" w:eastAsia="宋体" w:cs="宋体"/>
          <w:color w:val="auto"/>
          <w:sz w:val="28"/>
          <w:szCs w:val="28"/>
          <w:highlight w:val="none"/>
        </w:rPr>
        <w:t>采集员实时预警</w:t>
      </w:r>
    </w:p>
    <w:p w14:paraId="722EB09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预警信息在大屏上滚动列表展示</w:t>
      </w:r>
    </w:p>
    <w:p w14:paraId="5C70F3F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1、显示最近1个小时的预警，如果1个小时都没有预警，滚动显示为“无预警”</w:t>
      </w:r>
    </w:p>
    <w:p w14:paraId="59B31CB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2、点击列表中的预警信息，打开信息采集员主页，查看人员工作情况和异常次数。</w:t>
      </w:r>
    </w:p>
    <w:p w14:paraId="7BEA01A8">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1.1.3.1.5.6.10 </w:t>
      </w:r>
      <w:r>
        <w:rPr>
          <w:rStyle w:val="17"/>
          <w:rFonts w:hint="eastAsia" w:ascii="宋体" w:hAnsi="宋体" w:eastAsia="宋体" w:cs="宋体"/>
          <w:color w:val="auto"/>
          <w:sz w:val="28"/>
          <w:szCs w:val="28"/>
          <w:highlight w:val="none"/>
        </w:rPr>
        <w:t>在岗情况展示</w:t>
      </w:r>
    </w:p>
    <w:p w14:paraId="02BE8FB0">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系统根据后台配置排班计划，对各区县信息采集员应在岗，在岗、缺岗人数情况进行统计展示，反查显示每个人员的情况，并支持查看人员详情、工作情况、实时轨迹等相关展示。</w:t>
      </w:r>
    </w:p>
    <w:p w14:paraId="0DCAA3E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1.1.3.1.5.6.11 </w:t>
      </w:r>
      <w:r>
        <w:rPr>
          <w:rStyle w:val="17"/>
          <w:rFonts w:hint="eastAsia" w:ascii="宋体" w:hAnsi="宋体" w:eastAsia="宋体" w:cs="宋体"/>
          <w:color w:val="auto"/>
          <w:sz w:val="28"/>
          <w:szCs w:val="28"/>
          <w:highlight w:val="none"/>
        </w:rPr>
        <w:t>监督员管理</w:t>
      </w:r>
    </w:p>
    <w:p w14:paraId="5AF3A577">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督指挥大屏通过一张图的方式进行展示信息采集员实时情况，当前在岗人员数量及实时定位生成人员图标，并显示在地图位置，人员图标左侧显示当前状态，如现在存在异常，则显示黄色“！”，如当前正常，则显示绿色“√”，便于管理人员快速定位信息采集员当前异常，并支持点击地图人员图标或人员列表，查看人员信息及工作情况、异常次数及轨迹展示。</w:t>
      </w:r>
    </w:p>
    <w:p w14:paraId="1F072E3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1.1.3.1.5.7 </w:t>
      </w:r>
      <w:r>
        <w:rPr>
          <w:rFonts w:hint="eastAsia" w:ascii="宋体" w:hAnsi="宋体" w:eastAsia="宋体" w:cs="宋体"/>
          <w:color w:val="auto"/>
          <w:sz w:val="28"/>
          <w:szCs w:val="28"/>
          <w:highlight w:val="none"/>
        </w:rPr>
        <w:t>考核申诉</w:t>
      </w:r>
    </w:p>
    <w:p w14:paraId="52099B1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系统支持考核申诉功能。</w:t>
      </w:r>
    </w:p>
    <w:p w14:paraId="52E9CFB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（1）考核申诉：产生监察点后，通过考核申诉功能，进行考核申诉申请，考核部门通过多级审核同意后，可以对工单扣分监察点指标进行修改。</w:t>
      </w:r>
    </w:p>
    <w:p w14:paraId="0406D2C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（2）监察点申报：案件结案后，对于主动作为的案件，相关部门可以申请主动作为监察点，作为部门考核加分指标。</w:t>
      </w:r>
    </w:p>
    <w:p w14:paraId="4D8D587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1.1.3.1.5.7.1 </w:t>
      </w:r>
      <w:r>
        <w:rPr>
          <w:rStyle w:val="17"/>
          <w:rFonts w:hint="eastAsia" w:ascii="宋体" w:hAnsi="宋体" w:eastAsia="宋体" w:cs="宋体"/>
          <w:color w:val="auto"/>
          <w:sz w:val="28"/>
          <w:szCs w:val="28"/>
          <w:highlight w:val="none"/>
        </w:rPr>
        <w:t>预审核</w:t>
      </w:r>
    </w:p>
    <w:p w14:paraId="2F466F8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绩效评价涉及的考核指标，由预审核人员对此类案件进行预审核，预审核属实的案件，进入部门申诉阶段；预审核不属实的案件，系统直接剔除对应监察点指标。</w:t>
      </w:r>
    </w:p>
    <w:p w14:paraId="74FA903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1.1.3.1.5.7.2 </w:t>
      </w:r>
      <w:r>
        <w:rPr>
          <w:rStyle w:val="17"/>
          <w:rFonts w:hint="eastAsia" w:ascii="宋体" w:hAnsi="宋体" w:eastAsia="宋体" w:cs="宋体"/>
          <w:color w:val="auto"/>
          <w:sz w:val="28"/>
          <w:szCs w:val="28"/>
          <w:highlight w:val="none"/>
        </w:rPr>
        <w:t>部门申诉申报</w:t>
      </w:r>
    </w:p>
    <w:p w14:paraId="1886E59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监察点产生后，案件状态为未申诉，部门可根据申诉（报）状态查询各状态案件、也可根据案件号查询案件监察点名称、监察点产生时间、监察点。</w:t>
      </w:r>
    </w:p>
    <w:p w14:paraId="4150610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申诉：部门登陆申诉系统可对本部门已产生监察点案件进行申诉，申诉界面可填写申诉情形、申诉意见、申诉附件。</w:t>
      </w:r>
    </w:p>
    <w:p w14:paraId="212B9D2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时限：可申诉时间为监察点产生时间后三个自然日内，时限内未申诉，案件状态展示为已过申诉时限。</w:t>
      </w:r>
    </w:p>
    <w:p w14:paraId="43E7659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申报：部门申报可申报本部门经办案件，申报界面填写申报意见、附件。部门申诉申报后，案件流转至考核员复核阶段。</w:t>
      </w:r>
    </w:p>
    <w:p w14:paraId="54E4F9B5">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1.1.3.1.5.7.3 </w:t>
      </w:r>
      <w:r>
        <w:rPr>
          <w:rStyle w:val="17"/>
          <w:rFonts w:hint="eastAsia" w:ascii="宋体" w:hAnsi="宋体" w:eastAsia="宋体" w:cs="宋体"/>
          <w:color w:val="auto"/>
          <w:sz w:val="28"/>
          <w:szCs w:val="28"/>
          <w:highlight w:val="none"/>
        </w:rPr>
        <w:t>考核员复核</w:t>
      </w:r>
    </w:p>
    <w:p w14:paraId="79151C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部门申诉申报的案件先由考核员对案件进行初步复核，考核员根据情况填写审核结果（结果可填写同意、不同意、疑难）、审核意见、附件，审核意见自行填写。考核员复核后，案件流转至科室审核阶段。</w:t>
      </w:r>
    </w:p>
    <w:p w14:paraId="44B5A0F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1.1.3.1.5.7.4 </w:t>
      </w:r>
      <w:r>
        <w:rPr>
          <w:rStyle w:val="17"/>
          <w:rFonts w:hint="eastAsia" w:ascii="宋体" w:hAnsi="宋体" w:eastAsia="宋体" w:cs="宋体"/>
          <w:color w:val="auto"/>
          <w:sz w:val="28"/>
          <w:szCs w:val="28"/>
          <w:highlight w:val="none"/>
        </w:rPr>
        <w:t>科室审核</w:t>
      </w:r>
    </w:p>
    <w:p w14:paraId="451FBA2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考核员复核的案件，由科室对案件进行二次审核，科室根据情况填写审核结果、审核意见、附件。若审核结果填写同意或不同意，案件审核流程结束；若审核结果为疑难，案件流转至中心领导审核阶段。</w:t>
      </w:r>
    </w:p>
    <w:p w14:paraId="79BE49B1">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1.1.3.1.5.7.5 </w:t>
      </w:r>
      <w:r>
        <w:rPr>
          <w:rStyle w:val="17"/>
          <w:rFonts w:hint="eastAsia" w:ascii="宋体" w:hAnsi="宋体" w:eastAsia="宋体" w:cs="宋体"/>
          <w:color w:val="auto"/>
          <w:sz w:val="28"/>
          <w:szCs w:val="28"/>
          <w:highlight w:val="none"/>
        </w:rPr>
        <w:t>中心领导审核</w:t>
      </w:r>
    </w:p>
    <w:p w14:paraId="40DA080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科室审核结果为疑难的案件，由中心领导审核。中心领导可对疑难案件审核为同意或不同意，案件审核流程结束。</w:t>
      </w:r>
    </w:p>
    <w:p w14:paraId="5482372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1.1.3.1.5.8 </w:t>
      </w:r>
      <w:r>
        <w:rPr>
          <w:rFonts w:hint="eastAsia" w:ascii="宋体" w:hAnsi="宋体" w:eastAsia="宋体" w:cs="宋体"/>
          <w:color w:val="auto"/>
          <w:sz w:val="28"/>
          <w:szCs w:val="28"/>
          <w:highlight w:val="none"/>
        </w:rPr>
        <w:t>设备管理</w:t>
      </w:r>
    </w:p>
    <w:p w14:paraId="67106D05">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设备档案管理主要用于信息采集员的移动终端设备档案查询和导入导出，使信息采集人员设备的信息、管理、下发、使用、回收一系列流程可通过信息化手段进行管理留痕，加强对信息采集员设备使用情况的管理。</w:t>
      </w:r>
    </w:p>
    <w:p w14:paraId="2BE8AF7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1.1.3.1.5.8.1 </w:t>
      </w:r>
      <w:r>
        <w:rPr>
          <w:rStyle w:val="17"/>
          <w:rFonts w:hint="eastAsia" w:ascii="宋体" w:hAnsi="宋体" w:eastAsia="宋体" w:cs="宋体"/>
          <w:color w:val="auto"/>
          <w:sz w:val="28"/>
          <w:szCs w:val="28"/>
          <w:highlight w:val="none"/>
        </w:rPr>
        <w:t>新增设备</w:t>
      </w:r>
    </w:p>
    <w:p w14:paraId="104535E7">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管理人员可以通过设备表单进行设备信息录入保存。</w:t>
      </w:r>
    </w:p>
    <w:p w14:paraId="0D8D466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1.1.3.1.5.8.2 </w:t>
      </w:r>
      <w:r>
        <w:rPr>
          <w:rStyle w:val="17"/>
          <w:rFonts w:hint="eastAsia" w:ascii="宋体" w:hAnsi="宋体" w:eastAsia="宋体" w:cs="宋体"/>
          <w:color w:val="auto"/>
          <w:sz w:val="28"/>
          <w:szCs w:val="28"/>
          <w:highlight w:val="none"/>
        </w:rPr>
        <w:t>设备调整</w:t>
      </w:r>
    </w:p>
    <w:p w14:paraId="313A8562">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管理人员对设备状态数据修改，包含设备类型、设备名字、设备编码、设备状态、购置人、购置时间、购置金额信息。</w:t>
      </w:r>
    </w:p>
    <w:p w14:paraId="3D70AC1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1.1.3.1.5.8.3 </w:t>
      </w:r>
      <w:r>
        <w:rPr>
          <w:rStyle w:val="17"/>
          <w:rFonts w:hint="eastAsia" w:ascii="宋体" w:hAnsi="宋体" w:eastAsia="宋体" w:cs="宋体"/>
          <w:color w:val="auto"/>
          <w:sz w:val="28"/>
          <w:szCs w:val="28"/>
          <w:highlight w:val="none"/>
        </w:rPr>
        <w:t>设备查询</w:t>
      </w:r>
    </w:p>
    <w:p w14:paraId="1C3727A8">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管理人员可以根据设备类型、设备名称、设备编码、购置时间、当前拥有人、设备状态等对设备信息进行查询，并支持导出及查看设备详情数据。</w:t>
      </w:r>
    </w:p>
    <w:p w14:paraId="5D1A7B7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1.1.3.1.5.8.4 </w:t>
      </w:r>
      <w:r>
        <w:rPr>
          <w:rStyle w:val="17"/>
          <w:rFonts w:hint="eastAsia" w:ascii="宋体" w:hAnsi="宋体" w:eastAsia="宋体" w:cs="宋体"/>
          <w:color w:val="auto"/>
          <w:sz w:val="28"/>
          <w:szCs w:val="28"/>
          <w:highlight w:val="none"/>
        </w:rPr>
        <w:t>设备管理</w:t>
      </w:r>
    </w:p>
    <w:p w14:paraId="4CCF5349">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管理人员可以通过后台对设备使用情况编辑，包含设备操作、当前拥有人、操作时间、经办人、操作原因。其中包含发放、收回、维修、报废等状态。</w:t>
      </w:r>
    </w:p>
    <w:p w14:paraId="5E846FB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1.1.3.1.5.9 </w:t>
      </w:r>
      <w:r>
        <w:rPr>
          <w:rFonts w:hint="eastAsia" w:ascii="宋体" w:hAnsi="宋体" w:eastAsia="宋体" w:cs="宋体"/>
          <w:color w:val="auto"/>
          <w:sz w:val="28"/>
          <w:szCs w:val="28"/>
          <w:highlight w:val="none"/>
        </w:rPr>
        <w:t>考核报表</w:t>
      </w:r>
    </w:p>
    <w:p w14:paraId="193BEB13">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提供网格员在岗考核报表，管理员可随时查询网格员个人及入职信息，了解目前网格员在职人数以及离职人数。</w:t>
      </w:r>
    </w:p>
    <w:p w14:paraId="1E78D7F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1.1.3.1.5.9.1 </w:t>
      </w:r>
      <w:r>
        <w:rPr>
          <w:rStyle w:val="17"/>
          <w:rFonts w:hint="eastAsia" w:ascii="宋体" w:hAnsi="宋体" w:eastAsia="宋体" w:cs="宋体"/>
          <w:color w:val="auto"/>
          <w:sz w:val="28"/>
          <w:szCs w:val="28"/>
          <w:highlight w:val="none"/>
        </w:rPr>
        <w:t>个人信息更新</w:t>
      </w:r>
    </w:p>
    <w:p w14:paraId="025CC05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所有在职城管网格员需要在线填写个人信息，以加强账号与人员的关联，以达到账号与人员匹配。</w:t>
      </w:r>
    </w:p>
    <w:p w14:paraId="4C317F8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rPr>
        <w:drawing>
          <wp:inline distT="0" distB="0" distL="114300" distR="114300">
            <wp:extent cx="4324350" cy="3048000"/>
            <wp:effectExtent l="0" t="0" r="0" b="0"/>
            <wp:docPr id="27" name="图片 42" descr="16493004799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2" descr="1649300479998.png"/>
                    <pic:cNvPicPr>
                      <a:picLocks noChangeAspect="1"/>
                    </pic:cNvPicPr>
                  </pic:nvPicPr>
                  <pic:blipFill>
                    <a:blip r:embed="rId6"/>
                    <a:stretch>
                      <a:fillRect/>
                    </a:stretch>
                  </pic:blipFill>
                  <pic:spPr>
                    <a:xfrm>
                      <a:off x="0" y="0"/>
                      <a:ext cx="4324350" cy="3048000"/>
                    </a:xfrm>
                    <a:prstGeom prst="rect">
                      <a:avLst/>
                    </a:prstGeom>
                    <a:noFill/>
                    <a:ln w="9525">
                      <a:noFill/>
                    </a:ln>
                  </pic:spPr>
                </pic:pic>
              </a:graphicData>
            </a:graphic>
          </wp:inline>
        </w:drawing>
      </w:r>
      <w:r>
        <w:rPr>
          <w:rFonts w:hint="eastAsia" w:ascii="宋体" w:hAnsi="宋体" w:eastAsia="宋体" w:cs="宋体"/>
          <w:color w:val="auto"/>
          <w:sz w:val="24"/>
          <w:szCs w:val="24"/>
          <w:highlight w:val="none"/>
        </w:rPr>
        <w:t> </w:t>
      </w:r>
    </w:p>
    <w:p w14:paraId="5B84C89F">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网格员个人信息填写表单示意图</w:t>
      </w:r>
    </w:p>
    <w:p w14:paraId="7B5E2AAB">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3DAC6E5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1.1.3.1.5.9.2 </w:t>
      </w:r>
      <w:r>
        <w:rPr>
          <w:rStyle w:val="17"/>
          <w:rFonts w:hint="eastAsia" w:ascii="宋体" w:hAnsi="宋体" w:eastAsia="宋体" w:cs="宋体"/>
          <w:color w:val="auto"/>
          <w:sz w:val="28"/>
          <w:szCs w:val="28"/>
          <w:highlight w:val="none"/>
        </w:rPr>
        <w:t>个人信息审核</w:t>
      </w:r>
    </w:p>
    <w:p w14:paraId="5C180E3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员个人信息填好后不可随意修改，如若修改信息需进行提交至市指挥中心，由市指挥长或市值班长进行审核，审核通过后信息才可以修改生效，并支持查看修改记录。申请人员的申请意见、答复人员名称、申请时间及答复时间和答复意见、以及修改字段及前后修改数据都支持可查。</w:t>
      </w:r>
    </w:p>
    <w:p w14:paraId="41F6B44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rPr>
        <w:drawing>
          <wp:inline distT="0" distB="0" distL="114300" distR="114300">
            <wp:extent cx="3867150" cy="6191250"/>
            <wp:effectExtent l="0" t="0" r="0" b="0"/>
            <wp:docPr id="28" name="图片 43" descr="1649300509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3" descr="1649300509148.png"/>
                    <pic:cNvPicPr>
                      <a:picLocks noChangeAspect="1"/>
                    </pic:cNvPicPr>
                  </pic:nvPicPr>
                  <pic:blipFill>
                    <a:blip r:embed="rId7"/>
                    <a:stretch>
                      <a:fillRect/>
                    </a:stretch>
                  </pic:blipFill>
                  <pic:spPr>
                    <a:xfrm>
                      <a:off x="0" y="0"/>
                      <a:ext cx="3867150" cy="6191250"/>
                    </a:xfrm>
                    <a:prstGeom prst="rect">
                      <a:avLst/>
                    </a:prstGeom>
                    <a:noFill/>
                    <a:ln w="9525">
                      <a:noFill/>
                    </a:ln>
                  </pic:spPr>
                </pic:pic>
              </a:graphicData>
            </a:graphic>
          </wp:inline>
        </w:drawing>
      </w:r>
    </w:p>
    <w:p w14:paraId="1B440A98">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网格员个人信息审核示意图</w:t>
      </w:r>
    </w:p>
    <w:p w14:paraId="63565483">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698D4FF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1.1.3.1.5.9.3 </w:t>
      </w:r>
      <w:r>
        <w:rPr>
          <w:rStyle w:val="17"/>
          <w:rFonts w:hint="eastAsia" w:ascii="宋体" w:hAnsi="宋体" w:eastAsia="宋体" w:cs="宋体"/>
          <w:color w:val="auto"/>
          <w:sz w:val="28"/>
          <w:szCs w:val="28"/>
          <w:highlight w:val="none"/>
        </w:rPr>
        <w:t>多媒体附件</w:t>
      </w:r>
    </w:p>
    <w:p w14:paraId="271771B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网格员在完成个人信息填写时应支持提交多媒体数据或文件（必填），如网格员的个人身份证和入职合同信息。</w:t>
      </w:r>
    </w:p>
    <w:p w14:paraId="06F215B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1.1.3.1.5.9.4 </w:t>
      </w:r>
      <w:r>
        <w:rPr>
          <w:rStyle w:val="17"/>
          <w:rFonts w:hint="eastAsia" w:ascii="宋体" w:hAnsi="宋体" w:eastAsia="宋体" w:cs="宋体"/>
          <w:color w:val="auto"/>
          <w:sz w:val="28"/>
          <w:szCs w:val="28"/>
          <w:highlight w:val="none"/>
        </w:rPr>
        <w:t>离职状态调整</w:t>
      </w:r>
    </w:p>
    <w:p w14:paraId="5D816322">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如果网格员存在离职，则需要采集员管理员立即将其账号状态修改为“离职”，并需要在一周时间内（限定7天）找到新的网格员，并把账号信息更新为新的人员信息，如果超出限定时间未进行修改，则统计时默认判断此账号为缺岗。</w:t>
      </w:r>
    </w:p>
    <w:p w14:paraId="702C3B6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1.1.3.1.5.9.5 </w:t>
      </w:r>
      <w:r>
        <w:rPr>
          <w:rStyle w:val="17"/>
          <w:rFonts w:hint="eastAsia" w:ascii="宋体" w:hAnsi="宋体" w:eastAsia="宋体" w:cs="宋体"/>
          <w:color w:val="auto"/>
          <w:sz w:val="28"/>
          <w:szCs w:val="28"/>
          <w:highlight w:val="none"/>
        </w:rPr>
        <w:t>可视化展示</w:t>
      </w:r>
    </w:p>
    <w:p w14:paraId="486CCA5B">
      <w:pPr>
        <w:pStyle w:val="14"/>
        <w:keepNext w:val="0"/>
        <w:keepLines w:val="0"/>
        <w:widowControl/>
        <w:suppressLineNumbers w:val="0"/>
        <w:spacing w:before="120" w:before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网格员信息录入后展示应支持可视化，图表化展示，包括个人信息根据区域（采集公司）和个人信息进行统计，例如信息完整度，离职网格员未及时修改记录，离职数、离职率、在职数、在职率等。</w:t>
      </w:r>
    </w:p>
    <w:p w14:paraId="5B1B5C31">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rPr>
        <w:drawing>
          <wp:inline distT="0" distB="0" distL="114300" distR="114300">
            <wp:extent cx="5734050" cy="885825"/>
            <wp:effectExtent l="0" t="0" r="0" b="9525"/>
            <wp:docPr id="26" name="图片 44" descr="1649300526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4" descr="1649300526264.png"/>
                    <pic:cNvPicPr>
                      <a:picLocks noChangeAspect="1"/>
                    </pic:cNvPicPr>
                  </pic:nvPicPr>
                  <pic:blipFill>
                    <a:blip r:embed="rId8"/>
                    <a:stretch>
                      <a:fillRect/>
                    </a:stretch>
                  </pic:blipFill>
                  <pic:spPr>
                    <a:xfrm>
                      <a:off x="0" y="0"/>
                      <a:ext cx="5734050" cy="885825"/>
                    </a:xfrm>
                    <a:prstGeom prst="rect">
                      <a:avLst/>
                    </a:prstGeom>
                    <a:noFill/>
                    <a:ln w="9525">
                      <a:noFill/>
                    </a:ln>
                  </pic:spPr>
                </pic:pic>
              </a:graphicData>
            </a:graphic>
          </wp:inline>
        </w:drawing>
      </w:r>
      <w:r>
        <w:rPr>
          <w:rFonts w:hint="eastAsia" w:ascii="宋体" w:hAnsi="宋体" w:eastAsia="宋体" w:cs="宋体"/>
          <w:color w:val="auto"/>
          <w:sz w:val="24"/>
          <w:szCs w:val="24"/>
          <w:highlight w:val="none"/>
        </w:rPr>
        <w:t>网格员在职人数统计示意图</w:t>
      </w:r>
    </w:p>
    <w:p w14:paraId="63234064">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4621867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1.1.3.1.5.10 </w:t>
      </w:r>
      <w:r>
        <w:rPr>
          <w:rFonts w:hint="eastAsia" w:ascii="宋体" w:hAnsi="宋体" w:eastAsia="宋体" w:cs="宋体"/>
          <w:color w:val="auto"/>
          <w:sz w:val="28"/>
          <w:szCs w:val="28"/>
          <w:highlight w:val="none"/>
        </w:rPr>
        <w:t>短信提醒</w:t>
      </w:r>
    </w:p>
    <w:p w14:paraId="66D0A0D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当监察点产生时，系统向对应监察点产生部门人员手机号发送短信，短信内容例：[数字城管考核申诉（报）系统]：案件XXXXXX产生新的考核指标【XXXX】，如有异议请于3工作日内进行申诉！</w:t>
      </w:r>
    </w:p>
    <w:p w14:paraId="2EE667E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1.1.3.1.6 </w:t>
      </w:r>
      <w:r>
        <w:rPr>
          <w:rFonts w:hint="eastAsia" w:ascii="宋体" w:hAnsi="宋体" w:eastAsia="宋体" w:cs="宋体"/>
          <w:color w:val="auto"/>
          <w:sz w:val="28"/>
          <w:szCs w:val="28"/>
          <w:highlight w:val="none"/>
        </w:rPr>
        <w:t>e治理app网格员工作模块H5改造</w:t>
      </w:r>
    </w:p>
    <w:p w14:paraId="1FBDC62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将e治理中的采集员管理模块进行H5改造，嵌入到联防联控系统中，具体H5改造的功能包括问题上报、核实任务、核查任务、数据采集、自行处置、采集员轨迹对接。</w:t>
      </w:r>
    </w:p>
    <w:p w14:paraId="369783D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1.1.3.2 </w:t>
      </w:r>
      <w:r>
        <w:rPr>
          <w:rFonts w:hint="eastAsia" w:ascii="宋体" w:hAnsi="宋体" w:eastAsia="宋体" w:cs="宋体"/>
          <w:color w:val="auto"/>
          <w:sz w:val="28"/>
          <w:szCs w:val="28"/>
          <w:highlight w:val="none"/>
        </w:rPr>
        <w:t>日常指挥协同</w:t>
      </w:r>
    </w:p>
    <w:p w14:paraId="5E0E687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e福州综合指挥平台，升级改造实现城市的立体化日常指挥协同管理功能，系统以网格化管理为基础，以社会化服务为方向，实现隐患排查、社会维稳、治安防控、灾害预防及应急宣传教育等服务工作，建立力量管理、目标掌控、任务追踪及形势研判等管理功能模块。</w:t>
      </w:r>
    </w:p>
    <w:p w14:paraId="0B210B0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1.1.3.2.1 </w:t>
      </w:r>
      <w:r>
        <w:rPr>
          <w:rFonts w:hint="eastAsia" w:ascii="宋体" w:hAnsi="宋体" w:eastAsia="宋体" w:cs="宋体"/>
          <w:color w:val="auto"/>
          <w:sz w:val="28"/>
          <w:szCs w:val="28"/>
          <w:highlight w:val="none"/>
        </w:rPr>
        <w:t>力量管理</w:t>
      </w:r>
    </w:p>
    <w:p w14:paraId="029FA16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系统实现城市辖区内警力、网格员及群防群治力量等各类防控力量的综合管理服务，包括防控力量基础信息维护、防控力量定位监督、防控力量部署管理及防控力量通讯调度等管理功能。</w:t>
      </w:r>
    </w:p>
    <w:p w14:paraId="1A06072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1.1.3.2.1.1 </w:t>
      </w:r>
      <w:r>
        <w:rPr>
          <w:rFonts w:hint="eastAsia" w:ascii="宋体" w:hAnsi="宋体" w:eastAsia="宋体" w:cs="宋体"/>
          <w:color w:val="auto"/>
          <w:sz w:val="28"/>
          <w:szCs w:val="28"/>
          <w:highlight w:val="none"/>
        </w:rPr>
        <w:t>力量信息维护</w:t>
      </w:r>
    </w:p>
    <w:p w14:paraId="23162C3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实现城市辖区内警力、网格员及群防群治力量等各类防控力量的基础信息管理，包括防控力量的类型、基础信息、所在单位、联系方式、人员照片及空间地理位置等信息。</w:t>
      </w:r>
    </w:p>
    <w:p w14:paraId="38E4439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实现防控力量的增加、修改、删除及综合查询功能，实现基于电子地图的防控力量分布检索等功能。</w:t>
      </w:r>
    </w:p>
    <w:p w14:paraId="57E7301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基于数据对接服务支撑平台，实现公安警力、网格员等类型人员基础数据从相应平台的数据直接对接调度。</w:t>
      </w:r>
    </w:p>
    <w:p w14:paraId="5C1E0AB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1、警力信息管理</w:t>
      </w:r>
    </w:p>
    <w:p w14:paraId="0BFE11F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管理辖区的警力及警车等基础信息，包括数据对接、数据修改及数据检索等管理功能。</w:t>
      </w:r>
    </w:p>
    <w:p w14:paraId="362E0CB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2、网格员信息管理</w:t>
      </w:r>
    </w:p>
    <w:p w14:paraId="1AD370A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维护综治网格员、数字城管网格员及行业网格员等各类网格员的基础信息，实现数据通信对接、数据修改及数据检索等管理功能。</w:t>
      </w:r>
    </w:p>
    <w:p w14:paraId="55B6E98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3、保安信息管理</w:t>
      </w:r>
    </w:p>
    <w:p w14:paraId="53CB979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实现专职保安、单位保安、小区物业等各类单位、各类型保安的基础信息管理功能，包括数据增加、修改、删除、数据检索及人员定位等管理功能。</w:t>
      </w:r>
    </w:p>
    <w:p w14:paraId="6C4254D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4、其他群防群治力量管理</w:t>
      </w:r>
    </w:p>
    <w:p w14:paraId="3DE466A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实现社区平安志愿者等各类其他群防群治力量的基础信息管理，包括数据增加、修改、删除、数据检索及人员定位等管理功能。</w:t>
      </w:r>
    </w:p>
    <w:p w14:paraId="7F3FF59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1.1.3.2.1.2 </w:t>
      </w:r>
      <w:r>
        <w:rPr>
          <w:rFonts w:hint="eastAsia" w:ascii="宋体" w:hAnsi="宋体" w:eastAsia="宋体" w:cs="宋体"/>
          <w:color w:val="auto"/>
          <w:sz w:val="28"/>
          <w:szCs w:val="28"/>
          <w:highlight w:val="none"/>
        </w:rPr>
        <w:t>力量定位监督</w:t>
      </w:r>
    </w:p>
    <w:p w14:paraId="24F7A99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实现全市各个辖区各类防控力量的实时定位及轨迹追踪等监督管理功能。包括公安警车及警员实时定位管理、各类网格员实时定位管理、专职保安等群防群治力量的定位管理等。</w:t>
      </w:r>
    </w:p>
    <w:p w14:paraId="033469E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1、力量实时定位</w:t>
      </w:r>
    </w:p>
    <w:p w14:paraId="12294AF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基于地理信息GIS电子地图，结合空间定位支撑服务，实时定位辖区内各个巡逻警车、巡逻警力及网格员等人员的动态信息，全面掌握各个辖区的防控力量分布情况，支持通过电子地图查看各个防控力量的基础信息，直接直接调度相应人员的通信方式。</w:t>
      </w:r>
    </w:p>
    <w:p w14:paraId="24CAE9F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2、力量轨迹追踪</w:t>
      </w:r>
    </w:p>
    <w:p w14:paraId="6488C42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支持各类防控力量的人员轨迹追踪管理功能，查询相应人员的工作或巡逻轨迹，并在电子地图上以动画的形式展示出来。</w:t>
      </w:r>
    </w:p>
    <w:p w14:paraId="180B96F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1.1.3.2.1.3 </w:t>
      </w:r>
      <w:r>
        <w:rPr>
          <w:rFonts w:hint="eastAsia" w:ascii="宋体" w:hAnsi="宋体" w:eastAsia="宋体" w:cs="宋体"/>
          <w:color w:val="auto"/>
          <w:sz w:val="28"/>
          <w:szCs w:val="28"/>
          <w:highlight w:val="none"/>
        </w:rPr>
        <w:t>力量部署管理</w:t>
      </w:r>
    </w:p>
    <w:p w14:paraId="09FCCDE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各个辖区日常指挥协同力量的部署方案及演练管理，科学划分巡逻区域，优化力量布局，建立健全指挥和保障机制，完善早晚高峰等节点人员密集场所重点工作机制及减少治安防控死角和盲区等工作，提升社会面动态控制能力。</w:t>
      </w:r>
    </w:p>
    <w:p w14:paraId="61798C5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1、力量GIS部署批注</w:t>
      </w:r>
    </w:p>
    <w:p w14:paraId="4175D76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系统基于GIS电子地图，在电子地图上直接维护批注各个辖区的各类防控力量及防控工作的部署示意，直观全面掌握防控工作安排情况。</w:t>
      </w:r>
    </w:p>
    <w:p w14:paraId="69DA577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灵活方便的手动批注管理功能，支持各个管理用户自行在GIS地图界面上进行防控力量手写批注，系统提供丰富的批注工具，包括人员类型、防控资源、文本标注、点、线、面等基础批注组件，支持批注后的画面保存管理功能。</w:t>
      </w:r>
    </w:p>
    <w:p w14:paraId="745F4AE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2、力量GIS部署动画展示</w:t>
      </w:r>
    </w:p>
    <w:p w14:paraId="0FFD2F3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系统实现各个防控工作部署方案的GIS动画展示管理，基于GIS电子地图，支持在电子地图以动画的形式直接展示各个防控工作的部署内容，包括防控人员安排、巡逻路径安排、调度资源及防控目标等。</w:t>
      </w:r>
    </w:p>
    <w:p w14:paraId="349E5F7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1.1.3.2.1.4 </w:t>
      </w:r>
      <w:r>
        <w:rPr>
          <w:rFonts w:hint="eastAsia" w:ascii="宋体" w:hAnsi="宋体" w:eastAsia="宋体" w:cs="宋体"/>
          <w:color w:val="auto"/>
          <w:sz w:val="28"/>
          <w:szCs w:val="28"/>
          <w:highlight w:val="none"/>
        </w:rPr>
        <w:t>力量通讯调度</w:t>
      </w:r>
    </w:p>
    <w:p w14:paraId="7D02BB1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实现辖区防控力量的通讯调度管理，包括语音通话调度及集群电话调度等功能。</w:t>
      </w:r>
    </w:p>
    <w:p w14:paraId="6DEF241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1、语音通话调度</w:t>
      </w:r>
    </w:p>
    <w:p w14:paraId="1FF459B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支持各类防控力量的语音电话通讯直接调度管理，基于GIS电子地图，支持直接拔打相应网格员或各类群防群治人员的普通电话或移动电话，直接进行语音通信调度。</w:t>
      </w:r>
    </w:p>
    <w:p w14:paraId="4DE3357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2、数字集群语音对讲通信</w:t>
      </w:r>
    </w:p>
    <w:p w14:paraId="172A10F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实现辖区公安警力或专职保安人员的数字集群语音对讲通信管理，利用融合通信支撑服务，直接呼叫相应公安警力或专职保安人员的数字集群电话。</w:t>
      </w:r>
    </w:p>
    <w:p w14:paraId="4A535CD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3、短信通知</w:t>
      </w:r>
    </w:p>
    <w:p w14:paraId="6E8D8C4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基于GIS电子地图，支持在线人员的直接短信通知管理功能，方便管理人员进行相应的工作安排通知或突发指挥调度管理。</w:t>
      </w:r>
    </w:p>
    <w:p w14:paraId="1AF2D0F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1.1.3.2.2 </w:t>
      </w:r>
      <w:r>
        <w:rPr>
          <w:rFonts w:hint="eastAsia" w:ascii="宋体" w:hAnsi="宋体" w:eastAsia="宋体" w:cs="宋体"/>
          <w:color w:val="auto"/>
          <w:sz w:val="28"/>
          <w:szCs w:val="28"/>
          <w:highlight w:val="none"/>
        </w:rPr>
        <w:t>目标掌控</w:t>
      </w:r>
    </w:p>
    <w:p w14:paraId="6DCDEF7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全市各辖区重点防控目标的掌控与动态管理功能，包括地铁站、火车站、码头、口岸、高铁沿线等重点部位的安全保卫工作，幼儿园、学校、金融机构、商业场所、医院等重点场所的安全防范，及重点场所及周边治安综合治理，确保全市社会秩序良好。</w:t>
      </w:r>
    </w:p>
    <w:p w14:paraId="0080C31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实现各类重点防控目标的信息维护管理、日常安全检查、防控预案管理及防控目标视频调阅等功能。</w:t>
      </w:r>
    </w:p>
    <w:p w14:paraId="1359A73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1.1.3.2.2.1 </w:t>
      </w:r>
      <w:r>
        <w:rPr>
          <w:rFonts w:hint="eastAsia" w:ascii="宋体" w:hAnsi="宋体" w:eastAsia="宋体" w:cs="宋体"/>
          <w:color w:val="auto"/>
          <w:sz w:val="28"/>
          <w:szCs w:val="28"/>
          <w:highlight w:val="none"/>
        </w:rPr>
        <w:t>目标管理</w:t>
      </w:r>
    </w:p>
    <w:p w14:paraId="3E4FBF4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实现辖区内各类重点防控目标的基础信息维护管理，包括防控目标的基础信息、所在地点、图片信息、周边视频及关联数据等信息。实现防控目标信息的增加、修改、删除、地图定位及综合查询功能。</w:t>
      </w:r>
    </w:p>
    <w:p w14:paraId="7347A61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在GIS电子地图上以不同图标展示各类重要防控目标信息，包括政府机关、学校、车站、高速出入口、宾馆、网吧、娱乐场所、商业街区、重大危险源及城市重要设施等的具体位置，了解各个重点防控目标的相关信息。</w:t>
      </w:r>
    </w:p>
    <w:p w14:paraId="21E676A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1.1.3.2.2.2 </w:t>
      </w:r>
      <w:r>
        <w:rPr>
          <w:rFonts w:hint="eastAsia" w:ascii="宋体" w:hAnsi="宋体" w:eastAsia="宋体" w:cs="宋体"/>
          <w:color w:val="auto"/>
          <w:sz w:val="28"/>
          <w:szCs w:val="28"/>
          <w:highlight w:val="none"/>
        </w:rPr>
        <w:t>日常安全检查</w:t>
      </w:r>
    </w:p>
    <w:p w14:paraId="5DB2BD4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实现各类重点防控目标的日常安全检查管理，包括网格员的日常安全检查及行业单位日常检查记录维护管理等。支持基于统一数据对接支撑服务，获取网格化综合治理等平台的相应检查记录信息。</w:t>
      </w:r>
    </w:p>
    <w:p w14:paraId="7B65388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实现重点防控目标的日常安全检查记录基础信息、检查现场照片、检查结论等信息的维护与检索。</w:t>
      </w:r>
    </w:p>
    <w:p w14:paraId="6900053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支持以不同的颜色图标在电子地图上直观展示各个重要防控目标的检查情况，让管理人员直观掌握重要防控目标的实际情况。</w:t>
      </w:r>
    </w:p>
    <w:p w14:paraId="0D18BD6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1.1.3.2.2.3 </w:t>
      </w:r>
      <w:r>
        <w:rPr>
          <w:rFonts w:hint="eastAsia" w:ascii="宋体" w:hAnsi="宋体" w:eastAsia="宋体" w:cs="宋体"/>
          <w:color w:val="auto"/>
          <w:sz w:val="28"/>
          <w:szCs w:val="28"/>
          <w:highlight w:val="none"/>
        </w:rPr>
        <w:t>预案管理</w:t>
      </w:r>
    </w:p>
    <w:p w14:paraId="2A6A9DB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实现火车站、地铁口及商业街区等重点防控目标的防控应急预案管理功能，包括应急预案基础信息管理及应急预案的数字化维护与匹配调度等功能。</w:t>
      </w:r>
    </w:p>
    <w:p w14:paraId="09E9BEB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实现防控预案的防控力量部署维护管理，包括调度警力、群防群治力量、联系方式及招人流程等信息管理。</w:t>
      </w:r>
    </w:p>
    <w:p w14:paraId="5C51067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实现防控预案的部署电子批注管理功能，支持在电子地图的手工批注及效果动画演示管理功能。</w:t>
      </w:r>
    </w:p>
    <w:p w14:paraId="4C34A59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支持根据预案配置，在突发事件发生时及时发送短信给相关人员。</w:t>
      </w:r>
    </w:p>
    <w:p w14:paraId="1C0767D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支持根据预案配置，在突发事件发生时自动匹配相应的应急资源保障信息。</w:t>
      </w:r>
    </w:p>
    <w:p w14:paraId="0948B58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1.1.3.2.2.4 </w:t>
      </w:r>
      <w:r>
        <w:rPr>
          <w:rFonts w:hint="eastAsia" w:ascii="宋体" w:hAnsi="宋体" w:eastAsia="宋体" w:cs="宋体"/>
          <w:color w:val="auto"/>
          <w:sz w:val="28"/>
          <w:szCs w:val="28"/>
          <w:highlight w:val="none"/>
        </w:rPr>
        <w:t>目标视频调阅</w:t>
      </w:r>
    </w:p>
    <w:p w14:paraId="3FFC281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实现重要防控目标的现场及周边视频监控资源的关联及快速调度管理。支持日常巡查或突发事件发生时，可快速查阅重要防控目标的现场及周边实时视频情况。</w:t>
      </w:r>
    </w:p>
    <w:p w14:paraId="6C36F81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实现目标周边视频监控的实时画面查阅、云台控制、录像查询及画面抓拍等管理功能。</w:t>
      </w:r>
    </w:p>
    <w:p w14:paraId="1A32555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1.1.3.2.3 </w:t>
      </w:r>
      <w:r>
        <w:rPr>
          <w:rFonts w:hint="eastAsia" w:ascii="宋体" w:hAnsi="宋体" w:eastAsia="宋体" w:cs="宋体"/>
          <w:color w:val="auto"/>
          <w:sz w:val="28"/>
          <w:szCs w:val="28"/>
          <w:highlight w:val="none"/>
        </w:rPr>
        <w:t>任务追踪</w:t>
      </w:r>
    </w:p>
    <w:p w14:paraId="4939909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城市日常指挥协同的全过程任务追踪管理功能，任务追踪是城市日常挥协同及防灾减灾预防预警工作的核心内容。系统以防控任务为中心，由各个辖区主管部门针对日常治安防控、防台防汛、风险隐患排查及应急宣传教育等各个方面的重要工作对下属责任机构或行业网格员下发具体任务安排，及时跟踪各项重要工作安排的进展情况及存在问题，真正实现辖区日常挥协同工作的流程化任务管理、可视化反馈追踪及扁平化过程监督等管理需求，保障日常挥协同工作的顺利进行。</w:t>
      </w:r>
    </w:p>
    <w:p w14:paraId="0EDFC27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1.1.3.2.3.1 </w:t>
      </w:r>
      <w:r>
        <w:rPr>
          <w:rFonts w:hint="eastAsia" w:ascii="宋体" w:hAnsi="宋体" w:eastAsia="宋体" w:cs="宋体"/>
          <w:color w:val="auto"/>
          <w:sz w:val="28"/>
          <w:szCs w:val="28"/>
          <w:highlight w:val="none"/>
        </w:rPr>
        <w:t>任务分类管理</w:t>
      </w:r>
    </w:p>
    <w:p w14:paraId="21B44CF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实现日常治安防控、防台防汛、风险隐患排查及应急宣传教育等各类防控任务的分类模板化管理，结合日常指挥协同及防台防汛等工作安排，对各项工作任务安排进行分类管理。</w:t>
      </w:r>
    </w:p>
    <w:p w14:paraId="0658FEF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1、防灾任务管理</w:t>
      </w:r>
    </w:p>
    <w:p w14:paraId="23E3C32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由各级政府部门、各个主管机关管理各自的防控任务安排模板，包括下属任务责任部门、责任人员、任务内容、任务时间等约束条件，并关联至风险隐患对象，方便台风、洪涝等灾害预警时，相关主管部门能快速进行防灾减灾的工作安排与任务追踪。</w:t>
      </w:r>
    </w:p>
    <w:p w14:paraId="4BC4E3D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2、治安防控管理</w:t>
      </w:r>
    </w:p>
    <w:p w14:paraId="26DFF4D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日常治安责任部门对辖区治安防控的任务安排模板进行维护管理，包括下属任务责任部门、责任人员、任务内容等、任务时间等约束条件，并设定对应的防控目标或防控范围，方便日常指挥协同工作中，能够便捷、快速地进行治安防控任务下派。</w:t>
      </w:r>
    </w:p>
    <w:p w14:paraId="32280B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3、风险隐患排查</w:t>
      </w:r>
    </w:p>
    <w:p w14:paraId="4F41B7E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各业务部门提供针对性的风险隐患排查模板，以部门为划分，各部门管理人员维护本部门的辖区风险隐患排查工作任务模板，包括任务责任部门、责任人员、任务内容、任务时间等约束条件，并关联至排查地点、对象等内容，便捷相关主管部门能够快速开展日常风险隐患排查工作。</w:t>
      </w:r>
    </w:p>
    <w:p w14:paraId="4FD534A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4、应急宣传教育</w:t>
      </w:r>
    </w:p>
    <w:p w14:paraId="5D68956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为应急宣传教育工作提供标准化模板管理，包括任务责任部门、责任人员、教育内容、任务时间等约束条件，并关联至对应的宣传片区，便捷宣传教育工作的开展。</w:t>
      </w:r>
    </w:p>
    <w:p w14:paraId="327CAEA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5、其它任务管理</w:t>
      </w:r>
    </w:p>
    <w:p w14:paraId="49854E7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提供基本任务的模板维护功能，各主管机关可以维护基本任务的内容。</w:t>
      </w:r>
    </w:p>
    <w:p w14:paraId="3480AA4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1.1.3.2.3.2 </w:t>
      </w:r>
      <w:r>
        <w:rPr>
          <w:rFonts w:hint="eastAsia" w:ascii="宋体" w:hAnsi="宋体" w:eastAsia="宋体" w:cs="宋体"/>
          <w:color w:val="auto"/>
          <w:sz w:val="28"/>
          <w:szCs w:val="28"/>
          <w:highlight w:val="none"/>
        </w:rPr>
        <w:t>任务预案化管理</w:t>
      </w:r>
    </w:p>
    <w:p w14:paraId="0628D1D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实现各类防控任务的预案化信息管理，对各类任务工作以预案的形式进行管理，针对具体灾害或防控工作对象，提前做好相应的任务预案模板，包括任务安排流程、任务反馈机制及资源准备等。</w:t>
      </w:r>
    </w:p>
    <w:p w14:paraId="1C046BB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支持基于GIS电子地图的防控任务预案展示管理。</w:t>
      </w:r>
    </w:p>
    <w:p w14:paraId="560793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1、任务安排流程</w:t>
      </w:r>
    </w:p>
    <w:p w14:paraId="04900EC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提供对防控工作的任务拆解流程配置管理，用户可以对应每个防控任务拆解为各个流程节点，并将每个节点关联至对应的任务细项。任务细项可以直接在已配置的任务模板中选择，也可以创建新的任务项。</w:t>
      </w:r>
    </w:p>
    <w:p w14:paraId="1EDA2ED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2、任务反馈机制</w:t>
      </w:r>
    </w:p>
    <w:p w14:paraId="37484C3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任务反馈机制配置对应节点的反馈对象与需提交的内容，在任务的执行过程中，需要根据配置的反馈节点进行结果的反馈。</w:t>
      </w:r>
    </w:p>
    <w:p w14:paraId="00BF7F2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3、资源准备</w:t>
      </w:r>
    </w:p>
    <w:p w14:paraId="5C28D91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资源准备主要提供每个任务节点调度的资源关联项，包括资源的类型、数量、使用工作等内容的配置。</w:t>
      </w:r>
    </w:p>
    <w:p w14:paraId="415F3CB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1.1.3.2.3.3 </w:t>
      </w:r>
      <w:r>
        <w:rPr>
          <w:rFonts w:hint="eastAsia" w:ascii="宋体" w:hAnsi="宋体" w:eastAsia="宋体" w:cs="宋体"/>
          <w:color w:val="auto"/>
          <w:sz w:val="28"/>
          <w:szCs w:val="28"/>
          <w:highlight w:val="none"/>
        </w:rPr>
        <w:t>任务安排管理</w:t>
      </w:r>
    </w:p>
    <w:p w14:paraId="524AF46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实现各个主管单位的防控任务安排管理，包括任务的创建，任务分配及任务通知等管理功能。</w:t>
      </w:r>
    </w:p>
    <w:p w14:paraId="72626D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1、任务创建</w:t>
      </w:r>
    </w:p>
    <w:p w14:paraId="588A265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级主管机关用户可以选择任务模板、任务预案或重新创建任务来进行工作任务的安排，包括日常治安防控、防台防汛、风险隐患排查及应急宣传教育等各类防控任务，在确认任务的创建后将继续进入任务的分配操作。</w:t>
      </w:r>
    </w:p>
    <w:p w14:paraId="3175415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2、任务分配</w:t>
      </w:r>
    </w:p>
    <w:p w14:paraId="12474C9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在完成工作任务的创建后，管理人员可以进行任务对象的分配，包括分配的部门、人员等内容编辑，分配对象可以多选。</w:t>
      </w:r>
    </w:p>
    <w:p w14:paraId="3E64DA9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3、任务通知</w:t>
      </w:r>
    </w:p>
    <w:p w14:paraId="2BA1129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任务分配后，系统将根据任务分配的对象进行短信及移动端的自动通知。</w:t>
      </w:r>
    </w:p>
    <w:p w14:paraId="0141083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1.1.3.2.3.4 </w:t>
      </w:r>
      <w:r>
        <w:rPr>
          <w:rFonts w:hint="eastAsia" w:ascii="宋体" w:hAnsi="宋体" w:eastAsia="宋体" w:cs="宋体"/>
          <w:color w:val="auto"/>
          <w:sz w:val="28"/>
          <w:szCs w:val="28"/>
          <w:highlight w:val="none"/>
        </w:rPr>
        <w:t>任务反馈跟踪</w:t>
      </w:r>
    </w:p>
    <w:p w14:paraId="7F70828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实现防控任务反馈跟踪管理，各个责任部门及行业网格员通过平台或移动应用终端，及时反馈任务进度及进展情况。</w:t>
      </w:r>
    </w:p>
    <w:p w14:paraId="1CBCCF4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1、任务反馈</w:t>
      </w:r>
    </w:p>
    <w:p w14:paraId="055DD76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平台端与移动端的任务反馈情况填报功能，用户通过选择对应任务的反馈功能，以表单形式填报对应的情况信息，并能够以附件形式将照片、文档等内容进行上传，使指挥中心人员和后续任务人员接收到任务的处置结果情况。</w:t>
      </w:r>
    </w:p>
    <w:p w14:paraId="4AA22FE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2、任务追踪</w:t>
      </w:r>
    </w:p>
    <w:p w14:paraId="4273F9C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平台基于GIS电子地图对各项任务工作的进度进行统一展示，并以不同的图标颜色反馈各项任务工作的进度。点击对应的任务图标可以调阅任务的详细进度情况，包括任务内容、任务时间、任务负责人、完成情况等内容，使指挥中心的管理人员能够快速掌握各个工作任务的进度。</w:t>
      </w:r>
    </w:p>
    <w:p w14:paraId="6B3BB17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3、任务监督</w:t>
      </w:r>
    </w:p>
    <w:p w14:paraId="4951247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系统对还未完成的任务以列表形式单独展示，并为监督人员提供提醒功能，能够通过短信、语音等方式对相关责任部门、人员进行提醒信息发送，保障任务能够按流程节点完成。</w:t>
      </w:r>
    </w:p>
    <w:p w14:paraId="0232669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1.1.3.2.3.5 </w:t>
      </w:r>
      <w:r>
        <w:rPr>
          <w:rFonts w:hint="eastAsia" w:ascii="宋体" w:hAnsi="宋体" w:eastAsia="宋体" w:cs="宋体"/>
          <w:color w:val="auto"/>
          <w:sz w:val="28"/>
          <w:szCs w:val="28"/>
          <w:highlight w:val="none"/>
        </w:rPr>
        <w:t>统计分析管理</w:t>
      </w:r>
    </w:p>
    <w:p w14:paraId="3D22443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实现分类型、多维度的对防控任务进行统计分析管理，通过对防控任务的统计分析，直观反映防控任务事件的任务类型、分布区域、处置效率，为任务事件的人员调配和任务安排的指挥调度决策提供数据支撑。</w:t>
      </w:r>
    </w:p>
    <w:p w14:paraId="75D3F6F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1、任务类型统计分析</w:t>
      </w:r>
    </w:p>
    <w:p w14:paraId="2BE0855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任务类型作为统计分析的维度，分析各类防控任务完成情况，如日常治安防控、防台防汛、风险隐患排查等任务的派发情况，为相关责任部门在人员调配上提供相应的数据依据。支持以柱状图、饼状图等分析进行分析显示，并支持在GIS地图上对任务类型统计数据进行叠加展示。</w:t>
      </w:r>
    </w:p>
    <w:p w14:paraId="08FEB28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2、部门任务统计分析</w:t>
      </w:r>
    </w:p>
    <w:p w14:paraId="1E511B1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任务派发部门为统计对象，实现对相关责任部门接收的防控任务数量进行统计分析，可支持按任务接收时间、任务类型等不同维度进行统计分析。支持以柱状图、饼状图等分析进行分析显示，并支持在GIS地图上对各部门任务统计数据进行叠加展示。</w:t>
      </w:r>
    </w:p>
    <w:p w14:paraId="1FA53DE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3、分布区域统计分析</w:t>
      </w:r>
    </w:p>
    <w:p w14:paraId="4FC2B0A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以任务分布区域为统计分析的维度，分析各个不同类型防控任务分布情况，如哪些区域的治安任务比较多，为相关责任部门的日常指挥协同提供相应的数据依据。</w:t>
      </w:r>
    </w:p>
    <w:p w14:paraId="58D42C4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防控任务区域分布分析，支持根据案件类型、发生日期等组合条件，统计分析该条件下各个区域的反馈任务分布情况。支持统计结果以柱状图、饼图及折线图等方式进行分析显示，支持以GIS地图的方式展示各类案件在各个区域的分布情况。</w:t>
      </w:r>
    </w:p>
    <w:p w14:paraId="1E77C3E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1.1.3.2.4 </w:t>
      </w:r>
      <w:r>
        <w:rPr>
          <w:rFonts w:hint="eastAsia" w:ascii="宋体" w:hAnsi="宋体" w:eastAsia="宋体" w:cs="宋体"/>
          <w:color w:val="auto"/>
          <w:sz w:val="28"/>
          <w:szCs w:val="28"/>
          <w:highlight w:val="none"/>
        </w:rPr>
        <w:t>形势研判</w:t>
      </w:r>
    </w:p>
    <w:p w14:paraId="267BDF4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基于GIS的防控形势研判分析，利用12345服务事件来源及公安警情导入数据，通过对事件的研判分析，掌握辖区维稳及治安基本态势和事件热点，提供事件三高分析（高发类型、高发地段、高发时段）、预警、同环比分析、案件动态监测等功能，实时掌握本辖区事件热点及趋势，可以及时调整防控工作重心，有放矢的布置防控力量，合理利用防控资源，有效降低事件发生率，提升群众安全感满意度。</w:t>
      </w:r>
    </w:p>
    <w:p w14:paraId="29FA193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1.1.3.3 </w:t>
      </w:r>
      <w:r>
        <w:rPr>
          <w:rFonts w:hint="eastAsia" w:ascii="宋体" w:hAnsi="宋体" w:eastAsia="宋体" w:cs="宋体"/>
          <w:color w:val="auto"/>
          <w:sz w:val="28"/>
          <w:szCs w:val="28"/>
          <w:highlight w:val="none"/>
        </w:rPr>
        <w:t>应急指挥调度</w:t>
      </w:r>
    </w:p>
    <w:p w14:paraId="479F8A9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e福州综合指挥平台，升级实现突发事件处置的全过程联动指挥管理，能够调用组织公安、消防、急救、交警、城建等多部门、多行业、多层次的应急力量和信息资源，实现对突发事件处置全过程的跟踪、指挥，快速、及时、准确地收集到应急信息，为政府的科学决策提供有效的信息支持。</w:t>
      </w:r>
    </w:p>
    <w:p w14:paraId="746ED87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1.1.3.3.1 </w:t>
      </w:r>
      <w:r>
        <w:rPr>
          <w:rFonts w:hint="eastAsia" w:ascii="宋体" w:hAnsi="宋体" w:eastAsia="宋体" w:cs="宋体"/>
          <w:color w:val="auto"/>
          <w:sz w:val="28"/>
          <w:szCs w:val="28"/>
          <w:highlight w:val="none"/>
        </w:rPr>
        <w:t>应急值班值守</w:t>
      </w:r>
    </w:p>
    <w:p w14:paraId="1497B68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实现市、区县两级政府部门及各应急单位部门的综合应急值班值守管理，落实值班表及24小时值班制度，密切关注预测预警信息及突发事件的情况，及时上报、果断处置，保证信息联络及时、畅通。</w:t>
      </w:r>
    </w:p>
    <w:p w14:paraId="03C3C6F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值守管理子系统主要实现应急值班日常管理、事件接报处理及应急模拟演练等，包括应急值班日常管理及应急突发事件上报及接收、审核、定级等功能。应急值守管理系统提供应急部门日常值班所需的功能，主要包括事件接报、值班日志、值班表等，满足应急管理办公室日常值班业务的需要，将提高日常值班工作效率、降低日常值班工作复杂度为主要目标。</w:t>
      </w:r>
    </w:p>
    <w:p w14:paraId="5FFB789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1.1.3.3.1.1 </w:t>
      </w:r>
      <w:r>
        <w:rPr>
          <w:rFonts w:hint="eastAsia" w:ascii="宋体" w:hAnsi="宋体" w:eastAsia="宋体" w:cs="宋体"/>
          <w:color w:val="auto"/>
          <w:sz w:val="28"/>
          <w:szCs w:val="28"/>
          <w:highlight w:val="none"/>
        </w:rPr>
        <w:t>事件接报管理</w:t>
      </w:r>
    </w:p>
    <w:p w14:paraId="7B62DC0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实现各部门值班人员将接报的突发事件信息进行填写并根据审核流程逐级上报，实现各流程环节部门负责人的事件审核确认管理。</w:t>
      </w:r>
    </w:p>
    <w:p w14:paraId="1E4A5A7B">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1.1.3.3.1.1.1 </w:t>
      </w:r>
      <w:r>
        <w:rPr>
          <w:rStyle w:val="17"/>
          <w:rFonts w:hint="eastAsia" w:ascii="宋体" w:hAnsi="宋体" w:eastAsia="宋体" w:cs="宋体"/>
          <w:color w:val="auto"/>
          <w:sz w:val="28"/>
          <w:szCs w:val="28"/>
          <w:highlight w:val="none"/>
        </w:rPr>
        <w:t>事件信息上报</w:t>
      </w:r>
    </w:p>
    <w:p w14:paraId="71FF34A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实现接报人对突发事件信息的填写，按照设定的上报流程逐级上报、续报事件相关情况，支持资料文档上传，支持图片及视频文件上传，并支持对事件发生的地点进行GIS定位。</w:t>
      </w:r>
    </w:p>
    <w:p w14:paraId="41C9C06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实现各渠道获取的突发公共事件信息的录入和建档管理。</w:t>
      </w:r>
    </w:p>
    <w:p w14:paraId="6F580707">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1.1.3.3.1.1.2 </w:t>
      </w:r>
      <w:r>
        <w:rPr>
          <w:rStyle w:val="17"/>
          <w:rFonts w:hint="eastAsia" w:ascii="宋体" w:hAnsi="宋体" w:eastAsia="宋体" w:cs="宋体"/>
          <w:color w:val="auto"/>
          <w:sz w:val="28"/>
          <w:szCs w:val="28"/>
          <w:highlight w:val="none"/>
        </w:rPr>
        <w:t>突发事件核实</w:t>
      </w:r>
    </w:p>
    <w:p w14:paraId="214AFFD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应急值守人员接到事件后，可通过电话问询事件上报人员或现场附近的巡查人员，可通过浏览视频监控图像等方式，对突发事件发生信息进行核实，避免因为设备误操作、机器故障、恶意电话等造成的盲目出警。</w:t>
      </w:r>
    </w:p>
    <w:p w14:paraId="019D633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在事件核实后，通过事件状态位的设置，将接报事件确定为核实状态，并记录突发事件信息。</w:t>
      </w:r>
    </w:p>
    <w:p w14:paraId="66C428A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1.1.3.3.1.1.3 </w:t>
      </w:r>
      <w:r>
        <w:rPr>
          <w:rStyle w:val="17"/>
          <w:rFonts w:hint="eastAsia" w:ascii="宋体" w:hAnsi="宋体" w:eastAsia="宋体" w:cs="宋体"/>
          <w:color w:val="auto"/>
          <w:sz w:val="28"/>
          <w:szCs w:val="28"/>
          <w:highlight w:val="none"/>
        </w:rPr>
        <w:t>突发事件定位</w:t>
      </w:r>
    </w:p>
    <w:p w14:paraId="2524FA2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事件接报后，应急值守人员可通过报警电话、移动终端定位及监控视频等获取的事件位置信息、以GIS地图为基础，实现突发事件在GIS地图上的具体位置定位标注，支持以红色警灯方式显示，并可呈现出动画效果。</w:t>
      </w:r>
    </w:p>
    <w:p w14:paraId="0AE55887">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1.1.3.3.1.1.4 </w:t>
      </w:r>
      <w:r>
        <w:rPr>
          <w:rStyle w:val="17"/>
          <w:rFonts w:hint="eastAsia" w:ascii="宋体" w:hAnsi="宋体" w:eastAsia="宋体" w:cs="宋体"/>
          <w:color w:val="auto"/>
          <w:sz w:val="28"/>
          <w:szCs w:val="28"/>
          <w:highlight w:val="none"/>
        </w:rPr>
        <w:t>突发事件归并</w:t>
      </w:r>
    </w:p>
    <w:p w14:paraId="5C9AFDB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突发事件发生后一段时间内，应急值守人员可陆续接到多个人对于同一突发事件的上报，经事件核实、事件定位后，应及时进行多个上报记录的信息归并，即实现同一突发事件多条接报记录编号的关联，以免对同一突发事件的多条接报记录造成事件记录的混乱和难以管理。</w:t>
      </w:r>
    </w:p>
    <w:p w14:paraId="6F7570E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1.1.3.3.1.1.5 </w:t>
      </w:r>
      <w:r>
        <w:rPr>
          <w:rStyle w:val="17"/>
          <w:rFonts w:hint="eastAsia" w:ascii="宋体" w:hAnsi="宋体" w:eastAsia="宋体" w:cs="宋体"/>
          <w:color w:val="auto"/>
          <w:sz w:val="28"/>
          <w:szCs w:val="28"/>
          <w:highlight w:val="none"/>
        </w:rPr>
        <w:t>信息审核管理</w:t>
      </w:r>
    </w:p>
    <w:p w14:paraId="3D6FC05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实现突发事件的审核管理功能，系统提供对上报的事件信息进行审核确认的功能，包括对上报的事件信息进行回退、继续上报等操作，并保存当前操作的审批意见。</w:t>
      </w:r>
    </w:p>
    <w:p w14:paraId="2D0A8C3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根据突发事件的级别及严重程度等信息，及时将突发事件报送给上级部门及相关领导。</w:t>
      </w:r>
    </w:p>
    <w:p w14:paraId="22AE477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1、报送模板管理</w:t>
      </w:r>
    </w:p>
    <w:p w14:paraId="65252C7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系统可根据上级政府主管部门、上级交通主管部门制定的突发事件信息报送制度，实现各类报送模板的管理。</w:t>
      </w:r>
    </w:p>
    <w:p w14:paraId="02117D4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2、报送对象管理</w:t>
      </w:r>
    </w:p>
    <w:p w14:paraId="4B232F6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根据上级政府主管部门制定的突发事件信息报送制度，实现各类突发事件信息的分级、分部门报送，且报送方式由下而上。</w:t>
      </w:r>
    </w:p>
    <w:p w14:paraId="2F63802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3、报送流程定义</w:t>
      </w:r>
    </w:p>
    <w:p w14:paraId="5EFB4A4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实现信息报送流程的定义、修改等功能。</w:t>
      </w:r>
    </w:p>
    <w:p w14:paraId="7ACC461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4、报送信息编辑</w:t>
      </w:r>
    </w:p>
    <w:p w14:paraId="5E07315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根据报送信息类别、报送级别，选择不同的信息报送模板，实现报送信息的编辑，模板选择标准见“报送模板管理”的“适用报送信息类型、适用报送对象”定义。</w:t>
      </w:r>
    </w:p>
    <w:p w14:paraId="52A7D5C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5、报送管理</w:t>
      </w:r>
    </w:p>
    <w:p w14:paraId="4D10CD4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根据不同信息的报送对象要求差异和报送渠道建设情况，选择报送方式，包括：电话、传真或数据接口等。</w:t>
      </w:r>
    </w:p>
    <w:p w14:paraId="7C2CB00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1.1.3.3.1.2 </w:t>
      </w:r>
      <w:r>
        <w:rPr>
          <w:rFonts w:hint="eastAsia" w:ascii="宋体" w:hAnsi="宋体" w:eastAsia="宋体" w:cs="宋体"/>
          <w:color w:val="auto"/>
          <w:sz w:val="28"/>
          <w:szCs w:val="28"/>
          <w:highlight w:val="none"/>
        </w:rPr>
        <w:t>值守通信调度管理</w:t>
      </w:r>
    </w:p>
    <w:p w14:paraId="6EA6773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1.1.3.3.1.2.1 </w:t>
      </w:r>
      <w:r>
        <w:rPr>
          <w:rStyle w:val="17"/>
          <w:rFonts w:hint="eastAsia" w:ascii="宋体" w:hAnsi="宋体" w:eastAsia="宋体" w:cs="宋体"/>
          <w:color w:val="auto"/>
          <w:sz w:val="28"/>
          <w:szCs w:val="28"/>
          <w:highlight w:val="none"/>
        </w:rPr>
        <w:t>通讯录管理</w:t>
      </w:r>
    </w:p>
    <w:p w14:paraId="7115654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实现城市各联动部门应急负责领导人员、工作人员信息及各种联系方式管理功能，方便应急事件发生时及时联系。</w:t>
      </w:r>
    </w:p>
    <w:p w14:paraId="4D995FC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1、用户组管理</w:t>
      </w:r>
    </w:p>
    <w:p w14:paraId="5805D63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组的维护主要是提供给通讯录管理使用，系统组与通讯录人员是多对多的关系，即一个组可拥有多个通讯录人员，反之也是可行。一般只是市应急办（最高部门单位）才有此功能权限，设置提供给本级和下级部门单位使用。系统组包括以下内容：序号、名称、维护单位、默认通讯方式。</w:t>
      </w:r>
    </w:p>
    <w:p w14:paraId="513FC88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2、通讯录管理</w:t>
      </w:r>
    </w:p>
    <w:p w14:paraId="71BE31D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通讯录的左侧是通讯录的分组树，用户点击分组树的相应节点可以查找该分组下的联系人，并在右侧显示。另外，在树的上部是三个按钮，用户添加按钮可以实时进行用户组的添加。在选中某个用户组之后点击编辑或者删除按钮可以进行相应的编辑或删除操作，达到管理操作用户组的管理。</w:t>
      </w:r>
    </w:p>
    <w:p w14:paraId="5E9A4833">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1.1.3.3.1.2.2 </w:t>
      </w:r>
      <w:r>
        <w:rPr>
          <w:rStyle w:val="17"/>
          <w:rFonts w:hint="eastAsia" w:ascii="宋体" w:hAnsi="宋体" w:eastAsia="宋体" w:cs="宋体"/>
          <w:color w:val="auto"/>
          <w:sz w:val="28"/>
          <w:szCs w:val="28"/>
          <w:highlight w:val="none"/>
        </w:rPr>
        <w:t>短信通知管理</w:t>
      </w:r>
    </w:p>
    <w:p w14:paraId="74C0D22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实现系统短信发送与通知管理功能，实现管理人员可根据通讯录或联系电话直接发送手机短信通知管理功能，满足政府机关日常信息沟通与相关短消息的及时通知管理需求。</w:t>
      </w:r>
    </w:p>
    <w:p w14:paraId="11656075">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1.1.3.3.1.2.3 </w:t>
      </w:r>
      <w:r>
        <w:rPr>
          <w:rStyle w:val="17"/>
          <w:rFonts w:hint="eastAsia" w:ascii="宋体" w:hAnsi="宋体" w:eastAsia="宋体" w:cs="宋体"/>
          <w:color w:val="auto"/>
          <w:sz w:val="28"/>
          <w:szCs w:val="28"/>
          <w:highlight w:val="none"/>
        </w:rPr>
        <w:t>传真管理</w:t>
      </w:r>
    </w:p>
    <w:p w14:paraId="2660D20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级政府部门日常值班值守及突发处置的传真档案融合调度管理功能，实现应急数据材料包括管辖区域应急整体情况态势、应急信息通知、突发事件过程态势、事件评估及日常值守等信息材料与应急通讯录各联动部门传真的融合调度管理，满足应急业务系统传真信息领导汇报及通知发布的材料电子化档案管理需求。</w:t>
      </w:r>
    </w:p>
    <w:p w14:paraId="54FF36A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1、传真发送及接收</w:t>
      </w:r>
    </w:p>
    <w:p w14:paraId="299C1DF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系统实现应急业务系统各类应急信息的传真信息发布、日常值守传真接收、传真发送等应用功能。</w:t>
      </w:r>
    </w:p>
    <w:p w14:paraId="4A64731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2、传真归档及索引</w:t>
      </w:r>
    </w:p>
    <w:p w14:paraId="04B0FF8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系统实现传真文件材料的数据萃取、索引、归档与检索、文档管理、记录管理等功能，支持以可靠的方式处理信息，实现电子文档的精确存储和处理。</w:t>
      </w:r>
    </w:p>
    <w:p w14:paraId="5E84066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1.1.3.3.1.2.4 </w:t>
      </w:r>
      <w:r>
        <w:rPr>
          <w:rStyle w:val="17"/>
          <w:rFonts w:hint="eastAsia" w:ascii="宋体" w:hAnsi="宋体" w:eastAsia="宋体" w:cs="宋体"/>
          <w:color w:val="auto"/>
          <w:sz w:val="28"/>
          <w:szCs w:val="28"/>
          <w:highlight w:val="none"/>
        </w:rPr>
        <w:t>语音调度管理</w:t>
      </w:r>
    </w:p>
    <w:p w14:paraId="45929CE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系统的语音电话实时调度管理功能，实现用户在WEB系统上根据通讯录或人员联系电话直接拔打相应人员的语音电话管理功能，满足日常沟通及应急指挥调度时的及时语音调度管理功能，系统支持普通电话、IP电话及移动电话的统一WEB调度接入管理。</w:t>
      </w:r>
    </w:p>
    <w:p w14:paraId="1C8449A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1.1.3.3.2 </w:t>
      </w:r>
      <w:r>
        <w:rPr>
          <w:rFonts w:hint="eastAsia" w:ascii="宋体" w:hAnsi="宋体" w:eastAsia="宋体" w:cs="宋体"/>
          <w:color w:val="auto"/>
          <w:sz w:val="28"/>
          <w:szCs w:val="28"/>
          <w:highlight w:val="none"/>
        </w:rPr>
        <w:t>预案数字化</w:t>
      </w:r>
    </w:p>
    <w:p w14:paraId="6263480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市、区县两级各个政府及行业部门的应急预案数据化管理功能。应急预案数字化管理包括应急预案的制作处理、维护、数字预案生成管理及发生突发事件时的预案智能选择等管理功能，为应急指挥决策者提供决策依据。系统根据“事件报告”和各方面的综合情况确定事件是否需要启动相关预案，支持对一般事件提供处警建议，对重大紧急事件提供处置预案支持。</w:t>
      </w:r>
    </w:p>
    <w:p w14:paraId="76AFCEF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预案由公共安全总体应急预案、各职能部门专项应急预案组成，其中各职能部门专项预案又可分为自然灾害类事件应急预案、事故灾害类事件应急预案、公共卫生类事件应急预案以及社会安全类事件应急预案。</w:t>
      </w:r>
    </w:p>
    <w:p w14:paraId="6A77DEA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highlight w:val="none"/>
        </w:rPr>
        <w:t> </w:t>
      </w:r>
    </w:p>
    <w:p w14:paraId="7A4ED1D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highlight w:val="none"/>
        </w:rPr>
        <w:t> </w:t>
      </w:r>
    </w:p>
    <w:p w14:paraId="299F199A">
      <w:pPr>
        <w:pStyle w:val="14"/>
        <w:keepNext w:val="0"/>
        <w:keepLines w:val="0"/>
        <w:widowControl/>
        <w:suppressLineNumbers w:val="0"/>
        <w:ind w:left="0" w:firstLine="420"/>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4238625" cy="2828925"/>
            <wp:effectExtent l="0" t="0" r="9525" b="9525"/>
            <wp:docPr id="29" name="图片 45" descr="1649301623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5" descr="1649301623777.png"/>
                    <pic:cNvPicPr>
                      <a:picLocks noChangeAspect="1"/>
                    </pic:cNvPicPr>
                  </pic:nvPicPr>
                  <pic:blipFill>
                    <a:blip r:embed="rId9"/>
                    <a:stretch>
                      <a:fillRect/>
                    </a:stretch>
                  </pic:blipFill>
                  <pic:spPr>
                    <a:xfrm>
                      <a:off x="0" y="0"/>
                      <a:ext cx="4238625" cy="2828925"/>
                    </a:xfrm>
                    <a:prstGeom prst="rect">
                      <a:avLst/>
                    </a:prstGeom>
                    <a:noFill/>
                    <a:ln w="9525">
                      <a:noFill/>
                    </a:ln>
                  </pic:spPr>
                </pic:pic>
              </a:graphicData>
            </a:graphic>
          </wp:inline>
        </w:drawing>
      </w:r>
      <w:r>
        <w:rPr>
          <w:rFonts w:hint="eastAsia" w:ascii="宋体" w:hAnsi="宋体" w:eastAsia="宋体" w:cs="宋体"/>
          <w:color w:val="auto"/>
          <w:highlight w:val="none"/>
        </w:rPr>
        <w:t> </w:t>
      </w:r>
      <w:r>
        <w:rPr>
          <w:rFonts w:hint="eastAsia" w:ascii="宋体" w:hAnsi="宋体" w:eastAsia="宋体" w:cs="宋体"/>
          <w:color w:val="auto"/>
          <w:sz w:val="21"/>
          <w:szCs w:val="21"/>
          <w:highlight w:val="none"/>
        </w:rPr>
        <w:t> 应急预案分类</w:t>
      </w:r>
      <w:r>
        <w:rPr>
          <w:rFonts w:hint="eastAsia" w:ascii="宋体" w:hAnsi="宋体" w:eastAsia="宋体" w:cs="宋体"/>
          <w:color w:val="auto"/>
          <w:sz w:val="24"/>
          <w:szCs w:val="24"/>
          <w:highlight w:val="none"/>
        </w:rPr>
        <w:t>示意图</w:t>
      </w:r>
    </w:p>
    <w:p w14:paraId="1C6102C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5264506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根据应急的特定需要及应急分析决策需求，结合应急预案关联及响应模型，实现各应急预案的数据加工抽取，使分散的、不一致的操作数据转换成集成的、统一的信息。</w:t>
      </w:r>
    </w:p>
    <w:p w14:paraId="5718FD4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1.1.3.3.2.1 </w:t>
      </w:r>
      <w:r>
        <w:rPr>
          <w:rFonts w:hint="eastAsia" w:ascii="宋体" w:hAnsi="宋体" w:eastAsia="宋体" w:cs="宋体"/>
          <w:color w:val="auto"/>
          <w:sz w:val="28"/>
          <w:szCs w:val="28"/>
          <w:highlight w:val="none"/>
        </w:rPr>
        <w:t>预案制作</w:t>
      </w:r>
    </w:p>
    <w:p w14:paraId="26ADD4C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预案的制作包括预案的分类管理、属性管理、体系目录的管理、预案元素的管理、预案模版的管理、预案的制作、预案的审核等过程。</w:t>
      </w:r>
    </w:p>
    <w:p w14:paraId="4E67668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1.1.3.3.2.2 </w:t>
      </w:r>
      <w:r>
        <w:rPr>
          <w:rFonts w:hint="eastAsia" w:ascii="宋体" w:hAnsi="宋体" w:eastAsia="宋体" w:cs="宋体"/>
          <w:color w:val="auto"/>
          <w:sz w:val="28"/>
          <w:szCs w:val="28"/>
          <w:highlight w:val="none"/>
        </w:rPr>
        <w:t>预案管理</w:t>
      </w:r>
    </w:p>
    <w:p w14:paraId="37F27A4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预案管理是实现重大、紧急等事件的预案制订系统，它提供了从预案征订，到预案编辑，到预案分析以及预案维护等预案征集并提出的全过程。</w:t>
      </w:r>
    </w:p>
    <w:p w14:paraId="22D24B7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班人员通过对新类型事件处理预案的收集和制订，可以帮助在今后处理同类事件时，进一步认识事件的性质和重心，理清处理此类事件的步骤和过程，从而使值班员，尤其是对值班业务尚未熟识的新职员很快掌握业务内容和工作要领，最终高效地、妥善地和全面地处理好每一个事件。</w:t>
      </w:r>
    </w:p>
    <w:p w14:paraId="6F43B02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预案管理模块由两个子模块组成：预案征订、预案维护。</w:t>
      </w:r>
    </w:p>
    <w:p w14:paraId="2B853DE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预案征订：定期向下属单位和相关委办局等单位发出预案征订通知，提出各级各类预案编写的要求，同时定期进行信息沟通和反馈。</w:t>
      </w:r>
    </w:p>
    <w:p w14:paraId="412464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维护：将各个单位编写的预案进行汇总和分析之后，形成完整的各类预案体系，归入应急资源库，在应急资源库中制定版本信息，发布等，且通过增加、修改、删除、查询，阅览等功能实现对每份预案的维护和管理。</w:t>
      </w:r>
    </w:p>
    <w:p w14:paraId="62C1EAB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1.1.3.3.2.3 </w:t>
      </w:r>
      <w:r>
        <w:rPr>
          <w:rFonts w:hint="eastAsia" w:ascii="宋体" w:hAnsi="宋体" w:eastAsia="宋体" w:cs="宋体"/>
          <w:color w:val="auto"/>
          <w:sz w:val="28"/>
          <w:szCs w:val="28"/>
          <w:highlight w:val="none"/>
        </w:rPr>
        <w:t>数字预案管理</w:t>
      </w:r>
    </w:p>
    <w:p w14:paraId="3DAEBAF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数字预案是对文本预案中的程序步骤、措施、职责、协调等方面进行结构化处理后形成的可程序化执行预案。</w:t>
      </w:r>
    </w:p>
    <w:p w14:paraId="7C555F9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管理模块主要在文本预案的内容和基础上，采用结构化思想，将预案各个关键部分拆分为主题框架、特征框架，决策框架，在辨识和评估潜在的重大危险、事件类型、发生的可能性及发生过程、事件后果及影响严重程度的基础上，对应急机构与职责、人员、技术、装备、设施（备）、物资、救援行动及指挥与协调等方面预先做出的具体安排，它明确了在突发公共事件发生之前、发生过程中以及刚刚结束之后，谁负责做什么，何时做以及相应的策略和资源准备等。</w:t>
      </w:r>
    </w:p>
    <w:p w14:paraId="1321859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主要功能包括：</w:t>
      </w:r>
    </w:p>
    <w:p w14:paraId="6267577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1、组织机构管理</w:t>
      </w:r>
    </w:p>
    <w:p w14:paraId="0D9955E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主要是对文本预案中指挥体系的管理。</w:t>
      </w:r>
    </w:p>
    <w:p w14:paraId="546DC3F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主要功能包括对应急机构、应急人员的管理；具体功能包括增加、修改和删除操作。</w:t>
      </w:r>
    </w:p>
    <w:p w14:paraId="7A9C235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2、应急流程管理</w:t>
      </w:r>
    </w:p>
    <w:p w14:paraId="02CECE0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主要是对文本预案中应急流程的管理。</w:t>
      </w:r>
    </w:p>
    <w:p w14:paraId="54A5284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主要功能包括流程增加、流程修改和流程删除操作。</w:t>
      </w:r>
    </w:p>
    <w:p w14:paraId="4882FA6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3、应急任务管理</w:t>
      </w:r>
    </w:p>
    <w:p w14:paraId="1DEA2C7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主要是对每个组织所对应任务的管理；任务包括任务目的，任务执行地点，任务时间要求、任务内容、任务负责人和任务对应的相关行动数据等信息等，每个任务可包括子任务。</w:t>
      </w:r>
    </w:p>
    <w:p w14:paraId="253778A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主要功能包括任务增加、任务修改和任务删除操作。</w:t>
      </w:r>
    </w:p>
    <w:p w14:paraId="04D0479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4、应急资源管理</w:t>
      </w:r>
    </w:p>
    <w:p w14:paraId="5314AB8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主要是对每个组织和任务需要的相关应急资源的管理；资源包括资源名称、资源类型、资源要求、资源数量、资源位置、资源联系方式等；方便在指挥调度的时候，及时准确的对其进行资源部署。</w:t>
      </w:r>
    </w:p>
    <w:p w14:paraId="0FF7905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主要功能包括资源增加、资源修改和资源删除操作。</w:t>
      </w:r>
    </w:p>
    <w:p w14:paraId="05D2B16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1.1.3.3.2.4 </w:t>
      </w:r>
      <w:r>
        <w:rPr>
          <w:rFonts w:hint="eastAsia" w:ascii="宋体" w:hAnsi="宋体" w:eastAsia="宋体" w:cs="宋体"/>
          <w:color w:val="auto"/>
          <w:sz w:val="28"/>
          <w:szCs w:val="28"/>
          <w:highlight w:val="none"/>
        </w:rPr>
        <w:t>预案调度管理</w:t>
      </w:r>
    </w:p>
    <w:p w14:paraId="6F5ED0C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突发事件应急过程中，根据突发事件的实时信息及事件发展趋势、影响区域等信息，自动检索及匹配已有的应急预案信息库，提供预案选择功能供决策者选择及使用。应急预案调度管理充分考虑突发事件发生时的相关信息，包括应急资源、应急物资、救援队伍、现场环境、事件地点、空间位置和事发时间等，根据预案将各项应急处置的任务落实到具体单位和人员，应急过程中可按此方案立即执行，同时可通过部门企业预案推动部门之间、企业之间联动、跨界联动实施应急指挥调度管理。</w:t>
      </w:r>
    </w:p>
    <w:p w14:paraId="02774FF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1、预案匹配</w:t>
      </w:r>
    </w:p>
    <w:p w14:paraId="65747CF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根据突发事件的实时信息及事件发展趋势、影响区域等信息，系统自动检索及匹配已有的应急预案信息库，提供预案选择功能供决策者选择及使用。</w:t>
      </w:r>
    </w:p>
    <w:p w14:paraId="381472F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2、任务匹配</w:t>
      </w:r>
    </w:p>
    <w:p w14:paraId="03A70F8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根据具体预案的任务分派要求，系统自动检索各个任务的匹配岗位及人员信息，同时提供方便快捷的任务安排管理功能，满足应急指挥决策者任务分派需求。</w:t>
      </w:r>
    </w:p>
    <w:p w14:paraId="2180815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3、联动调度</w:t>
      </w:r>
    </w:p>
    <w:p w14:paraId="741FA84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实现政府、部门、企业应急预案的联动调度管理，推动部门之间、企业之间联动、跨界联动。</w:t>
      </w:r>
    </w:p>
    <w:p w14:paraId="239A656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1.1.3.3.2.5 </w:t>
      </w:r>
      <w:r>
        <w:rPr>
          <w:rFonts w:hint="eastAsia" w:ascii="宋体" w:hAnsi="宋体" w:eastAsia="宋体" w:cs="宋体"/>
          <w:color w:val="auto"/>
          <w:sz w:val="28"/>
          <w:szCs w:val="28"/>
          <w:highlight w:val="none"/>
        </w:rPr>
        <w:t>预案专家系统</w:t>
      </w:r>
    </w:p>
    <w:p w14:paraId="3DADED3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专家系统通过范例推理CBR与规则推理RBR技术上的无缝结合，提供可视化的操作界面，提高预案生成速度。预案的生成与管理合一，既能根据事件的输入参数生成预案，又能在平时对预案库进行有效地管理。例如：删除过时的预案；根据预案执行反馈，修改预案。单个预案生成时间少于5秒。包括从紧急情况的接入到范例库的检索（或者专家系统的推理），再到预案的存储与派发。</w:t>
      </w:r>
    </w:p>
    <w:p w14:paraId="1D9911E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从工作流程上看，预案生成是从值班席记录突发事件的基本参数，然后根据情况查询预案库，看是否存在应急预案，如果有相应解决预案，则把预案以书面或者电子版面形式上报给主管领导。在没有预案的情况下，根据专家系统进行规则推理，得到模拟解决方案。对于成功解决实际问题的预案，在执行之后，给预案添加正面反馈评价；对于在解决实际问题表现较差的预案，根据反馈，及时修正预案。整个预案生成系统的工作流程如下图所示。</w:t>
      </w:r>
    </w:p>
    <w:p w14:paraId="64C48BA4">
      <w:pPr>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    </w:t>
      </w:r>
    </w:p>
    <w:p w14:paraId="789EB2EB">
      <w:pPr>
        <w:pStyle w:val="14"/>
        <w:keepNext w:val="0"/>
        <w:keepLines w:val="0"/>
        <w:widowControl/>
        <w:suppressLineNumbers w:val="0"/>
        <w:outlineLvl w:val="9"/>
        <w:rPr>
          <w:rFonts w:hint="eastAsia" w:ascii="宋体" w:hAnsi="宋体" w:eastAsia="宋体" w:cs="宋体"/>
          <w:color w:val="auto"/>
          <w:highlight w:val="none"/>
        </w:rPr>
      </w:pPr>
    </w:p>
    <w:p w14:paraId="3AD95842">
      <w:pPr>
        <w:pStyle w:val="14"/>
        <w:keepNext w:val="0"/>
        <w:keepLines w:val="0"/>
        <w:widowControl/>
        <w:suppressLineNumbers w:val="0"/>
        <w:ind w:left="0" w:firstLine="48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inline distT="0" distB="0" distL="114300" distR="114300">
            <wp:extent cx="4476750" cy="2447925"/>
            <wp:effectExtent l="0" t="0" r="0" b="9525"/>
            <wp:docPr id="30" name="图片 46" descr="1649301913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6" descr="1649301913086.jpg"/>
                    <pic:cNvPicPr>
                      <a:picLocks noChangeAspect="1"/>
                    </pic:cNvPicPr>
                  </pic:nvPicPr>
                  <pic:blipFill>
                    <a:blip r:embed="rId10"/>
                    <a:stretch>
                      <a:fillRect/>
                    </a:stretch>
                  </pic:blipFill>
                  <pic:spPr>
                    <a:xfrm>
                      <a:off x="0" y="0"/>
                      <a:ext cx="4476750" cy="2447925"/>
                    </a:xfrm>
                    <a:prstGeom prst="rect">
                      <a:avLst/>
                    </a:prstGeom>
                    <a:noFill/>
                    <a:ln w="9525">
                      <a:noFill/>
                    </a:ln>
                  </pic:spPr>
                </pic:pic>
              </a:graphicData>
            </a:graphic>
          </wp:inline>
        </w:drawing>
      </w:r>
    </w:p>
    <w:p w14:paraId="56E9C0CB">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预案生成系统工作流程示意图</w:t>
      </w:r>
    </w:p>
    <w:p w14:paraId="0CD62478">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290925A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在工作流程分析的基础上，我们对整个系统细分成三个模块：用户模块、预案生成模块和预案管理模块。它的结构如图5－7所示。用户模块主要负责突发时间的信息显示，以及对CBR的检索/ RBR推理参数的设置。预案生成模块主要由两部分组成：CBR系统CbrSys与RBR系统OKPS。CBR系统根据当前情况的输入，检索数据库，查询是否存在类似案例。如果存在，则调用它的解决方案作为此次紧急情况的辅助决策。如果方案不存在或者存在的案例相似度非常低，则调用RBR系统进行通用规则推理，得到的结果一方面存在数据库中作为预案以备将来使用，另一方面显示给用户作为当前事件的辅助决策。</w:t>
      </w:r>
    </w:p>
    <w:p w14:paraId="25D7BB7E">
      <w:pPr>
        <w:pStyle w:val="14"/>
        <w:keepNext w:val="0"/>
        <w:keepLines w:val="0"/>
        <w:widowControl/>
        <w:suppressLineNumbers w:val="0"/>
        <w:ind w:left="225"/>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3352800" cy="2057400"/>
            <wp:effectExtent l="0" t="0" r="0" b="0"/>
            <wp:docPr id="3" name="图片 47" descr="1649302043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7" descr="1649302043195.jpg"/>
                    <pic:cNvPicPr>
                      <a:picLocks noChangeAspect="1"/>
                    </pic:cNvPicPr>
                  </pic:nvPicPr>
                  <pic:blipFill>
                    <a:blip r:embed="rId11"/>
                    <a:stretch>
                      <a:fillRect/>
                    </a:stretch>
                  </pic:blipFill>
                  <pic:spPr>
                    <a:xfrm>
                      <a:off x="0" y="0"/>
                      <a:ext cx="3352800" cy="2057400"/>
                    </a:xfrm>
                    <a:prstGeom prst="rect">
                      <a:avLst/>
                    </a:prstGeom>
                    <a:noFill/>
                    <a:ln w="9525">
                      <a:noFill/>
                    </a:ln>
                  </pic:spPr>
                </pic:pic>
              </a:graphicData>
            </a:graphic>
          </wp:inline>
        </w:drawing>
      </w:r>
    </w:p>
    <w:p w14:paraId="482AE466">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预案生成系统的结构示意图</w:t>
      </w:r>
    </w:p>
    <w:p w14:paraId="004F38C7">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4C33692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1.1.3.3.3 </w:t>
      </w:r>
      <w:r>
        <w:rPr>
          <w:rFonts w:hint="eastAsia" w:ascii="宋体" w:hAnsi="宋体" w:eastAsia="宋体" w:cs="宋体"/>
          <w:color w:val="auto"/>
          <w:sz w:val="28"/>
          <w:szCs w:val="28"/>
          <w:highlight w:val="none"/>
        </w:rPr>
        <w:t>应急资源一张图系统</w:t>
      </w:r>
    </w:p>
    <w:p w14:paraId="528DFC4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照《国家应急平台体系信息资源分类与编码》、《国家应急平台体系省级平台数据表结构规范》以及其他规范，通过全市应急信息资源数据库建设，重点对接整合各个联动部门的应急队伍、应急装备、应急物资、救援力量等应急资源信息，形成全市“应急信息一张图”，实现应急资源可视化管理，支持应急指挥决策分析。</w:t>
      </w:r>
    </w:p>
    <w:p w14:paraId="437B08E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一张图实现应急资源及数据信息的对接交换服务，解决了应急信息包含的数据类型多、分布于不同职能部门、数据类型与格式千差万别和各种信息不能集成统一的难题。解决了应急所需数据资源分散、没有统一标准、没有对接和难以整合的问题，保证数据的实效性、准确性、可用性。一张图的实现意味着众多与应急指挥相关的单位的数据可以互联互通，依托GIS地理信息技术基础支撑，将多种数据无缝关联起来，为应急决策提供保障。</w:t>
      </w:r>
    </w:p>
    <w:p w14:paraId="52D6796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采集各级联动部门已建的业务系统及数据库中的救援队伍、救援专家、应急物资、救援装备、医疗资源、通信资源、运输资源及避难场所等应急资源，在统一的电子地图上进行汇聚标识、图形化展示、共享服务，实现全市“应急资源一张图”，为突发事件应急处置时查阅应急资源和信息提供支持。</w:t>
      </w:r>
    </w:p>
    <w:p w14:paraId="16F4F2E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1.1.3.3.3.1 </w:t>
      </w:r>
      <w:r>
        <w:rPr>
          <w:rFonts w:hint="eastAsia" w:ascii="宋体" w:hAnsi="宋体" w:eastAsia="宋体" w:cs="宋体"/>
          <w:color w:val="auto"/>
          <w:sz w:val="28"/>
          <w:szCs w:val="28"/>
          <w:highlight w:val="none"/>
        </w:rPr>
        <w:t>应急资源标准规范建设</w:t>
      </w:r>
    </w:p>
    <w:p w14:paraId="02FF709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资源信息化标准化建设是应急资源信息化成败的关键，也是应急通信保障平台建设的必备条件之一。应急资源信息化建设过程中怎样有效开发和利用信息资源，怎样保障信息化基础设施建设优质高效和信息网络无缝连接，怎样确保各信息系统间互联互通和互操作、信息安全与可靠，怎样实现应急资源信息共享等，是应急资源信息化建设的关键问题，而标准化则是解决上述问题的基本手段。应急信息“一张图”标准体系包括综合应急信息资源标准和应急采集标准技术规范。</w:t>
      </w:r>
    </w:p>
    <w:p w14:paraId="4FD0513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1、应急信息资源标准</w:t>
      </w:r>
    </w:p>
    <w:p w14:paraId="05AA661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用于规范应急信息资源的数据采集、更新与服务。包括应急信息分类编码（在《国家应急平台体系信息资源分类与编码规范》（征求意见稿）的基础上，结合福建省及福州市的具体情况细化，统一标准的数据格式以及数据协议，通过统一数据接口进行资源数据采集和转换，建立数据共享及应用标准。</w:t>
      </w:r>
    </w:p>
    <w:p w14:paraId="131CC16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1）、应急资源数据格式标准化：对通过通信网络传输到系统中的数据建立统一标准的数据格式，保证了数据的兼容性；</w:t>
      </w:r>
    </w:p>
    <w:p w14:paraId="6389153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2）、数据协议标准化：通过统一数据接口进行资源数据采集和转换，形成系统的基础数据，有效的解决现有应急系统中数据杂乱无章，数据关联性差，数据整合难的问题；</w:t>
      </w:r>
    </w:p>
    <w:p w14:paraId="066422F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3）、数据共享标准：使应急指挥系统内部多业务系统数据之间互融互通，共享资源信息，解决了各分系统之间信息孤立的问题，最大化的利用数据资源，最终形成信息联动、资源共享的高效率应急指挥系统。</w:t>
      </w:r>
    </w:p>
    <w:p w14:paraId="50AF03E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1.1.3.3.3.2 </w:t>
      </w:r>
      <w:r>
        <w:rPr>
          <w:rFonts w:hint="eastAsia" w:ascii="宋体" w:hAnsi="宋体" w:eastAsia="宋体" w:cs="宋体"/>
          <w:color w:val="auto"/>
          <w:sz w:val="28"/>
          <w:szCs w:val="28"/>
          <w:highlight w:val="none"/>
        </w:rPr>
        <w:t>数据采集与数据整合</w:t>
      </w:r>
    </w:p>
    <w:p w14:paraId="7C73E83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基于统一数据对接应用支撑服务平台，实现应急资源“一张图”的数据采集及数据交换管理功能。针对不同的数据来源进一步的加工，添加统一标准数据标识，对于应急资源数据进行分类和共享。</w:t>
      </w:r>
    </w:p>
    <w:p w14:paraId="12D680D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1、应急资源数据信息采集</w:t>
      </w:r>
    </w:p>
    <w:p w14:paraId="021F8B3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资源数据信息库的建库主要包括两种情况，一种是专业应急部门已有的数据通过应急数据交换系统，从其相关的应急信息系统中接入；另外一种专业应急部门没有的数据，或没有实现数据上图的数据支持系统平台进行手工数据上报与管理维护采集建库。</w:t>
      </w:r>
    </w:p>
    <w:p w14:paraId="1CEA04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2、应急资源数据信息整合</w:t>
      </w:r>
    </w:p>
    <w:p w14:paraId="00617A1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将采集的不同格式各类应急资源数据进行格式转换、坐标转换、应急目标点标注转换。</w:t>
      </w:r>
    </w:p>
    <w:p w14:paraId="5AA5EC4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创建拓扑主要目的是对面状数据需要将采集的连续点构线进行拓扑，检查多边形是否封闭，以便于后面进行面要素的处理。</w:t>
      </w:r>
    </w:p>
    <w:p w14:paraId="796724A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属性点检查主要目的是为封闭的多边形添加面要素属性标识点，属性点里记录面要素的属性信息。在后面处理时通过多边形同属性点的关联，产生完整的面要素及属性信息。</w:t>
      </w:r>
    </w:p>
    <w:p w14:paraId="18A1101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数据检查主要目的是数据在处理完成后，要进行系统全面的数据检查。检查内容主要包括数据的完整性、正确性及图形、属性的逻辑对应关系等，检查方式采用程序检查与人工检查交叉进行。具体检查过程中可从以下几个方面进行：</w:t>
      </w:r>
    </w:p>
    <w:p w14:paraId="7DCEEE0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①图面检查：检查的主要内容是数据采集是否完整，是否有遗漏，地物的判别采集是否有误，图面是否美观，要素采集是否在容许误差范围内，定位、接边误差是否超限等。</w:t>
      </w:r>
    </w:p>
    <w:p w14:paraId="228F8DA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②属性检查：检查的主要内容是数据的图层信息是否正确，属性编码是否正确，以及针对于线要素相对应的附属信息是否正确、完整等。</w:t>
      </w:r>
    </w:p>
    <w:p w14:paraId="777457C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③全面检查数据的完整性、准确性、逻辑性一致，以及数据分层、文件命名的规范性等。</w:t>
      </w:r>
    </w:p>
    <w:p w14:paraId="5117547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1.1.3.3.3.3 </w:t>
      </w:r>
      <w:r>
        <w:rPr>
          <w:rFonts w:hint="eastAsia" w:ascii="宋体" w:hAnsi="宋体" w:eastAsia="宋体" w:cs="宋体"/>
          <w:color w:val="auto"/>
          <w:sz w:val="28"/>
          <w:szCs w:val="28"/>
          <w:highlight w:val="none"/>
        </w:rPr>
        <w:t>数据服务发布及管理</w:t>
      </w:r>
    </w:p>
    <w:p w14:paraId="00E1F33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应急资源数据建立统一目录分类体系、统一坐标及统一编码进行管理和服务，确保数据的完整性和服务多样性。按照应急资源目录的分类提供数据服务，可以通过应急资源目录中的项目对于数据进行发布和管理。可以根据地理信息，按照坐标和范围对于数据进行分类和发布。提供可视化的数据服务发布管理，高效、安全地管理数据服务。</w:t>
      </w:r>
    </w:p>
    <w:p w14:paraId="62603C8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1、应急资源数据目录服务</w:t>
      </w:r>
    </w:p>
    <w:p w14:paraId="6D154BA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数据目录服务实现与统一对接服务支撑的对接，以及应急资源目录信息采集、注册、管理、查询和定位全过程管理。应急数据目录服务子系统主要包括目录信息注册、目录信息发布、目录信息查询、目录信息删除、目录信息组织、目录信息统计等功能。</w:t>
      </w:r>
    </w:p>
    <w:p w14:paraId="37B4F93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1)、应急信息资源编目</w:t>
      </w:r>
    </w:p>
    <w:p w14:paraId="371E0D1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信息资源编目主要实现信息资源的元数据抽取、资源编码和分类功能。它是基于核心元数据标准开发的目录数据生成系统。提供者使用编目系统从不同形态的应急信息资源中手工或自动抽取数据，并生成目录。编目系统部署于资源提供部门，其不但可以向目录管理中心提供目录数据，还可作为部门内部资源管理工具使用。</w:t>
      </w:r>
    </w:p>
    <w:p w14:paraId="24ECD22E">
      <w:pPr>
        <w:pStyle w:val="14"/>
        <w:keepNext w:val="0"/>
        <w:keepLines w:val="0"/>
        <w:widowControl/>
        <w:suppressLineNumbers w:val="0"/>
        <w:spacing w:before="90" w:beforeAutospacing="0"/>
        <w:ind w:left="885"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编目系统主要包括元数据计算机辅助抽取、元数据手工抽取、元数据编辑、资源编码、资源分类、目录数据管理、配置管理等功能。</w:t>
      </w:r>
    </w:p>
    <w:p w14:paraId="0066FD8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2)、目录数据管理</w:t>
      </w:r>
    </w:p>
    <w:p w14:paraId="6BFA3F19">
      <w:pPr>
        <w:pStyle w:val="14"/>
        <w:keepNext w:val="0"/>
        <w:keepLines w:val="0"/>
        <w:widowControl/>
        <w:suppressLineNumbers w:val="0"/>
        <w:spacing w:before="90" w:beforeAutospacing="0"/>
        <w:ind w:left="885"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目录数据管理主要实现目录数据管理和维护功能，以及实现目录服务接口，其主要内容包括目录管理、系统管理和接口管理等功能，实现对目录数据服务的集中管理。</w:t>
      </w:r>
    </w:p>
    <w:p w14:paraId="50FFE26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3)、目录数据服务</w:t>
      </w:r>
    </w:p>
    <w:p w14:paraId="441D6E8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目录数据服务主要是通过Web页面，实现目录数据的查询和导航，以及元数据信息的浏览功能。</w:t>
      </w:r>
    </w:p>
    <w:p w14:paraId="07CD75E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2、应急资源数据发布服务</w:t>
      </w:r>
    </w:p>
    <w:p w14:paraId="647F1D8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数据服务发布与管理是应急资源数据归档及管理的核心，将根据各种应急数据进行数据服务发布，并对发布的服务进行管理。应急指挥系统可通过调用数据服务查看所需的应急资源信息，大大的提高了数据的使用效率及安全性。</w:t>
      </w:r>
    </w:p>
    <w:p w14:paraId="19B95A6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应用用户通过系统发布的共享数据目录及其元数据服务，进行数据项需求的定制；收到用户数据需求后，对需求的数据项进行数据定位、读取并转换成用户需求的格式，最后推送到用户的信息系统或数据库中。分发服务主要实现共享数据发布、元数据服务、数据分发等功能模块。</w:t>
      </w:r>
    </w:p>
    <w:p w14:paraId="50F4873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1.1.3.3.3.4 </w:t>
      </w:r>
      <w:r>
        <w:rPr>
          <w:rFonts w:hint="eastAsia" w:ascii="宋体" w:hAnsi="宋体" w:eastAsia="宋体" w:cs="宋体"/>
          <w:color w:val="auto"/>
          <w:sz w:val="28"/>
          <w:szCs w:val="28"/>
          <w:highlight w:val="none"/>
        </w:rPr>
        <w:t>资源数据展示应用</w:t>
      </w:r>
    </w:p>
    <w:p w14:paraId="5A77522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将应急数据按照类别转换为多维显示系统可以接收的数据格式，并且对于数据进行多维、多视角、多层级、多方面的切分，使得多种数据可以在同一个场景下相互关联，更好地体现出数据联动带来的巨大优势。</w:t>
      </w:r>
    </w:p>
    <w:p w14:paraId="676BF16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1.1.3.3.3.5 </w:t>
      </w:r>
      <w:r>
        <w:rPr>
          <w:rFonts w:hint="eastAsia" w:ascii="宋体" w:hAnsi="宋体" w:eastAsia="宋体" w:cs="宋体"/>
          <w:color w:val="auto"/>
          <w:sz w:val="28"/>
          <w:szCs w:val="28"/>
          <w:highlight w:val="none"/>
        </w:rPr>
        <w:t>应急资源基础信息维护</w:t>
      </w:r>
    </w:p>
    <w:p w14:paraId="576A6B1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应急资源包括救援队伍、救援专家、应急物资、救援装备、医疗资源、通信资源、运输资源及避难场所等资源信息。实现各类应急资源数据基础信息的统一维护管理。</w:t>
      </w:r>
    </w:p>
    <w:p w14:paraId="105918A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1.1.3.3.3.5.1 </w:t>
      </w:r>
      <w:r>
        <w:rPr>
          <w:rStyle w:val="17"/>
          <w:rFonts w:hint="eastAsia" w:ascii="宋体" w:hAnsi="宋体" w:eastAsia="宋体" w:cs="宋体"/>
          <w:color w:val="auto"/>
          <w:sz w:val="28"/>
          <w:szCs w:val="28"/>
          <w:highlight w:val="none"/>
        </w:rPr>
        <w:t>应急力量管理</w:t>
      </w:r>
    </w:p>
    <w:p w14:paraId="675E58E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完成对人力资源的基础信息维护，工作组织结构的维护，人员队伍模块化，人员分类管理、后备力量管理等多项功能。通过汇总各个部门的人力和警力资源，对可调用人员能力和数量进行管理。依据组织结构，对突发事件中应急处置部门、协助处置部门、应急救援专业部门、保障部门、部队及武警部队等职责予以明确。依据专业分类和技能程度对人力资源进行归类分组，便于整体调度，记录在不同类型突发事件应急上可调动人员能力、参与专业种类和整体分配部署情况。同时对各个时段整体人力资源的工作、调休情况进行管理，确保突发事件发生时的人员调动需求和足够的后备人力补充。实现应急队伍保障。</w:t>
      </w:r>
    </w:p>
    <w:p w14:paraId="281C694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对公安、消防、医疗救护、地震救援、海上搜救、矿山救护、森林消防、防洪抢险、核辐射、危险化学品事故救援、铁路事故和民航事故处置，以及水、电、油、气等工程抢险等救援队伍的依据专业分类和技能程度进行分组分类建档；对社会团体、企事业单位以及志愿者等各种社会力量的备案信息进行分类管理；对驻津部队、武警部队和民兵的备案信息进行分类建档。</w:t>
      </w:r>
    </w:p>
    <w:p w14:paraId="3F2C8EA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2、对以上人力资源信息进行统计分析，以保障突发公共事件人力资源。</w:t>
      </w:r>
    </w:p>
    <w:p w14:paraId="7379156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1.1.3.3.3.5.2 </w:t>
      </w:r>
      <w:r>
        <w:rPr>
          <w:rStyle w:val="17"/>
          <w:rFonts w:hint="eastAsia" w:ascii="宋体" w:hAnsi="宋体" w:eastAsia="宋体" w:cs="宋体"/>
          <w:color w:val="auto"/>
          <w:sz w:val="28"/>
          <w:szCs w:val="28"/>
          <w:highlight w:val="none"/>
        </w:rPr>
        <w:t>应急储备物资管理</w:t>
      </w:r>
    </w:p>
    <w:p w14:paraId="6004DAA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物资管理包括对物资管理、分类管理、存放管理几大部分。</w:t>
      </w:r>
    </w:p>
    <w:p w14:paraId="56A7904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对应急物资储备的备案信息进行分类建档；对相关部门和各区（县）政府提出的物资需求计划，救灾物资和生活必需品的生产、储存和调拨方案及紧急配送体系等情况的备案信息进行分类建档；对有关应急物资、紧急救援医药用品的生产企业的生产状况，生产能力和储备情况的备案信息进行分类建档。</w:t>
      </w:r>
    </w:p>
    <w:p w14:paraId="3B8C5A5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2、对物资的类型、数量、用途、存放地、购买计划等存货、供应信息进行统计分析，以保障突发公共事件所需物资。</w:t>
      </w:r>
    </w:p>
    <w:p w14:paraId="00FD857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1.1.3.3.3.5.3 </w:t>
      </w:r>
      <w:r>
        <w:rPr>
          <w:rStyle w:val="17"/>
          <w:rFonts w:hint="eastAsia" w:ascii="宋体" w:hAnsi="宋体" w:eastAsia="宋体" w:cs="宋体"/>
          <w:color w:val="auto"/>
          <w:sz w:val="28"/>
          <w:szCs w:val="28"/>
          <w:highlight w:val="none"/>
        </w:rPr>
        <w:t>医疗急救机构管理功能</w:t>
      </w:r>
    </w:p>
    <w:p w14:paraId="3A2E8B3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1、对医疗、卫生救助和卫生防疫技术队伍以及卫生执法监督人员队伍的保障的备案信息进行分类建档，对各区（县）的医疗救治网络等备案信息进行分类建档。</w:t>
      </w:r>
    </w:p>
    <w:p w14:paraId="2A0C54F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2、通过以上建档信息的统计分析，判定突发事件医疗保障的合理性。</w:t>
      </w:r>
    </w:p>
    <w:p w14:paraId="1D78ED5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1.1.3.3.3.5.4 </w:t>
      </w:r>
      <w:r>
        <w:rPr>
          <w:rStyle w:val="17"/>
          <w:rFonts w:hint="eastAsia" w:ascii="宋体" w:hAnsi="宋体" w:eastAsia="宋体" w:cs="宋体"/>
          <w:color w:val="auto"/>
          <w:sz w:val="28"/>
          <w:szCs w:val="28"/>
          <w:highlight w:val="none"/>
        </w:rPr>
        <w:t>交通运输资源管理功能</w:t>
      </w:r>
    </w:p>
    <w:p w14:paraId="5AED9A3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对交通、铁路、民航、港口等有关部门的交通工具针对突发公共事件的调度安排等备案信息进行建档；对交通运输专业保障队伍、保障方案、运输工具、交通运输单位和运输工具数量、分布、功能和使用状态等备案信息进行分类建档。</w:t>
      </w:r>
    </w:p>
    <w:p w14:paraId="41282C7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2、对交通运输保障的建档信息进行分析、统计。</w:t>
      </w:r>
    </w:p>
    <w:p w14:paraId="2E910D9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1.1.3.3.3.5.5 </w:t>
      </w:r>
      <w:r>
        <w:rPr>
          <w:rStyle w:val="17"/>
          <w:rFonts w:hint="eastAsia" w:ascii="宋体" w:hAnsi="宋体" w:eastAsia="宋体" w:cs="宋体"/>
          <w:color w:val="auto"/>
          <w:sz w:val="28"/>
          <w:szCs w:val="28"/>
          <w:highlight w:val="none"/>
        </w:rPr>
        <w:t>紧急避难场所管理功能</w:t>
      </w:r>
    </w:p>
    <w:p w14:paraId="0A1BE32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1、对各地市（县）政府紧急避难场所及其使用情况等备案信息进行分类建档。</w:t>
      </w:r>
    </w:p>
    <w:p w14:paraId="130DBAE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2、对紧急避难场所信息进行查询、分析。</w:t>
      </w:r>
    </w:p>
    <w:p w14:paraId="78B4FF18">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1.1.3.3.3.5.6 </w:t>
      </w:r>
      <w:r>
        <w:rPr>
          <w:rStyle w:val="17"/>
          <w:rFonts w:hint="eastAsia" w:ascii="宋体" w:hAnsi="宋体" w:eastAsia="宋体" w:cs="宋体"/>
          <w:color w:val="auto"/>
          <w:sz w:val="28"/>
          <w:szCs w:val="28"/>
          <w:highlight w:val="none"/>
        </w:rPr>
        <w:t>应急通讯资源管理功能</w:t>
      </w:r>
    </w:p>
    <w:p w14:paraId="2731F0E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1、对突发公共事件的有关通讯保障、通讯录等备案信息进行分类管理。</w:t>
      </w:r>
    </w:p>
    <w:p w14:paraId="5F70A3B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2、对通讯保障信息进行查询分析。</w:t>
      </w:r>
    </w:p>
    <w:p w14:paraId="37F8580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1.1.3.3.3.5.7 </w:t>
      </w:r>
      <w:r>
        <w:rPr>
          <w:rStyle w:val="17"/>
          <w:rFonts w:hint="eastAsia" w:ascii="宋体" w:hAnsi="宋体" w:eastAsia="宋体" w:cs="宋体"/>
          <w:color w:val="auto"/>
          <w:sz w:val="28"/>
          <w:szCs w:val="28"/>
          <w:highlight w:val="none"/>
        </w:rPr>
        <w:t>救援设备管理功能</w:t>
      </w:r>
    </w:p>
    <w:p w14:paraId="0B33C52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完成对救援设备的基础信息维护，设备分类管理、设备监控、设备维护保养等多项功能。通过汇总各个联动部门的设备资源，对可调用设备能力和数量进行管理。</w:t>
      </w:r>
    </w:p>
    <w:p w14:paraId="28BA31D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不同突发事件发生时对不同类设备的需求不尽相同，依据性能和用途对设备资源进行归类分组，便于整体调度。</w:t>
      </w:r>
    </w:p>
    <w:p w14:paraId="1E58EB5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对基本信息的维护，跟踪掌握各类设备的可利用效能、数量和当前工作状态。保障突发事件发生时的设备调动需求。</w:t>
      </w:r>
    </w:p>
    <w:p w14:paraId="41CCC7D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1、对各相关单位配备的救援装备、器材的存货信息，以及相应的维护、保养和调用制度等备案信息进行分类建档。</w:t>
      </w:r>
    </w:p>
    <w:p w14:paraId="199B46D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2、通过对工程抢险装备的品种、数量、维护、保养信息的分析统计，判定其合理性，以保障突发公共事件所需工程抢险装备。</w:t>
      </w:r>
    </w:p>
    <w:p w14:paraId="366894CC">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1.1.3.3.3.5.8 </w:t>
      </w:r>
      <w:r>
        <w:rPr>
          <w:rStyle w:val="17"/>
          <w:rFonts w:hint="eastAsia" w:ascii="宋体" w:hAnsi="宋体" w:eastAsia="宋体" w:cs="宋体"/>
          <w:color w:val="auto"/>
          <w:sz w:val="28"/>
          <w:szCs w:val="28"/>
          <w:highlight w:val="none"/>
        </w:rPr>
        <w:t>其它资源管理功能</w:t>
      </w:r>
    </w:p>
    <w:p w14:paraId="787EAC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建立有地震、公安、消防、交通、交管、房管、人防、气象、电信、化工、市政、建筑设计、给排水、市容、电力、燃气、医学、环保、社会科学等各学科专家组成的突发公共事件应急专家组，建立个人技术档案资料，实行动态管理。</w:t>
      </w:r>
    </w:p>
    <w:p w14:paraId="446481C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2、对技术专家档案进行统计分析。</w:t>
      </w:r>
    </w:p>
    <w:p w14:paraId="5CF8B16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3、对省民政</w:t>
      </w:r>
      <w:r>
        <w:rPr>
          <w:rFonts w:hint="eastAsia" w:ascii="宋体" w:hAnsi="宋体" w:eastAsia="宋体" w:cs="宋体"/>
          <w:color w:val="auto"/>
          <w:sz w:val="24"/>
          <w:szCs w:val="24"/>
          <w:highlight w:val="none"/>
          <w:lang w:eastAsia="zh-CN"/>
        </w:rPr>
        <w:t>厅</w:t>
      </w:r>
      <w:bookmarkStart w:id="14" w:name="_GoBack"/>
      <w:bookmarkEnd w:id="14"/>
      <w:r>
        <w:rPr>
          <w:rFonts w:hint="eastAsia" w:ascii="宋体" w:hAnsi="宋体" w:eastAsia="宋体" w:cs="宋体"/>
          <w:color w:val="auto"/>
          <w:sz w:val="24"/>
          <w:szCs w:val="24"/>
          <w:highlight w:val="none"/>
        </w:rPr>
        <w:t>、各区（县）等有关部门对群众基本生活保障物资、基本生活用品及重要生活必需品的储备备案信息进行分类建档。</w:t>
      </w:r>
    </w:p>
    <w:p w14:paraId="0C90EDE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1.1.3.3.3.6 </w:t>
      </w:r>
      <w:r>
        <w:rPr>
          <w:rFonts w:hint="eastAsia" w:ascii="宋体" w:hAnsi="宋体" w:eastAsia="宋体" w:cs="宋体"/>
          <w:color w:val="auto"/>
          <w:sz w:val="28"/>
          <w:szCs w:val="28"/>
          <w:highlight w:val="none"/>
        </w:rPr>
        <w:t>应急资源展示检索服务</w:t>
      </w:r>
    </w:p>
    <w:p w14:paraId="7B80352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1、应急资源信息分布汇聚</w:t>
      </w:r>
    </w:p>
    <w:p w14:paraId="7BB4103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基于电子地图的各类应急资源综合检索及分布聚合展示管理，包括救援队伍、救援专家、应急物资、救援装备、医疗资源、通信资源、运输资源及避难场所等应急资源，在全省统一的电子地图上进行汇聚标识、图形化展示，为省领导应急处置时查阅应急资源和信息提供支持。系统以电子地图聚合数量的方式展示全省各个区域应急资源的分布情况，当地图放大到一定比例，则直接显示各个应急资源的具体位置信息，点击相应应急资源的图标，可以查看该应急资源的详细信息。</w:t>
      </w:r>
    </w:p>
    <w:p w14:paraId="2D66DA5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2、“一键式”搜索管理</w:t>
      </w:r>
    </w:p>
    <w:p w14:paraId="6FC8269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应急资源的“一键式”搜索功能，输入搜索关键字，系统自动检索匹配所有应急资源中包含该关键字的所有资源信息，并在地图上进行分布展示，包括应急资源名称匹配、地址匹配、区域匹配、管理单位匹配及关键字匹配等。</w:t>
      </w:r>
    </w:p>
    <w:p w14:paraId="0994D26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3、区域范围检索管理</w:t>
      </w:r>
    </w:p>
    <w:p w14:paraId="69D098A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系统提供周边指定范围的区域检索功能，如以突发事件发生地为中心，搜索事发周边半径多少公里的应急资源信息，系统自动检索展示周边该公里范围内的所有应急资源相关信息。</w:t>
      </w:r>
    </w:p>
    <w:p w14:paraId="1C8356C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系统同时还提供了在电子地图上手动矩形拉框或多边形区域拉框等选择搜索功能，系统自动检索展示相应范围内的应急资源相关信息。</w:t>
      </w:r>
    </w:p>
    <w:p w14:paraId="642F907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4、应急资源调度路径规划</w:t>
      </w:r>
    </w:p>
    <w:p w14:paraId="7ED82D9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应急资源的调度路径规划及导航管理功能。支持根据检索的应急资源所在具体位置信息，在电子地图上实现到达该应急资源所在具体位置或该应急资源调度去事发现场的最佳路径规划管理，实现路径规划导航及预计到达最短时间的路径选择管理等功能。</w:t>
      </w:r>
    </w:p>
    <w:p w14:paraId="2954B4F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1.1.3.3.4 </w:t>
      </w:r>
      <w:r>
        <w:rPr>
          <w:rFonts w:hint="eastAsia" w:ascii="宋体" w:hAnsi="宋体" w:eastAsia="宋体" w:cs="宋体"/>
          <w:color w:val="auto"/>
          <w:sz w:val="28"/>
          <w:szCs w:val="28"/>
          <w:highlight w:val="none"/>
        </w:rPr>
        <w:t>应急处置</w:t>
      </w:r>
    </w:p>
    <w:p w14:paraId="61CFF7A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融合市政公用、市容环卫、园林绿化、城市管理执法、城市管理物联感知、城市治理态势、城市突发事件、社会治安、公共安全等方面的预报预警信息，辅助管理者对生成的预警事件开展进行指挥调度工作，跟踪处置过程和处置结果，督办重点任务。</w:t>
      </w:r>
    </w:p>
    <w:p w14:paraId="64883C6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1.1.3.3.4.1 </w:t>
      </w:r>
      <w:r>
        <w:rPr>
          <w:rFonts w:hint="eastAsia" w:ascii="宋体" w:hAnsi="宋体" w:eastAsia="宋体" w:cs="宋体"/>
          <w:color w:val="auto"/>
          <w:sz w:val="28"/>
          <w:szCs w:val="28"/>
          <w:highlight w:val="none"/>
        </w:rPr>
        <w:t>预防准备</w:t>
      </w:r>
    </w:p>
    <w:p w14:paraId="7CDED9D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现代化的城市管理工作，需要科学有效地应对城市治理过程中的突发事件，改变传统应急工作中存在的“重处置、轻预防”的工作模式，把应对重大疫情、道路严重积水、供水管网破裂等城市突发事件的重心转移到城市突发事件发生前的预防准备工作上，强化危机意识，强化忧患意识和责任意识，抓好日常管理，将城市突发事件遏制在萌芽状态；不断完善应急预防预案，用确定性的充分准备来应对不确定性的突发状况。</w:t>
      </w:r>
    </w:p>
    <w:p w14:paraId="754EC04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建立预防准备系统，来提高城市突发事件的应对能力，通过建立预防预案体系，能够在突发事件发生前做到未雨绸缪，谋划在前，应对在前，通过预防训练演练强化城市突发事件的防范处置能力。本系统主要提供包括风险预警、值守管理、预防预案、预防演练等功能。</w:t>
      </w:r>
    </w:p>
    <w:p w14:paraId="76662591">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1.1.3.3.4.1.1 </w:t>
      </w:r>
      <w:r>
        <w:rPr>
          <w:rStyle w:val="17"/>
          <w:rFonts w:hint="eastAsia" w:ascii="宋体" w:hAnsi="宋体" w:eastAsia="宋体" w:cs="宋体"/>
          <w:color w:val="auto"/>
          <w:sz w:val="28"/>
          <w:szCs w:val="28"/>
          <w:highlight w:val="none"/>
        </w:rPr>
        <w:t>风险预警</w:t>
      </w:r>
    </w:p>
    <w:p w14:paraId="7EF0C83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强化风险预警管理能够促进应急模式的转换，最大限度地让我们摒弃以往事件突发发生，然后再加以处置的落后的应对模式，而代之于通过风险评估实现危机预判，尽早加以解决的现代应对模式。风险管理在科学应对突发事件中具有先导性和前瞻性，是贯彻执行预防为主、增强应急管理预见性，赢得主动性的关键一环，是从更基础更科学的层面提髙应急管理能力的重要抓手。</w:t>
      </w:r>
    </w:p>
    <w:p w14:paraId="2F96D1E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预防城市突发事件发生，应重视事件发生风险评估预警。通过对接气象、水利、海洋等部门预警数据，分析研判城市可能发生的突发性事件风险。比如，特大暴雨预警可能导致城市道路严重积水、道路交通堵塞等情况发生，系统应及时产生告警，启动相关预案，自动派发相关预防任务至责任单位、责任人，限期处置。</w:t>
      </w:r>
    </w:p>
    <w:p w14:paraId="05A24AA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预警系统实现各类监测业务预警信息的统一汇集与发布管理，根据预警信息危机程度及可能危害范围的不同，选取适宜的预警程序和方式，实现预警信息及时、准确地上传下达，实施科学指挥、决策、调度，从而使得城市突发事件能够根据预防预案，及时采取预防措施，最大限度地减少人员伤亡和财产损失。 系统主要包括数据汇集、预警设置、预警发布和防范响应等功能。</w:t>
      </w:r>
    </w:p>
    <w:p w14:paraId="1E3FFCEB">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1.1.3.3.4.1.1.1 </w:t>
      </w:r>
      <w:r>
        <w:rPr>
          <w:rFonts w:hint="eastAsia" w:ascii="宋体" w:hAnsi="宋体" w:eastAsia="宋体" w:cs="宋体"/>
          <w:color w:val="auto"/>
          <w:sz w:val="24"/>
          <w:szCs w:val="24"/>
          <w:highlight w:val="none"/>
        </w:rPr>
        <w:t>预警数据汇聚</w:t>
      </w:r>
    </w:p>
    <w:p w14:paraId="51D9B8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实现对城市突发事件各类监测监控系统预警信息的统一对接与汇聚，结合业务监测预警配置模型，进行统一的管理及展示。</w:t>
      </w:r>
    </w:p>
    <w:p w14:paraId="0B5AECE5">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1.1.3.3.4.1.1.2 </w:t>
      </w:r>
      <w:r>
        <w:rPr>
          <w:rFonts w:hint="eastAsia" w:ascii="宋体" w:hAnsi="宋体" w:eastAsia="宋体" w:cs="宋体"/>
          <w:color w:val="auto"/>
          <w:sz w:val="24"/>
          <w:szCs w:val="24"/>
          <w:highlight w:val="none"/>
        </w:rPr>
        <w:t>风险预警设置</w:t>
      </w:r>
    </w:p>
    <w:p w14:paraId="5A239B3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系统为各类监测业务提供自动预警和手动预警两种方式，支持预警中心的短信和电话预警通知管理功能。   </w:t>
      </w:r>
    </w:p>
    <w:p w14:paraId="1518C5D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自动预警</w:t>
      </w:r>
    </w:p>
    <w:p w14:paraId="1935D17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各站点可按照参数标准自定义设置预警参数，对达到预警标准的站点执行自动预警操作。</w:t>
      </w:r>
    </w:p>
    <w:p w14:paraId="243FB41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手动预警</w:t>
      </w:r>
    </w:p>
    <w:p w14:paraId="1D65DF2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管理人员可以按照操作步骤手动操作预警流程，发布预警信息。 </w:t>
      </w:r>
    </w:p>
    <w:p w14:paraId="65CC8724">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1.1.3.3.4.1.1.3 </w:t>
      </w:r>
      <w:r>
        <w:rPr>
          <w:rFonts w:hint="eastAsia" w:ascii="宋体" w:hAnsi="宋体" w:eastAsia="宋体" w:cs="宋体"/>
          <w:color w:val="auto"/>
          <w:sz w:val="24"/>
          <w:szCs w:val="24"/>
          <w:highlight w:val="none"/>
        </w:rPr>
        <w:t>风险预警发布</w:t>
      </w:r>
    </w:p>
    <w:p w14:paraId="66B8669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根据各类监测预警指标和等级划分，实现预警信息的发布管理，支持根据预警分析结果，在地图上以不同颜色闪烁的方式展示各区域的预警类别、预警级别等信息。</w:t>
      </w:r>
    </w:p>
    <w:p w14:paraId="39FC4857">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1.1.3.3.4.1.1.4 </w:t>
      </w:r>
      <w:r>
        <w:rPr>
          <w:rFonts w:hint="eastAsia" w:ascii="宋体" w:hAnsi="宋体" w:eastAsia="宋体" w:cs="宋体"/>
          <w:color w:val="auto"/>
          <w:sz w:val="24"/>
          <w:szCs w:val="24"/>
          <w:highlight w:val="none"/>
        </w:rPr>
        <w:t>预警防范响应</w:t>
      </w:r>
    </w:p>
    <w:p w14:paraId="3BA2049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根据预警结果及信息发布情况，实现城市各监管部门的应急防范响应管理功能。风险防范响应管理主要包括以下功能：</w:t>
      </w:r>
    </w:p>
    <w:p w14:paraId="0525B0D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1.响应工作流程</w:t>
      </w:r>
    </w:p>
    <w:p w14:paraId="0B2B61D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以图形方式显示工作流程，供使用人员参考。</w:t>
      </w:r>
    </w:p>
    <w:p w14:paraId="0437592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2.响应地图</w:t>
      </w:r>
    </w:p>
    <w:p w14:paraId="066F0D2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在地图上显示响应启动图示，并提供响应相关操作用户接口。</w:t>
      </w:r>
    </w:p>
    <w:p w14:paraId="2844BC8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3.响应列表</w:t>
      </w:r>
    </w:p>
    <w:p w14:paraId="581C4DC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显示各区域所有关联内部预警和外部预警的应急响应状态信息列表，包括“预警级别、预警时间、预警发布级别、预警发布时间、响应级别、响应启动时间、响应结束时间”等信息，并可以根据预警启动、修改和结束响应，提供历史响应的查询功能。</w:t>
      </w:r>
    </w:p>
    <w:p w14:paraId="61399A3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4.响应措施</w:t>
      </w:r>
    </w:p>
    <w:p w14:paraId="7CDC83A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以图表的方式显示响应措施的种类，可查看各个级别的响应措施。</w:t>
      </w:r>
    </w:p>
    <w:p w14:paraId="111AA11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5.响应反馈</w:t>
      </w:r>
    </w:p>
    <w:p w14:paraId="298F558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在列表中显示各个响应反馈信息，包括“预警时间、下派工作组、投入人员”等信息，并提供实时录入功能，以便实时跟踪进展情况。</w:t>
      </w:r>
    </w:p>
    <w:p w14:paraId="71D9D1D1">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1.1.3.3.4.1.2 </w:t>
      </w:r>
      <w:r>
        <w:rPr>
          <w:rStyle w:val="17"/>
          <w:rFonts w:hint="eastAsia" w:ascii="宋体" w:hAnsi="宋体" w:eastAsia="宋体" w:cs="宋体"/>
          <w:color w:val="auto"/>
          <w:sz w:val="28"/>
          <w:szCs w:val="28"/>
          <w:highlight w:val="none"/>
        </w:rPr>
        <w:t>值守管理</w:t>
      </w:r>
    </w:p>
    <w:p w14:paraId="0FD3F60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值守管理系统旨在实现各政府部门的综合值班值守管理，同时落实值班表及24小时值班制度，通过密切关注预测预警信息及突发事件的情况并及时上报、果断处置，保证信息联络及时、畅通。</w:t>
      </w:r>
    </w:p>
    <w:p w14:paraId="76F48116">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值守管理系统提供政府部门日常值班所需的功能，主要包括事件接报、值班日志、值班表等，满足城市综合管理日常值班业务的需要，将提高日常值班工作效率、降低日常值班工作复杂度作为主要目标。</w:t>
      </w:r>
    </w:p>
    <w:p w14:paraId="424D4196">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1.1.3.3.4.1.2.1 </w:t>
      </w:r>
      <w:r>
        <w:rPr>
          <w:rFonts w:hint="eastAsia" w:ascii="宋体" w:hAnsi="宋体" w:eastAsia="宋体" w:cs="宋体"/>
          <w:color w:val="auto"/>
          <w:sz w:val="24"/>
          <w:szCs w:val="24"/>
          <w:highlight w:val="none"/>
        </w:rPr>
        <w:t>值班排班管理</w:t>
      </w:r>
    </w:p>
    <w:p w14:paraId="60268DF2">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实现各级政府部门及单位值班日志信息的记录、办理、查询等功能；提供：</w:t>
      </w:r>
    </w:p>
    <w:p w14:paraId="0080E7C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各部门及单位日常值班信息、值班日志信息查询、打印等功能。</w:t>
      </w:r>
    </w:p>
    <w:p w14:paraId="4E6FEFC2">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系统提供手动排班及自动排班功能：</w:t>
      </w:r>
    </w:p>
    <w:p w14:paraId="0DAF158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（1）手动排班</w:t>
      </w:r>
    </w:p>
    <w:p w14:paraId="58FFA91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通过手动来进行排班管理，以及调班管理。</w:t>
      </w:r>
    </w:p>
    <w:p w14:paraId="130DFF0B">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（2）自动排班</w:t>
      </w:r>
    </w:p>
    <w:p w14:paraId="283278EF">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平台提供自动排班功能，管理人员只需录入一些配置信息，便能实现系统的自动排班功能。</w:t>
      </w:r>
    </w:p>
    <w:p w14:paraId="16F9A239">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1.1.3.3.4.1.2.2 </w:t>
      </w:r>
      <w:r>
        <w:rPr>
          <w:rFonts w:hint="eastAsia" w:ascii="宋体" w:hAnsi="宋体" w:eastAsia="宋体" w:cs="宋体"/>
          <w:color w:val="auto"/>
          <w:sz w:val="24"/>
          <w:szCs w:val="24"/>
          <w:highlight w:val="none"/>
        </w:rPr>
        <w:t>值班日志管理</w:t>
      </w:r>
    </w:p>
    <w:p w14:paraId="3198D65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实现政府部门及单位值班日志信息的记录、办理、查询等功能；提供日常值班信息特别提醒的功能。主要包括值班日志、值班报告及日常快报等管理功能。</w:t>
      </w:r>
    </w:p>
    <w:p w14:paraId="53AA7737">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（1）值班日志</w:t>
      </w:r>
    </w:p>
    <w:p w14:paraId="0CF44F34">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部门及单位值班日志信息的记录、办理、查询等功能。系统实现自动生成值班摘要的情况的汇总，每位值班员记录各自的日志，说明当前值班的情况。系统提供日常值班信息特别提醒的功能。主要包括待办事项办理、特别提醒、值班日志信息查询、打印等功能。</w:t>
      </w:r>
    </w:p>
    <w:p w14:paraId="37586CAA">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（2）值班报告</w:t>
      </w:r>
    </w:p>
    <w:p w14:paraId="57F6E411">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实现各级政府、各个区域、各有关职能部门的日常值班报告编制及维护管理功能。实现各个单位各政府部门日常值班报告的上报管理功能。</w:t>
      </w:r>
    </w:p>
    <w:p w14:paraId="49145BEA">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（3）日常快报</w:t>
      </w:r>
    </w:p>
    <w:p w14:paraId="273E0680">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实现气象、防汛、交通等各级各个政府部门的日常快报编制、维护及上报管理功能。实现各类日常快报的上报及查阅管理。</w:t>
      </w:r>
    </w:p>
    <w:p w14:paraId="5AB72713">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1.1.3.3.4.1.2.3 </w:t>
      </w:r>
      <w:r>
        <w:rPr>
          <w:rFonts w:hint="eastAsia" w:ascii="宋体" w:hAnsi="宋体" w:eastAsia="宋体" w:cs="宋体"/>
          <w:color w:val="auto"/>
          <w:sz w:val="24"/>
          <w:szCs w:val="24"/>
          <w:highlight w:val="none"/>
        </w:rPr>
        <w:t>待办事项管理</w:t>
      </w:r>
    </w:p>
    <w:p w14:paraId="07D36FE0">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待办事项实现值班人员或管理人员的待办事项管理提醒及办理管理，支持待办事项在个人操作桌面的列表提醒，支持待办事项查询及办理具体的事项。</w:t>
      </w:r>
    </w:p>
    <w:p w14:paraId="3FF6DE9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醒事项实现当天值班人员事项的提醒。特别提醒事项有三种显示方式包括周、月、列表，用户可根据自己的习惯进行选择。系统提供创建特别提醒事项或者批量生成周期性特别提醒事项管理功能。另外特别提醒事项还提供了日历视图和列表视图两种视图展示方式，用户可以根据需求随时转变展示方式。特别提醒事项实现各个部门及单位对本部门的值班人员安排值班时要处理的特别提醒事项，包括对特别提醒事项的新增、删除、修改和查询功能。特别提醒事项包括以下内容：标题、内容、等级和提醒时间和值班类型，当新增特别提醒事项时，如果开始和结束时间有时间跨度，则按天为周期重复生成。</w:t>
      </w:r>
    </w:p>
    <w:p w14:paraId="11AA4983">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1.1.3.3.4.1.2.4 </w:t>
      </w:r>
      <w:r>
        <w:rPr>
          <w:rFonts w:hint="eastAsia" w:ascii="宋体" w:hAnsi="宋体" w:eastAsia="宋体" w:cs="宋体"/>
          <w:color w:val="auto"/>
          <w:sz w:val="24"/>
          <w:szCs w:val="24"/>
          <w:highlight w:val="none"/>
        </w:rPr>
        <w:t>在线值班管理</w:t>
      </w:r>
    </w:p>
    <w:p w14:paraId="3844BDF1">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实现政府部门及单位在线值班人员实时查阅管理功能，支持值班人员语音电话通讯调度及短信消息通知等管理功能，满足日常值班查阅及沟通的需求。</w:t>
      </w:r>
    </w:p>
    <w:p w14:paraId="01E5B4F1">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1.1.3.3.4.1.2.5 </w:t>
      </w:r>
      <w:r>
        <w:rPr>
          <w:rFonts w:hint="eastAsia" w:ascii="宋体" w:hAnsi="宋体" w:eastAsia="宋体" w:cs="宋体"/>
          <w:color w:val="auto"/>
          <w:sz w:val="24"/>
          <w:szCs w:val="24"/>
          <w:highlight w:val="none"/>
        </w:rPr>
        <w:t>文档材料管理</w:t>
      </w:r>
    </w:p>
    <w:p w14:paraId="03B8ED9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实现各个职能部门相关城市综合管理信息和相关数据文档资料的维护、查询及调用管理功能。</w:t>
      </w:r>
    </w:p>
    <w:p w14:paraId="59DE10D7">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1.1.3.3.4.1.2.6 </w:t>
      </w:r>
      <w:r>
        <w:rPr>
          <w:rFonts w:hint="eastAsia" w:ascii="宋体" w:hAnsi="宋体" w:eastAsia="宋体" w:cs="宋体"/>
          <w:color w:val="auto"/>
          <w:sz w:val="24"/>
          <w:szCs w:val="24"/>
          <w:highlight w:val="none"/>
        </w:rPr>
        <w:t>值班统计管理</w:t>
      </w:r>
    </w:p>
    <w:p w14:paraId="19508CC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实现排班人员在排班管理界面可以通过选择起始日期条件，值班人员、值班类别生成值班统计表功能，实现统计报告导出功能。</w:t>
      </w:r>
    </w:p>
    <w:p w14:paraId="4C9F2EE0">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1.1.3.3.4.1.2.7 </w:t>
      </w:r>
      <w:r>
        <w:rPr>
          <w:rFonts w:hint="eastAsia" w:ascii="宋体" w:hAnsi="宋体" w:eastAsia="宋体" w:cs="宋体"/>
          <w:color w:val="auto"/>
          <w:sz w:val="24"/>
          <w:szCs w:val="24"/>
          <w:highlight w:val="none"/>
        </w:rPr>
        <w:t>通知公告管理</w:t>
      </w:r>
    </w:p>
    <w:p w14:paraId="052F559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实现城市各协同部门内部的通知公告管理功能，包括公告发布、删除等维护操作。</w:t>
      </w:r>
    </w:p>
    <w:p w14:paraId="26CD7C7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系统支持通知公告的短信发送与通知管理功能，实现管理人员可根据通讯录或联系电话直接发送手机短信通知管理功能，满足政府机关日常信息沟通与相关短消息的及时通知管理需求。</w:t>
      </w:r>
    </w:p>
    <w:p w14:paraId="05F1C59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1.1.3.3.4.1.3 </w:t>
      </w:r>
      <w:r>
        <w:rPr>
          <w:rStyle w:val="17"/>
          <w:rFonts w:hint="eastAsia" w:ascii="宋体" w:hAnsi="宋体" w:eastAsia="宋体" w:cs="宋体"/>
          <w:color w:val="auto"/>
          <w:sz w:val="28"/>
          <w:szCs w:val="28"/>
          <w:highlight w:val="none"/>
        </w:rPr>
        <w:t>预防预案</w:t>
      </w:r>
    </w:p>
    <w:p w14:paraId="04FA5C6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突发事件预防预案就是用确定性的充分准备来应对不确定性的突发状况，能够在突发事件发生前做到未雨绸缪，谋划在前，应对在前，是变应急管理为日常管理的有效手段，在突发事件的应对过程中起着重要的作用。</w:t>
      </w:r>
    </w:p>
    <w:p w14:paraId="06D7828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预防城市突发事件，应急建立相应的应急预案体系，不断完善应急预案首要的是充分认识应急预案的重要性和必要性。同时做到编制预案目的明确，原则正确，符合实际，着重操作。城市突发事件应对工作实行预防为主、预防与应急相结合的原则，把应急预防纳人到应急预案之中，不断完善预案强调应急预案管理的动态性，针对应急预案存在的问题给予持续性关注。</w:t>
      </w:r>
    </w:p>
    <w:p w14:paraId="662028E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城市突发事件预防预案系统主要包括预案编制、预案管理、预案审核、预案备案、预案共享等功能。</w:t>
      </w:r>
    </w:p>
    <w:p w14:paraId="4E36AC72">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1.1.3.3.4.1.3.1 </w:t>
      </w:r>
      <w:r>
        <w:rPr>
          <w:rFonts w:hint="eastAsia" w:ascii="宋体" w:hAnsi="宋体" w:eastAsia="宋体" w:cs="宋体"/>
          <w:color w:val="auto"/>
          <w:sz w:val="24"/>
          <w:szCs w:val="24"/>
          <w:highlight w:val="none"/>
        </w:rPr>
        <w:t>预案编制</w:t>
      </w:r>
    </w:p>
    <w:p w14:paraId="50327DF6">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编制服务具备预案模板管理、预案参考材料管理、预案线上编制、预案内容对比分析等功能。其中，预案内容对比分析基于预案数字化功能，比对预案指挥体系和部门职责等内容。预案编制服务旨在提供预案编制参考依据和预案的线上编制功能，有利于提高预案科学性、合理性，实现预案编制的标准化。</w:t>
      </w:r>
    </w:p>
    <w:p w14:paraId="584A8377">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1.1.3.3.4.1.3.2 </w:t>
      </w:r>
      <w:r>
        <w:rPr>
          <w:rFonts w:hint="eastAsia" w:ascii="宋体" w:hAnsi="宋体" w:eastAsia="宋体" w:cs="宋体"/>
          <w:color w:val="auto"/>
          <w:sz w:val="24"/>
          <w:szCs w:val="24"/>
          <w:highlight w:val="none"/>
        </w:rPr>
        <w:t>预案管理</w:t>
      </w:r>
    </w:p>
    <w:p w14:paraId="64E7594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管理包括预案文档导入、预案分类管理、预案体系图、预案链管理、预案统计展示、预案内容检索等功能。实现了按照预案级别、类别（总体、专项、部门、中央企业等）、类型（城市内涝、管网漏水等）、编制单位等，对预案进行维护管理。</w:t>
      </w:r>
    </w:p>
    <w:p w14:paraId="16FF70B6">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1.1.3.3.4.1.3.3 </w:t>
      </w:r>
      <w:r>
        <w:rPr>
          <w:rFonts w:hint="eastAsia" w:ascii="宋体" w:hAnsi="宋体" w:eastAsia="宋体" w:cs="宋体"/>
          <w:color w:val="auto"/>
          <w:sz w:val="24"/>
          <w:szCs w:val="24"/>
          <w:highlight w:val="none"/>
        </w:rPr>
        <w:t>预案审核</w:t>
      </w:r>
    </w:p>
    <w:p w14:paraId="68F60F6E">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预案审核包括预案审核管理、预案审核人员管理、预案审核流程管理、预案审核结果统计和审核智能提醒等功能，为预案线上审核工作提供信息化的支撑。</w:t>
      </w:r>
    </w:p>
    <w:p w14:paraId="3A8D233A">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1.1.3.3.4.1.3.4 </w:t>
      </w:r>
      <w:r>
        <w:rPr>
          <w:rFonts w:hint="eastAsia" w:ascii="宋体" w:hAnsi="宋体" w:eastAsia="宋体" w:cs="宋体"/>
          <w:color w:val="auto"/>
          <w:sz w:val="24"/>
          <w:szCs w:val="24"/>
          <w:highlight w:val="none"/>
        </w:rPr>
        <w:t>预案备案</w:t>
      </w:r>
    </w:p>
    <w:p w14:paraId="39B5AF8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预案备案包括预案备案管理、预案备案单位管理、预案备案进度跟踪、预案修订周期管理和备案智能提醒等功能，为预案线上备案工作提供信息化的支撑。</w:t>
      </w:r>
    </w:p>
    <w:p w14:paraId="673665DF">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1.1.3.3.4.1.3.5 </w:t>
      </w:r>
      <w:r>
        <w:rPr>
          <w:rFonts w:hint="eastAsia" w:ascii="宋体" w:hAnsi="宋体" w:eastAsia="宋体" w:cs="宋体"/>
          <w:color w:val="auto"/>
          <w:sz w:val="24"/>
          <w:szCs w:val="24"/>
          <w:highlight w:val="none"/>
        </w:rPr>
        <w:t>预案共享</w:t>
      </w:r>
    </w:p>
    <w:p w14:paraId="159C21A4">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预案交流共享通过开放访问权限的方式，为各个行业部门提供预案材料以供参考和学习。同时，用户可对共享的预案材料进行意见反馈，提出建议或需求。</w:t>
      </w:r>
    </w:p>
    <w:p w14:paraId="11D46342">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1.1.3.3.4.1.3.6 </w:t>
      </w:r>
      <w:r>
        <w:rPr>
          <w:rFonts w:hint="eastAsia" w:ascii="宋体" w:hAnsi="宋体" w:eastAsia="宋体" w:cs="宋体"/>
          <w:color w:val="auto"/>
          <w:sz w:val="24"/>
          <w:szCs w:val="24"/>
          <w:highlight w:val="none"/>
        </w:rPr>
        <w:t>预案结构化</w:t>
      </w:r>
    </w:p>
    <w:p w14:paraId="00CE3F9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主要完成预案结构化，包括预案的结构化要素以及预案与其涉及的指标体系、专家信息、救援力量、应急响应、应急保障、信息发布、恢复重建等信息的关联。提供数字预案的查询检索、浏览和输出等功能。</w:t>
      </w:r>
    </w:p>
    <w:p w14:paraId="6BFCB18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结构化后的数字预案与文本预案相比，内容更加丰富，便于计算机的自动化处理，大大扩展了预案的应用能力。</w:t>
      </w:r>
    </w:p>
    <w:p w14:paraId="1EB6E598">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1.1.3.3.4.1.4 </w:t>
      </w:r>
      <w:r>
        <w:rPr>
          <w:rStyle w:val="17"/>
          <w:rFonts w:hint="eastAsia" w:ascii="宋体" w:hAnsi="宋体" w:eastAsia="宋体" w:cs="宋体"/>
          <w:color w:val="auto"/>
          <w:sz w:val="28"/>
          <w:szCs w:val="28"/>
          <w:highlight w:val="none"/>
        </w:rPr>
        <w:t>预防演练</w:t>
      </w:r>
    </w:p>
    <w:p w14:paraId="4969E97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的作用，主要是强化指挥人员和参与人员有针对性的培训，明确各自职责，熟悉城市突发事件应对流程、学习装备的使用方法等等。预防演练可以检验应急预案的实用性、有效性，发现问题，修正错误，为预防预案的修改完善提供可靠的依据，同时，通过预防演练可以从总体上评估预防准备工作，总结经验，提高预防处置体系的反应能力，以及指挥系统的协调作战能力。</w:t>
      </w:r>
    </w:p>
    <w:p w14:paraId="4762CE3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要做好预防演练，首先要提高认识，充分认识做好预防训练演练的必要性，真训真学真练。明确责任，做好应急演练方案的策划、编制和执行工作，积极为演练成功落实必要的物资和经费保障，做好演练评估、分析、总结，并不断对演练方案及应急预案进行修订改进。</w:t>
      </w:r>
    </w:p>
    <w:p w14:paraId="592AED8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预防演练系统主要包括演练计划管理、演练场景构建、演练总结评估、演练统计分析、演练材料管理、演练共享交流等功能。</w:t>
      </w:r>
    </w:p>
    <w:p w14:paraId="313220D2">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1.1.3.3.4.1.4.1 </w:t>
      </w:r>
      <w:r>
        <w:rPr>
          <w:rFonts w:hint="eastAsia" w:ascii="宋体" w:hAnsi="宋体" w:eastAsia="宋体" w:cs="宋体"/>
          <w:color w:val="auto"/>
          <w:sz w:val="24"/>
          <w:szCs w:val="24"/>
          <w:highlight w:val="none"/>
        </w:rPr>
        <w:t>演练计划管理</w:t>
      </w:r>
    </w:p>
    <w:p w14:paraId="3FE407C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计划阶段需要进行演练的需求分析，明确演练的目标和任务，制定演练计划，确定演练参演人员队伍、演练工作经费以及其他需要决定的重要事项，并审核演练工作方案、编制演练脚本。系统支持演练计划和演练脚本的维护、审核以及演练计划发布等相关管理功能。</w:t>
      </w:r>
    </w:p>
    <w:p w14:paraId="20EF1882">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1.1.3.3.4.1.4.2 </w:t>
      </w:r>
      <w:r>
        <w:rPr>
          <w:rFonts w:hint="eastAsia" w:ascii="宋体" w:hAnsi="宋体" w:eastAsia="宋体" w:cs="宋体"/>
          <w:color w:val="auto"/>
          <w:sz w:val="24"/>
          <w:szCs w:val="24"/>
          <w:highlight w:val="none"/>
        </w:rPr>
        <w:t>模拟演练场景</w:t>
      </w:r>
    </w:p>
    <w:p w14:paraId="1D970AC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可依托“城市管理一张图”功能，结合预防预案系统，在线构建模拟演练场景，支持根据多种城市突发事件类型构建涉及多队伍，跨区域的在线演练场景，能够检验预防预案的操作性、科学性和队伍的应急响应能力。同时系统可根据队伍在演练中的实际表现进行评分，综合考评队伍培训演练的实际效果。</w:t>
      </w:r>
    </w:p>
    <w:p w14:paraId="7949FCD1">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1.1.3.3.4.1.4.3 </w:t>
      </w:r>
      <w:r>
        <w:rPr>
          <w:rFonts w:hint="eastAsia" w:ascii="宋体" w:hAnsi="宋体" w:eastAsia="宋体" w:cs="宋体"/>
          <w:color w:val="auto"/>
          <w:sz w:val="24"/>
          <w:szCs w:val="24"/>
          <w:highlight w:val="none"/>
        </w:rPr>
        <w:t>协同会商演练</w:t>
      </w:r>
    </w:p>
    <w:p w14:paraId="2604F2B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会商包括定期会商、应急会商和重大情况会商，以事件以驱动，以预案为主线，建设本项目协同会商功能，包括防汛会商、防风会商、防旱会商。</w:t>
      </w:r>
    </w:p>
    <w:p w14:paraId="5796AB9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灾害事件的处理流程包括：事件发生、监视预报、协同会商、协同指挥、抢险救灾、灾后重建、统计上报等步骤。</w:t>
      </w:r>
    </w:p>
    <w:p w14:paraId="2134B901">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1.1.3.3.4.1.4.4 </w:t>
      </w:r>
      <w:r>
        <w:rPr>
          <w:rFonts w:hint="eastAsia" w:ascii="宋体" w:hAnsi="宋体" w:eastAsia="宋体" w:cs="宋体"/>
          <w:color w:val="auto"/>
          <w:sz w:val="24"/>
          <w:szCs w:val="24"/>
          <w:highlight w:val="none"/>
        </w:rPr>
        <w:t>演练总结评估</w:t>
      </w:r>
    </w:p>
    <w:p w14:paraId="2EFBACE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参演队伍及人员的表现、演练中暴露的问题、解决问题的办法进行总结，内容包括：演练目的、时间和地点、参演单位和人员、演练方案概要、演练的执行情况、预案的合理性与可操作性、应急力量的响应时间、参演人员的处置能力、演练目标的实现情况、发现的问题与原因、经验和教训以及改进建议等。</w:t>
      </w:r>
    </w:p>
    <w:p w14:paraId="7F08182F">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1.1.3.3.4.1.4.5 </w:t>
      </w:r>
      <w:r>
        <w:rPr>
          <w:rFonts w:hint="eastAsia" w:ascii="宋体" w:hAnsi="宋体" w:eastAsia="宋体" w:cs="宋体"/>
          <w:color w:val="auto"/>
          <w:sz w:val="24"/>
          <w:szCs w:val="24"/>
          <w:highlight w:val="none"/>
        </w:rPr>
        <w:t>演练统计分析</w:t>
      </w:r>
    </w:p>
    <w:p w14:paraId="108D7C2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按照演练类型、参演单位、演练次数、行政区划等方式对演练进行统计分析，以柱状图、饼状图、统计表等形式展现统计结果，支持对统计结果的导出。通过对预防演练进行统计分析，能够反映出哪些单位或哪种预防演练存在欠缺和不足，需要加强，为预防演练工作优化提升提供数据依据。</w:t>
      </w:r>
    </w:p>
    <w:p w14:paraId="723A17D1">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1.1.3.3.4.1.4.6 </w:t>
      </w:r>
      <w:r>
        <w:rPr>
          <w:rFonts w:hint="eastAsia" w:ascii="宋体" w:hAnsi="宋体" w:eastAsia="宋体" w:cs="宋体"/>
          <w:color w:val="auto"/>
          <w:sz w:val="24"/>
          <w:szCs w:val="24"/>
          <w:highlight w:val="none"/>
        </w:rPr>
        <w:t>演练材料管理</w:t>
      </w:r>
    </w:p>
    <w:p w14:paraId="0B52E84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演练材料管理对演练计划、演练脚本、演练总结报告等文字资料以及记录演练实施过程中的相关图片、视频、音频等资料进行分类管理，并支持通过关键字、演练主题、参演单位、演练时间等条件进行检索查询。</w:t>
      </w:r>
    </w:p>
    <w:p w14:paraId="2FF40094">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1.1.3.3.4.1.4.7 </w:t>
      </w:r>
      <w:r>
        <w:rPr>
          <w:rFonts w:hint="eastAsia" w:ascii="宋体" w:hAnsi="宋体" w:eastAsia="宋体" w:cs="宋体"/>
          <w:color w:val="auto"/>
          <w:sz w:val="24"/>
          <w:szCs w:val="24"/>
          <w:highlight w:val="none"/>
        </w:rPr>
        <w:t>演练交流共享</w:t>
      </w:r>
    </w:p>
    <w:p w14:paraId="27F6008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演练交流共享通过开放访问权限的方式，为各级应急管理部门以及相关企业提供演练材料以供参考和学习。同时，用户可对共享的演练材料进行意见反馈，提出建议或需求，旨在提高预防演练效果，防止演练流于形式。</w:t>
      </w:r>
    </w:p>
    <w:p w14:paraId="69C59F2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1.1.3.3.4.2 </w:t>
      </w:r>
      <w:r>
        <w:rPr>
          <w:rFonts w:hint="eastAsia" w:ascii="宋体" w:hAnsi="宋体" w:eastAsia="宋体" w:cs="宋体"/>
          <w:color w:val="auto"/>
          <w:sz w:val="28"/>
          <w:szCs w:val="28"/>
          <w:highlight w:val="none"/>
        </w:rPr>
        <w:t>风险评估</w:t>
      </w:r>
    </w:p>
    <w:p w14:paraId="1907CCA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城市管理突发事件的风险评估是城市管理应急处置工作的重要内容。通过科学的监测手段获得的详实数据，经过风险评估系统的加工与处理，为决策者提供辅助决策依据。</w:t>
      </w:r>
    </w:p>
    <w:p w14:paraId="56DD7ED2">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本系统提供包括监控目标管理、信息查询、风险研判分析、风险评估模型、风险报告管理等功能。</w:t>
      </w:r>
    </w:p>
    <w:p w14:paraId="0AB1B48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1.1.3.3.4.2.1 </w:t>
      </w:r>
      <w:r>
        <w:rPr>
          <w:rStyle w:val="17"/>
          <w:rFonts w:hint="eastAsia" w:ascii="宋体" w:hAnsi="宋体" w:eastAsia="宋体" w:cs="宋体"/>
          <w:color w:val="auto"/>
          <w:sz w:val="28"/>
          <w:szCs w:val="28"/>
          <w:highlight w:val="none"/>
        </w:rPr>
        <w:t>监控目标管理</w:t>
      </w:r>
    </w:p>
    <w:p w14:paraId="4D892312">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1.1.3.3.4.2.1.1 </w:t>
      </w:r>
      <w:r>
        <w:rPr>
          <w:rFonts w:hint="eastAsia" w:ascii="宋体" w:hAnsi="宋体" w:eastAsia="宋体" w:cs="宋体"/>
          <w:color w:val="auto"/>
          <w:sz w:val="24"/>
          <w:szCs w:val="24"/>
          <w:highlight w:val="none"/>
        </w:rPr>
        <w:t>防护目标管理</w:t>
      </w:r>
    </w:p>
    <w:p w14:paraId="134BA2E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依据城市综合管理信息资源分类编码标准，按分级分类的原则将重点防护目标等信息进行集中管理，平台提供重点防护目标信息的检索、查看、定位等功能。</w:t>
      </w:r>
    </w:p>
    <w:p w14:paraId="70206E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（1）重点防护目标信息管理</w:t>
      </w:r>
    </w:p>
    <w:p w14:paraId="5943156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提供重点防护目标的信息管理功能。重点防护目标的信息包括属性信息和地理位置信息、扩展信息等部分。</w:t>
      </w:r>
    </w:p>
    <w:p w14:paraId="51FBCA9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属性信息主要指名称、类型、所属行政区划、所属单位、详细地址、等级、负责人、联系方式等基本信息；</w:t>
      </w:r>
    </w:p>
    <w:p w14:paraId="287EFA4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地理位置信息主要指重点防护目标所在地的具体经、纬度，一般以地理信息图层形式存储。</w:t>
      </w:r>
    </w:p>
    <w:p w14:paraId="0DFAC37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重点防护目标扩展信息指不同类型的重点防护目标特有的信息。</w:t>
      </w:r>
    </w:p>
    <w:p w14:paraId="3DBFA51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（2）重点防护目标查询</w:t>
      </w:r>
    </w:p>
    <w:p w14:paraId="7C73545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对重点防护目标查询的功能。重点防护目标查询通过重点防护目标属性信息查询和地理信息查询两种方式实现。属性信息查询：通过重点防护目标名称、类型、所属部门、所属行政区划进行复合查询；地理信息查询：在二维、三维地图上，通过缓冲区查询特定范围内的重点防护目标，并进行查看。</w:t>
      </w:r>
    </w:p>
    <w:p w14:paraId="77F602E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（3）重点防护目标地图定位</w:t>
      </w:r>
    </w:p>
    <w:p w14:paraId="6911F65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针对特定重点防护目标，可迅速进行精确定位。</w:t>
      </w:r>
    </w:p>
    <w:p w14:paraId="53D4390B">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1.1.3.3.4.2.1.2 </w:t>
      </w:r>
      <w:r>
        <w:rPr>
          <w:rFonts w:hint="eastAsia" w:ascii="宋体" w:hAnsi="宋体" w:eastAsia="宋体" w:cs="宋体"/>
          <w:color w:val="auto"/>
          <w:sz w:val="24"/>
          <w:szCs w:val="24"/>
          <w:highlight w:val="none"/>
        </w:rPr>
        <w:t>危险源管理</w:t>
      </w:r>
    </w:p>
    <w:p w14:paraId="488F959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对涉及城市安全危险源（含风险隐患）进行管理。主要包括重大灾害风险区、运输危险源（石油、危化品等）、生产安全危险源、社会安全隐患等。</w:t>
      </w:r>
    </w:p>
    <w:p w14:paraId="403A7C6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危险源信息的更新和维护均由重大危险源主管部门定期进行；各单位之间重大危险源信息的共享由系统统一进行资源授权。</w:t>
      </w:r>
    </w:p>
    <w:p w14:paraId="4838503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（1）重大危险源信息管理</w:t>
      </w:r>
    </w:p>
    <w:p w14:paraId="4D2EC2C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提供重大危险源的信息管理功能。重大危险源的信息包括属性信息和地理位置信息、扩展信息等部分。</w:t>
      </w:r>
    </w:p>
    <w:p w14:paraId="6FFDE7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属性信息主要指名称、类型、所属行政区划、所属单位、详细地址、等级、负责人、联系方式等基本信息；</w:t>
      </w:r>
    </w:p>
    <w:p w14:paraId="0E3996B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地理位置信息主要指重大危险源所在地的具体经、纬度，一般以地理图层形式存储。</w:t>
      </w:r>
    </w:p>
    <w:p w14:paraId="1687A5E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重大危险源扩展信息指不同类型的重大危险源特有的信息。</w:t>
      </w:r>
    </w:p>
    <w:p w14:paraId="4A580E6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（2）重大危险源查询</w:t>
      </w:r>
    </w:p>
    <w:p w14:paraId="7115956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对重大危险源查询的功能。重大危险源查询通过重大危险源属性信息查询和地理信息查询两种方式实现。属性信息查询：通过重大危险源名称、类型、所属部门、所属行政区划进行复合查询；地理信息查询：在二维、三维地图上，通过缓冲区查询特定范围内的重大危险源，并进行查看。</w:t>
      </w:r>
    </w:p>
    <w:p w14:paraId="252587D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（3）重大危险源地图定位</w:t>
      </w:r>
    </w:p>
    <w:p w14:paraId="55F3F26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针对特定重大危险源，可迅速进行精确定位。</w:t>
      </w:r>
    </w:p>
    <w:p w14:paraId="0485A6B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1.1.3.3.4.2.2 </w:t>
      </w:r>
      <w:r>
        <w:rPr>
          <w:rStyle w:val="17"/>
          <w:rFonts w:hint="eastAsia" w:ascii="宋体" w:hAnsi="宋体" w:eastAsia="宋体" w:cs="宋体"/>
          <w:color w:val="auto"/>
          <w:sz w:val="28"/>
          <w:szCs w:val="28"/>
          <w:highlight w:val="none"/>
        </w:rPr>
        <w:t>风险信息查询</w:t>
      </w:r>
    </w:p>
    <w:p w14:paraId="12A2CD6C">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1.1.3.3.4.2.2.1 </w:t>
      </w:r>
      <w:r>
        <w:rPr>
          <w:rFonts w:hint="eastAsia" w:ascii="宋体" w:hAnsi="宋体" w:eastAsia="宋体" w:cs="宋体"/>
          <w:color w:val="auto"/>
          <w:sz w:val="24"/>
          <w:szCs w:val="24"/>
          <w:highlight w:val="none"/>
        </w:rPr>
        <w:t>风险区划查询</w:t>
      </w:r>
    </w:p>
    <w:p w14:paraId="71D2B31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实现现有的风险区划成果数字化处理，实现本地各类城市突发事件风险区划信息化展示，接入气象、应急、水利等部门数据信息，实现GIS动态跟踪及预警提示。</w:t>
      </w:r>
    </w:p>
    <w:p w14:paraId="3DF8469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不同需求背景下的风险空间分布情况，并针对每类风险给出防御措施与针对性的建议，规避隐患风险。城市内涝风险评估：在GIS地图上标注易积涝区（点），直观展示当前最新积涝分布图，以热力图形式展现主干道积水范围与积水深度，达到阈值时进行报警提醒。</w:t>
      </w:r>
    </w:p>
    <w:p w14:paraId="6C75754F">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1.1.3.3.4.2.2.2 </w:t>
      </w:r>
      <w:r>
        <w:rPr>
          <w:rFonts w:hint="eastAsia" w:ascii="宋体" w:hAnsi="宋体" w:eastAsia="宋体" w:cs="宋体"/>
          <w:color w:val="auto"/>
          <w:sz w:val="24"/>
          <w:szCs w:val="24"/>
          <w:highlight w:val="none"/>
        </w:rPr>
        <w:t>避灾点查询</w:t>
      </w:r>
    </w:p>
    <w:p w14:paraId="428FC9E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利用关键字、周边搜索、方搜、圆搜等多种查询、搜索和空间分析方式对避灾点进行查询和空间定位，可查看避灾点的面积、容纳人数以及配套的应急救助设施、储备应急物资等。</w:t>
      </w:r>
    </w:p>
    <w:p w14:paraId="754C90E2">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1.1.3.3.4.2.2.3 </w:t>
      </w:r>
      <w:r>
        <w:rPr>
          <w:rFonts w:hint="eastAsia" w:ascii="宋体" w:hAnsi="宋体" w:eastAsia="宋体" w:cs="宋体"/>
          <w:color w:val="auto"/>
          <w:sz w:val="24"/>
          <w:szCs w:val="24"/>
          <w:highlight w:val="none"/>
        </w:rPr>
        <w:t>撤离路线分析</w:t>
      </w:r>
    </w:p>
    <w:p w14:paraId="1F2E69B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撤离路线分析功能，即在灾害的应急状态下，可通过该分析功能得到最佳撤离路线。将分析的结果标绘在地图上，并配以路线行走的文字描述，如，哪里转弯、沿某条路行走多长距离。若灾害比较严重，发生道路淹没、阻断等情况，系统提供相应的设置功能，则系统根据堵塞情况自动更新撤离路线。该功能的后台路径数据库基于导航路径，数据精度、时效性有保障。</w:t>
      </w:r>
    </w:p>
    <w:p w14:paraId="40BDE325">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1.1.3.3.4.2.3 </w:t>
      </w:r>
      <w:r>
        <w:rPr>
          <w:rStyle w:val="17"/>
          <w:rFonts w:hint="eastAsia" w:ascii="宋体" w:hAnsi="宋体" w:eastAsia="宋体" w:cs="宋体"/>
          <w:color w:val="auto"/>
          <w:sz w:val="28"/>
          <w:szCs w:val="28"/>
          <w:highlight w:val="none"/>
        </w:rPr>
        <w:t>风险研判分析</w:t>
      </w:r>
    </w:p>
    <w:p w14:paraId="24254B2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建立集收集、直报、汇总、分析等功能的风险研判分析，实现城市突发事件风险的视频、图片以及文字收集。</w:t>
      </w:r>
    </w:p>
    <w:p w14:paraId="2DB5AFC9">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1.1.3.3.4.2.3.1 </w:t>
      </w:r>
      <w:r>
        <w:rPr>
          <w:rFonts w:hint="eastAsia" w:ascii="宋体" w:hAnsi="宋体" w:eastAsia="宋体" w:cs="宋体"/>
          <w:color w:val="auto"/>
          <w:sz w:val="24"/>
          <w:szCs w:val="24"/>
          <w:highlight w:val="none"/>
        </w:rPr>
        <w:t>风险信息录入</w:t>
      </w:r>
    </w:p>
    <w:p w14:paraId="27AAC83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系统提供后台风险信息录入功能，包括易发区信息、事故隐患点信息、危险源风险信息等内容。可支持对录入的风险信息进行编辑、删除等操作。</w:t>
      </w:r>
    </w:p>
    <w:p w14:paraId="665021BE">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1.1.3.3.4.2.3.2 </w:t>
      </w:r>
      <w:r>
        <w:rPr>
          <w:rFonts w:hint="eastAsia" w:ascii="宋体" w:hAnsi="宋体" w:eastAsia="宋体" w:cs="宋体"/>
          <w:color w:val="auto"/>
          <w:sz w:val="24"/>
          <w:szCs w:val="24"/>
          <w:highlight w:val="none"/>
        </w:rPr>
        <w:t>风险态势标绘</w:t>
      </w:r>
    </w:p>
    <w:p w14:paraId="36E4820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调用通用地理信息相关软件标绘工具，对风险分析结果进行可视化展示，通过二维或三维符号化功能，动态数据展现等技术，直观生动地表达风险分析结果。</w:t>
      </w:r>
    </w:p>
    <w:p w14:paraId="7C121D90">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1.1.3.3.4.2.3.3 </w:t>
      </w:r>
      <w:r>
        <w:rPr>
          <w:rFonts w:hint="eastAsia" w:ascii="宋体" w:hAnsi="宋体" w:eastAsia="宋体" w:cs="宋体"/>
          <w:color w:val="auto"/>
          <w:sz w:val="24"/>
          <w:szCs w:val="24"/>
          <w:highlight w:val="none"/>
        </w:rPr>
        <w:t>风险研判</w:t>
      </w:r>
    </w:p>
    <w:p w14:paraId="764F564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为各级授权用户共享基于行政地图、卫星影像、地形图等多种形式，对地理信息、灾害易发区信息、灾害隐患点信息、危险源风险信息、基础设施信息、社会经济基础信息以及共享的监测信息、预报预警信息数据的叠加显示和查询功能。</w:t>
      </w:r>
    </w:p>
    <w:p w14:paraId="4908530C">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1.1.3.3.4.2.3.4 </w:t>
      </w:r>
      <w:r>
        <w:rPr>
          <w:rFonts w:hint="eastAsia" w:ascii="宋体" w:hAnsi="宋体" w:eastAsia="宋体" w:cs="宋体"/>
          <w:color w:val="auto"/>
          <w:sz w:val="24"/>
          <w:szCs w:val="24"/>
          <w:highlight w:val="none"/>
        </w:rPr>
        <w:t>风险分析统计</w:t>
      </w:r>
    </w:p>
    <w:p w14:paraId="2BDE0F9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为各市县级授权用户提供突发公共事件风险落区内共享信息的查询统计及汇总分析功能，实现根据用户筛选数据种类包括风险类型、风险等级、发布区域、信息来源等进行查询、统计汇总以及生成查询统计报表并提供导出、打印功能。</w:t>
      </w:r>
    </w:p>
    <w:p w14:paraId="50A2A05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1.1.3.3.4.2.4 </w:t>
      </w:r>
      <w:r>
        <w:rPr>
          <w:rStyle w:val="17"/>
          <w:rFonts w:hint="eastAsia" w:ascii="宋体" w:hAnsi="宋体" w:eastAsia="宋体" w:cs="宋体"/>
          <w:color w:val="auto"/>
          <w:sz w:val="28"/>
          <w:szCs w:val="28"/>
          <w:highlight w:val="none"/>
        </w:rPr>
        <w:t>风险评估模型</w:t>
      </w:r>
    </w:p>
    <w:p w14:paraId="32BFD9B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城市突发事件风险隐患评估模型，从城市突发事件危险性和脆弱性两个维度构建城市突发事件风险评估指标体系。实现对高风险区域、高风险隐患点原生风险可能造成的次生衍生风险及其造成影响的分析。测算发生次生衍生风险，造成的影响范围、持续事件、未来发展态势等信息。针对城市突发事件高风险隐患点周边情况可进行快速分析，依托系统内置模型，运用次生衍生事件链技术，依据多灾种和高风险点周边及高风险区域内的基础资源、突发事件次生多因素的耦合规律、承载体的脆弱性，分析事故灾害可能引发的次生衍生灾害。并制作成次生衍生事件风险服务信息，为相关部门应对城市突发事件风险防御提供信息支撑服务。</w:t>
      </w:r>
    </w:p>
    <w:p w14:paraId="054B560F">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1.1.3.3.4.2.4.1 </w:t>
      </w:r>
      <w:r>
        <w:rPr>
          <w:rFonts w:hint="eastAsia" w:ascii="宋体" w:hAnsi="宋体" w:eastAsia="宋体" w:cs="宋体"/>
          <w:color w:val="auto"/>
          <w:sz w:val="24"/>
          <w:szCs w:val="24"/>
          <w:highlight w:val="none"/>
        </w:rPr>
        <w:t>突发事件风险评估指标</w:t>
      </w:r>
    </w:p>
    <w:p w14:paraId="3292A51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城市各类突发事件的历史资料和现有的相关数据为依据，运用科学预测和统计分析等技术和方法，对城市各类突发事件发生的可能性和突发事件发生后承灾体可能遭受的损失进行的科学估算。为有效的预防和积极的应对突发事件提供辅助参考。城市突发事件风险评估由城市突发事件危险性评估和承灾体脆弱性评估两部分构成，因此，评估指标体系也围绕这两部分进行构建。</w:t>
      </w:r>
    </w:p>
    <w:p w14:paraId="627F6D7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（1）危险性评估指标</w:t>
      </w:r>
    </w:p>
    <w:p w14:paraId="324C2C4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突发事件危险性指的是一个地区因其特殊的自然环境、人文环境以及以往突发事件发生状况所决定的各种突发事件发生的可能性。自然灾害类突发事件的发生可能性由孕灾环境稳定性和突发事件历史灾情两部分构成，而其他三类突发事件的发生可能性主要由突发事件历史灾情决定</w:t>
      </w:r>
    </w:p>
    <w:p w14:paraId="11E70E8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孕灾环境稳定性评估指标包括地形、地貌、水文、气候、植被、土壤、动植物等内容。</w:t>
      </w:r>
    </w:p>
    <w:p w14:paraId="4D468B0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突发事件历史灾情是指各类突发事件的历史发生状况。包括事件强度和发生频次。</w:t>
      </w:r>
    </w:p>
    <w:p w14:paraId="614E544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（2）承灾体脆弱性评估指标</w:t>
      </w:r>
    </w:p>
    <w:p w14:paraId="1B1EC72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包括承灾体物理暴露性和承灾体区域防抗突发事件风险的基础应灾能力两方面设计承灾体的脆弱性评估指标体系。</w:t>
      </w:r>
    </w:p>
    <w:p w14:paraId="19C9A9B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承灾体物理暴露性评估指标包括人口密度、经济密度、建筑密度、矿藏种类、森林覆盖率、人均供应煤气总量、人均供水总量和人均城市道路面积等。</w:t>
      </w:r>
    </w:p>
    <w:p w14:paraId="079137F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承灾体区域基础应灾能力评估指标包括人力资源、财力资源、物资基础。</w:t>
      </w:r>
    </w:p>
    <w:p w14:paraId="37C45A9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其中人力资源具体指的是人口年龄指数、各类专业技术人员数、每千人医生数；财力资源具体指的是人均可支配收入；物资基础具体指的是城市区域内应急抢险能力或灾害信息预警发布能力，包括每千人病床数、每百户居民移动电话数、警力密度。</w:t>
      </w:r>
    </w:p>
    <w:p w14:paraId="0635CC65">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1.1.3.3.4.2.4.2 </w:t>
      </w:r>
      <w:r>
        <w:rPr>
          <w:rFonts w:hint="eastAsia" w:ascii="宋体" w:hAnsi="宋体" w:eastAsia="宋体" w:cs="宋体"/>
          <w:color w:val="auto"/>
          <w:sz w:val="24"/>
          <w:szCs w:val="24"/>
          <w:highlight w:val="none"/>
        </w:rPr>
        <w:t>评估指标管理</w:t>
      </w:r>
    </w:p>
    <w:p w14:paraId="4CEE8F90">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（1）指标修改</w:t>
      </w:r>
    </w:p>
    <w:p w14:paraId="6E64C876">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可以对导入到系统中的评估指标，按照条件查询出，然后进行相应的指标修改，并保存回系统中。</w:t>
      </w:r>
    </w:p>
    <w:p w14:paraId="649E703B">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（2）指标删除</w:t>
      </w:r>
    </w:p>
    <w:p w14:paraId="558B424B">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可以对导入到系统中的评估指标，按照条件查询出，然后进行相应的指标删除操作。</w:t>
      </w:r>
    </w:p>
    <w:p w14:paraId="5304332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（3）指标恢复</w:t>
      </w:r>
    </w:p>
    <w:p w14:paraId="313E5EC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可以对删除的指标进行回收，以便于日后恢复。</w:t>
      </w:r>
    </w:p>
    <w:p w14:paraId="6405182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（4）指标导出</w:t>
      </w:r>
    </w:p>
    <w:p w14:paraId="05C4833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可以对导入到系统中的指标，按照条件查询出，然后进行相应的指标导出操作。</w:t>
      </w:r>
    </w:p>
    <w:p w14:paraId="5FFBAC8E">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1.1.3.3.4.2.4.3 </w:t>
      </w:r>
      <w:r>
        <w:rPr>
          <w:rFonts w:hint="eastAsia" w:ascii="宋体" w:hAnsi="宋体" w:eastAsia="宋体" w:cs="宋体"/>
          <w:color w:val="auto"/>
          <w:sz w:val="24"/>
          <w:szCs w:val="24"/>
          <w:highlight w:val="none"/>
        </w:rPr>
        <w:t>评估公式管理</w:t>
      </w:r>
    </w:p>
    <w:p w14:paraId="632C570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通过公式编辑器实现对公式新建、删除、查询、修改的灵活编辑。公式包括基础算术公式、高级运算公式、逻辑运算公式以及对这些公式的多重组合。</w:t>
      </w:r>
    </w:p>
    <w:p w14:paraId="09EACE70">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1.1.3.3.4.2.4.4 </w:t>
      </w:r>
      <w:r>
        <w:rPr>
          <w:rFonts w:hint="eastAsia" w:ascii="宋体" w:hAnsi="宋体" w:eastAsia="宋体" w:cs="宋体"/>
          <w:color w:val="auto"/>
          <w:sz w:val="24"/>
          <w:szCs w:val="24"/>
          <w:highlight w:val="none"/>
        </w:rPr>
        <w:t>评估方法管理</w:t>
      </w:r>
    </w:p>
    <w:p w14:paraId="682C371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通过评估方法定制界面实现评价方法的灵活定制，包括评价方法的新建、删除、查询、修改。</w:t>
      </w:r>
    </w:p>
    <w:p w14:paraId="18E4CEE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1.1.3.3.4.2.5 </w:t>
      </w:r>
      <w:r>
        <w:rPr>
          <w:rStyle w:val="17"/>
          <w:rFonts w:hint="eastAsia" w:ascii="宋体" w:hAnsi="宋体" w:eastAsia="宋体" w:cs="宋体"/>
          <w:color w:val="auto"/>
          <w:sz w:val="28"/>
          <w:szCs w:val="28"/>
          <w:highlight w:val="none"/>
        </w:rPr>
        <w:t>风险报告管理</w:t>
      </w:r>
    </w:p>
    <w:p w14:paraId="3B46C84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风险报告管理包含局属单位上报的风险报告和风险隐患监测防控系统产生的风险报告，进行编辑和输出。</w:t>
      </w:r>
    </w:p>
    <w:p w14:paraId="7F63888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1.1.3.3.4.3 </w:t>
      </w:r>
      <w:r>
        <w:rPr>
          <w:rFonts w:hint="eastAsia" w:ascii="宋体" w:hAnsi="宋体" w:eastAsia="宋体" w:cs="宋体"/>
          <w:color w:val="auto"/>
          <w:sz w:val="28"/>
          <w:szCs w:val="28"/>
          <w:highlight w:val="none"/>
        </w:rPr>
        <w:t>指挥联动</w:t>
      </w:r>
    </w:p>
    <w:p w14:paraId="4ED7E75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现有e福州综合指挥平台的基础上拓展提升，完善横向联动“市政、园林、环卫、城管”等多部门、纵向贯穿“市、区县、街镇、社区、网格”五级的事件处置体系，完成城市管理事件的统一预防准备与指挥联动处置。</w:t>
      </w:r>
    </w:p>
    <w:p w14:paraId="6ED170DB">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系统主要实现指挥体系联动、资源调度联动、指挥处置联动、督查督办联动等方面的提升建设，切实推进共建共治共享的城市治理体系，提升城市突发事件部门联动反应能力，确保先期处置快速高效。</w:t>
      </w:r>
    </w:p>
    <w:p w14:paraId="0478EA1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1.1.3.3.4.3.1 </w:t>
      </w:r>
      <w:r>
        <w:rPr>
          <w:rStyle w:val="17"/>
          <w:rFonts w:hint="eastAsia" w:ascii="宋体" w:hAnsi="宋体" w:eastAsia="宋体" w:cs="宋体"/>
          <w:color w:val="auto"/>
          <w:sz w:val="28"/>
          <w:szCs w:val="28"/>
          <w:highlight w:val="none"/>
        </w:rPr>
        <w:t>指挥体系联动</w:t>
      </w:r>
    </w:p>
    <w:p w14:paraId="66003442">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现有e福州综合指挥平台基础上，升级建立指挥联动体系。全面整合社会各种服务资源，将公安交管、城乡建设、交通运输、自然资源、生态环境等众多政府管理部门全面纳入统一的城市应急指挥调度系统当中，为民众应急求助和应急管理提高服务，形成集公安、消防、交通、医疗卫生、公共事业等多个部门为一体的社会紧急救助保障系统。城市应急联动指挥体系的建立能够切实加强各政府职能部门之间的协调合作和协同作战，能够形成纵向指挥得当、横向相互配合的应急管理格局，能够对城市突发事件和紧急事态做出有序、快速高效的应对措施。</w:t>
      </w:r>
    </w:p>
    <w:p w14:paraId="04038CCA">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突发事件指挥联动需要规范指挥体系和指挥调度联动，形成横向沟通、上下一体的指挥关系，将尽可能多的救援与保障单元纳入同一个信息层次，缩短信息流程，实现信息共享，以满足救援实时决策、实时指挥、实时反馈的要求。建设现代化的突发事件指挥联动体系，有利于实现应急预案的科学性、应急物资的准确性、应急通信的便捷性、应急队伍的合理性、应急专家的全面性和应急信息的权威性。</w:t>
      </w:r>
    </w:p>
    <w:p w14:paraId="78FC4B71">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城市突发事件指挥联动体系包括组织体系管理、信息自动关联、信息快速检索、指挥保障体系和指挥管理体系。</w:t>
      </w:r>
    </w:p>
    <w:p w14:paraId="59FEADB9">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1.1.3.3.4.3.1.1 </w:t>
      </w:r>
      <w:r>
        <w:rPr>
          <w:rFonts w:hint="eastAsia" w:ascii="宋体" w:hAnsi="宋体" w:eastAsia="宋体" w:cs="宋体"/>
          <w:color w:val="auto"/>
          <w:sz w:val="24"/>
          <w:szCs w:val="24"/>
          <w:highlight w:val="none"/>
        </w:rPr>
        <w:t>组织体系管理</w:t>
      </w:r>
    </w:p>
    <w:p w14:paraId="047F6DC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联动单位要建立指挥联动组织体系，明确组织机构、指挥力量、救援力量、调度流程等信息。实现根据各级各类应急预案抽取应急处置及应急指挥的相关人员、所属机构、联系方式等信息。需明确指挥城市突发事件管理工作的领导机构，在领导的指挥下，由相关的行业部门指挥力量参与城市突发的事件的指挥联动工作。包括机构名称、机构人员、机构编码、机构职责等信息。</w:t>
      </w:r>
    </w:p>
    <w:p w14:paraId="6A9C6040">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1.1.3.3.4.3.1.2 </w:t>
      </w:r>
      <w:r>
        <w:rPr>
          <w:rFonts w:hint="eastAsia" w:ascii="宋体" w:hAnsi="宋体" w:eastAsia="宋体" w:cs="宋体"/>
          <w:color w:val="auto"/>
          <w:sz w:val="24"/>
          <w:szCs w:val="24"/>
          <w:highlight w:val="none"/>
        </w:rPr>
        <w:t>信息自动关联</w:t>
      </w:r>
    </w:p>
    <w:p w14:paraId="44ACF5B5">
      <w:pPr>
        <w:pStyle w:val="14"/>
        <w:keepNext w:val="0"/>
        <w:keepLines w:val="0"/>
        <w:widowControl/>
        <w:suppressLineNumbers w:val="0"/>
        <w:spacing w:before="240" w:beforeAutospacing="0" w:after="15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能依据预案和响应级别自动关联城市内涝、井盖缺失、树木倒伏等不同类型突发事件的所需应急处置专业人员及指挥人员信息。</w:t>
      </w:r>
    </w:p>
    <w:p w14:paraId="4EB158AC">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1.1.3.3.4.3.1.3 </w:t>
      </w:r>
      <w:r>
        <w:rPr>
          <w:rFonts w:hint="eastAsia" w:ascii="宋体" w:hAnsi="宋体" w:eastAsia="宋体" w:cs="宋体"/>
          <w:color w:val="auto"/>
          <w:sz w:val="24"/>
          <w:szCs w:val="24"/>
          <w:highlight w:val="none"/>
        </w:rPr>
        <w:t>信息快速检索</w:t>
      </w:r>
    </w:p>
    <w:p w14:paraId="18D74C97">
      <w:pPr>
        <w:pStyle w:val="14"/>
        <w:keepNext w:val="0"/>
        <w:keepLines w:val="0"/>
        <w:widowControl/>
        <w:suppressLineNumbers w:val="0"/>
        <w:spacing w:before="240" w:beforeAutospacing="0" w:after="15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能够实现按人员姓名、机构名称、事件类型、级别、事发地等检索条件进行查询。</w:t>
      </w:r>
    </w:p>
    <w:p w14:paraId="1CFFE73F">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1.1.3.3.4.3.1.4 </w:t>
      </w:r>
      <w:r>
        <w:rPr>
          <w:rFonts w:hint="eastAsia" w:ascii="宋体" w:hAnsi="宋体" w:eastAsia="宋体" w:cs="宋体"/>
          <w:color w:val="auto"/>
          <w:sz w:val="24"/>
          <w:szCs w:val="24"/>
          <w:highlight w:val="none"/>
        </w:rPr>
        <w:t>指挥保障体系</w:t>
      </w:r>
    </w:p>
    <w:p w14:paraId="30DA1527">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构建指挥体联动系专有通讯录。包含成员的职位信息、电话信息等信息。同时可实现息的添加、编辑、删除等操作，辅助全市指挥体系的快速构建。</w:t>
      </w:r>
    </w:p>
    <w:p w14:paraId="26D891FB">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1.1.3.3.4.3.1.5 </w:t>
      </w:r>
      <w:r>
        <w:rPr>
          <w:rFonts w:hint="eastAsia" w:ascii="宋体" w:hAnsi="宋体" w:eastAsia="宋体" w:cs="宋体"/>
          <w:color w:val="auto"/>
          <w:sz w:val="24"/>
          <w:szCs w:val="24"/>
          <w:highlight w:val="none"/>
        </w:rPr>
        <w:t>指挥管理体系</w:t>
      </w:r>
    </w:p>
    <w:p w14:paraId="73D211F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（1）系培训教育管理</w:t>
      </w:r>
    </w:p>
    <w:p w14:paraId="1830FFAB">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培训教育管理功能主要提供各行业部门进行应急法律法规和预防、避险等常识的培训，增强员工的忧患意识、社会责任意识和自救、互救能力。对应急救援和管理人员进行专业培训，提高其应急专业技能。包括培训计划、培训内容、培训记录、统计分析等功能。</w:t>
      </w:r>
    </w:p>
    <w:p w14:paraId="34769F0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（2）责任奖惩管理</w:t>
      </w:r>
    </w:p>
    <w:p w14:paraId="433CD69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责任与奖惩管理功能主要是对城市突发事件处置工作实行责任追究制。对城市突发事件管理工作中做出突出贡献的先进集体和个人要给予表彰和奖励，对迟报、谎报和瞒报突发事故重要情况或者应急管理工作中有其他失职、渎职行为而丧失应急的最佳机会造成人员伤亡或重大经济损失的，对有关责任人给予处罚或行政处分。包括责任奖惩制度、责任奖惩周期、责任奖惩综合查询、责任奖惩统计分析等功能。</w:t>
      </w:r>
    </w:p>
    <w:p w14:paraId="4D45ED5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1.1.3.3.4.3.2 </w:t>
      </w:r>
      <w:r>
        <w:rPr>
          <w:rStyle w:val="17"/>
          <w:rFonts w:hint="eastAsia" w:ascii="宋体" w:hAnsi="宋体" w:eastAsia="宋体" w:cs="宋体"/>
          <w:color w:val="auto"/>
          <w:sz w:val="28"/>
          <w:szCs w:val="28"/>
          <w:highlight w:val="none"/>
        </w:rPr>
        <w:t>资源调度联动</w:t>
      </w:r>
    </w:p>
    <w:p w14:paraId="27024DC7">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资源调度联动主要实现包括视频资源调度、应急力量调度、物资资源调度、交通运输调度、人员防护管理、医疗保障管理和通讯资源调度等内容。</w:t>
      </w:r>
    </w:p>
    <w:p w14:paraId="3DC745D8">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1.1.3.3.4.3.2.1 </w:t>
      </w:r>
      <w:r>
        <w:rPr>
          <w:rFonts w:hint="eastAsia" w:ascii="宋体" w:hAnsi="宋体" w:eastAsia="宋体" w:cs="宋体"/>
          <w:color w:val="auto"/>
          <w:sz w:val="24"/>
          <w:szCs w:val="24"/>
          <w:highlight w:val="none"/>
        </w:rPr>
        <w:t>视频资源调度</w:t>
      </w:r>
    </w:p>
    <w:p w14:paraId="79FDF05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视频资源调度主要实现对视频资源的调取、查看、云台控制等功能。在城市突发事件应急处置过程中，通过对视频资源的调度，为指挥中心的指挥决策的有效支撑。视频监控作为案件的内容来源，也是案件处置过程中指挥中心的眼睛，是可视化指挥的基础，贯穿整个案件处理过程。因此如何在指挥中用好视频监控，对提高案件处置效率和手段都是极大的帮助。</w:t>
      </w:r>
    </w:p>
    <w:p w14:paraId="5FF2C70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实际指挥中心业务中视频监控资源主是直击现场的重要手段，在多级会商决策或者指挥中，监控、视频会议从协议层融合，可以直接实现在会议中调用现场视频。共享到各级单位，实现协同指挥。指挥中心情况考虑多来源分析，在指挥中心独立构建智能分析平台，用于各种来源监控视频线索分析，辅助决策。</w:t>
      </w:r>
    </w:p>
    <w:p w14:paraId="37D53370">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1.1.3.3.4.3.2.2 </w:t>
      </w:r>
      <w:r>
        <w:rPr>
          <w:rFonts w:hint="eastAsia" w:ascii="宋体" w:hAnsi="宋体" w:eastAsia="宋体" w:cs="宋体"/>
          <w:color w:val="auto"/>
          <w:sz w:val="24"/>
          <w:szCs w:val="24"/>
          <w:highlight w:val="none"/>
        </w:rPr>
        <w:t>应急力量调度</w:t>
      </w:r>
    </w:p>
    <w:p w14:paraId="6C94BE7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完成对应急人力资源的基础信息维护，工作组织结构的维护，人员队伍模块化，人员分类管理、后备力量管理等多项功能。通过汇总各个部门的人力，对可调用人员能力和数量进行管理。依据组织结构，对城市管理突发事件中应急处置部门、协助处置部门、应急救援专业部门、保障部门等职责予以明确。同时对各个时段整体人力资源的工作、调休情况进行管理，确保突发事件发生时的人员调动需求和足够的后备人力补充，实现应急队伍保障。</w:t>
      </w:r>
    </w:p>
    <w:p w14:paraId="271BE19E">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将城市突发事件应对人力资源力量建设信息进行集中管理，提供人力资源力量建设信息的检索、查看、定位、导入、导出及审核等功能。主要包括人力资源力量数据登记、人力资源力量信息审核、人力资源力量分类管理、多维统计、空间分析等功能。建立联动协调机制，提高装备水平，动员全员有组织的参与应急救援工作。</w:t>
      </w:r>
    </w:p>
    <w:p w14:paraId="0E4F0F76">
      <w:pPr>
        <w:pStyle w:val="14"/>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  （1）人力资源力量登记</w:t>
      </w:r>
    </w:p>
    <w:p w14:paraId="23CF8C38">
      <w:pPr>
        <w:pStyle w:val="14"/>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依据指挥联动体系人力信息资源标准配置要求，可按照城市突发事件人力资源力量信息填报模版对市突发事件人力资源力量进行内容添加，并在地图上进行定位，支持EXCEL数据批量导入。</w:t>
      </w:r>
    </w:p>
    <w:p w14:paraId="03D04139">
      <w:pPr>
        <w:pStyle w:val="14"/>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  （2）人力资源力量备案</w:t>
      </w:r>
    </w:p>
    <w:p w14:paraId="613E2E8C">
      <w:pPr>
        <w:pStyle w:val="14"/>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可根据城市突发事件业务需求对下级政府和单位报送的人力资源力量信息进行备案。可批量审核做出通过与不通过的不同操作，并给予不通过原因批示。下级政府和有关部门可对审核不通过的人力资源力量数据进行修改，系统对更新操作提供提醒和二次审核功能。</w:t>
      </w:r>
    </w:p>
    <w:p w14:paraId="7D1A7B08">
      <w:pPr>
        <w:pStyle w:val="14"/>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  （3）人力资源力量综合查询</w:t>
      </w:r>
    </w:p>
    <w:p w14:paraId="6F8C3D5D">
      <w:pPr>
        <w:pStyle w:val="14"/>
        <w:keepNext w:val="0"/>
        <w:keepLines w:val="0"/>
        <w:widowControl/>
        <w:suppressLineNumbers w:val="0"/>
        <w:jc w:val="left"/>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以信息列表形式对地方及社会应急救援力量的不同分类、管辖单位等进行维护管理，支持数据批量更新；对地方及社会应急救援力量信息按名称、地址、更新时间进行过滤检索，并支持模糊查询。</w:t>
      </w:r>
    </w:p>
    <w:p w14:paraId="7DC8BED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  （4）人力资源力量统计分析</w:t>
      </w:r>
    </w:p>
    <w:p w14:paraId="6FDE048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按照人力资源力量类型、行政区划等方式对人力资源力量根据人力资源力量数量、人力资源力量人数等进行统计分析，以柱状图、饼状图、统计表等多种形式展现统计结果，支持对统计结果的导出。</w:t>
      </w:r>
    </w:p>
    <w:p w14:paraId="57F4C428">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1.1.3.3.4.3.2.3 </w:t>
      </w:r>
      <w:r>
        <w:rPr>
          <w:rFonts w:hint="eastAsia" w:ascii="宋体" w:hAnsi="宋体" w:eastAsia="宋体" w:cs="宋体"/>
          <w:color w:val="auto"/>
          <w:sz w:val="24"/>
          <w:szCs w:val="24"/>
          <w:highlight w:val="none"/>
        </w:rPr>
        <w:t>通讯资源调度</w:t>
      </w:r>
    </w:p>
    <w:p w14:paraId="182DA99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城市突发公共事件的有关通讯保障、通讯录等备案信息进行分类管理。实现多语音网络、多终端的语音、多视频系统的全联接，实现固定电话、移动电话、各种集群终端、智真会议等不同通信设备之间的互联互通，通过多种网络融合的语音通信，实现对城市突发事件应急处置的统一指挥调度和应急决策信息的快速传达。包括</w:t>
      </w:r>
      <w:r>
        <w:rPr>
          <w:rFonts w:hint="eastAsia" w:ascii="宋体" w:hAnsi="宋体" w:eastAsia="宋体" w:cs="宋体"/>
          <w:color w:val="auto"/>
          <w:spacing w:val="15"/>
          <w:sz w:val="24"/>
          <w:szCs w:val="24"/>
          <w:highlight w:val="none"/>
        </w:rPr>
        <w:t>通讯资源登记、通讯资源分类、通讯资源多维统计、通讯资源一张图等功能。</w:t>
      </w:r>
    </w:p>
    <w:p w14:paraId="60176A2B">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（1）通讯资源登记</w:t>
      </w:r>
    </w:p>
    <w:p w14:paraId="6985C9D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支持对接已有系统获取通讯保障数据和数据导入等方式获得通讯保障数据。并在地图上进行定位，支持EXCEL数据批量导入。</w:t>
      </w:r>
    </w:p>
    <w:p w14:paraId="69C79D73">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（2）通讯资源分类</w:t>
      </w:r>
    </w:p>
    <w:p w14:paraId="704B180A">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以信息列表形式对应急通信保障机构数据、各级基础电信运营商数据和行业专用通信保障机构数据等进行维护管理，支持数据批量更新；对通讯保障信息按名称、地址、更新时间进行过滤检索，并支持模糊查询。</w:t>
      </w:r>
    </w:p>
    <w:p w14:paraId="06742196">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（3）通讯资源多维统计</w:t>
      </w:r>
    </w:p>
    <w:p w14:paraId="38BE50D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按照通讯保障类型、行政区划等方式对通讯保障进行统计分析，以柱状图、饼状图、统计表等形式展现统计结果，支持对统计结果的导出。</w:t>
      </w:r>
    </w:p>
    <w:p w14:paraId="4A1CDA02">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（4）通讯资源一张图</w:t>
      </w:r>
    </w:p>
    <w:p w14:paraId="327EA34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按照通讯保障类型、行政区划、主管单位等多种方式查询通讯保障基于地图的空间分布，及可显示详细信息，并支持地图输出。</w:t>
      </w:r>
    </w:p>
    <w:p w14:paraId="5AAF6D13">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1.1.3.3.4.3.2.4 </w:t>
      </w:r>
      <w:r>
        <w:rPr>
          <w:rFonts w:hint="eastAsia" w:ascii="宋体" w:hAnsi="宋体" w:eastAsia="宋体" w:cs="宋体"/>
          <w:color w:val="auto"/>
          <w:sz w:val="24"/>
          <w:szCs w:val="24"/>
          <w:highlight w:val="none"/>
        </w:rPr>
        <w:t>物资资源调度</w:t>
      </w:r>
    </w:p>
    <w:p w14:paraId="78F29BA0">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物资保障管理功能主要是要建立健全应急物资监测网络、预警体系和应急物资生产、储备、调拨及紧急配送体系，完善应急工作程序，确保应急所需物资和生活用品的及时供应，并加强对物资储备的监督管理，及时予以补充和更新。主要包括物资登记、物资多维度统计、物资管控一张图等功能。</w:t>
      </w:r>
    </w:p>
    <w:p w14:paraId="0DCBB658">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（1）物资登记</w:t>
      </w:r>
    </w:p>
    <w:p w14:paraId="0499C4E7">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以在线填报的方式依据信息资源分类编码标准配置指挥物资填报模版，按照应物资信息填报模版对物资进行添加，并在地图上进行定位；支持EXCEL数据批量导入。</w:t>
      </w:r>
    </w:p>
    <w:p w14:paraId="6D87FFB7">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（2）物资多维度统计</w:t>
      </w:r>
    </w:p>
    <w:p w14:paraId="50F38C7F">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按照物资类型、数量、分布情况、储备场所等对物资进行统计分析，以柱状图、饼状图、统计表等多种形式展现统计结果，支持对统计结果的导出。</w:t>
      </w:r>
    </w:p>
    <w:p w14:paraId="6C7FD051">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（3）物资管控一张图</w:t>
      </w:r>
    </w:p>
    <w:p w14:paraId="18C07565">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实现物资类型、数量、储备点等多种方式查询及物资基于地图的空间分布，以及物资的数量、主管单位、物资分布情况等详细信息，系统提供整体查看和单个类型查看功能，根据物资类型、数量、分布情况、储备场所等不同维度划分，物资资源分布一张图物资储备场所一张图等，并支持地图输出。</w:t>
      </w:r>
    </w:p>
    <w:p w14:paraId="2C01B006">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1.1.3.3.4.3.2.5 </w:t>
      </w:r>
      <w:r>
        <w:rPr>
          <w:rFonts w:hint="eastAsia" w:ascii="宋体" w:hAnsi="宋体" w:eastAsia="宋体" w:cs="宋体"/>
          <w:color w:val="auto"/>
          <w:sz w:val="24"/>
          <w:szCs w:val="24"/>
          <w:highlight w:val="none"/>
        </w:rPr>
        <w:t>交通运输调度</w:t>
      </w:r>
    </w:p>
    <w:p w14:paraId="28929C6D">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交通运输保障管理功能是要保证紧急情况下应急交通工具的优先安排、优先调度，确保运输安全畅通；要建立紧急情况交通运输工具的调用程序，确保抢险救灾物资和人员能够及时、安全送达。提供运输资源信息的检索、查看、定位、导入、导出等功能。运输资源信息的更新和维护均由运输资源主管部门定期进行。主要包括运输资源数据登记、运输资源分类管理、多维统计、空间分析等功能。</w:t>
      </w:r>
    </w:p>
    <w:p w14:paraId="59918B01">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（1）运输资源登记</w:t>
      </w:r>
    </w:p>
    <w:p w14:paraId="2A34A6D8">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支持对接已有系统获取运输资源数据和数据导入等方式获得运输资源数据。并在地图上进行定位，支持EXCEL数据批量导入。</w:t>
      </w:r>
    </w:p>
    <w:p w14:paraId="4ADD99CA">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（2）运输资源分类</w:t>
      </w:r>
    </w:p>
    <w:p w14:paraId="2652F4C4">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以信息列表形式对运输保障服务的航空企业、航运企业、铁路运输企业、汽车运输企业进行维护管理，支持数据批量更新；对运输资源按名称、类型、更新时间进行过滤检索，并支持模糊查询。</w:t>
      </w:r>
    </w:p>
    <w:p w14:paraId="0C525257">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（3）运输资源多维度统计</w:t>
      </w:r>
    </w:p>
    <w:p w14:paraId="502CBB34">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按照运输资源类型、行政区划、携带物资等方式对运输资源进行统计分析，以柱状图、饼状图、统计表等形式展现统计结果，支持对统计结果的导出。</w:t>
      </w:r>
    </w:p>
    <w:p w14:paraId="31D7072E">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（4）运输资源一张图</w:t>
      </w:r>
    </w:p>
    <w:p w14:paraId="64BA7ED5">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按照运输资源类型、行政区划、主管单位等多种方式查询运输资源基于地图的空间分布，及可显示详细信息，并支持地图输出。</w:t>
      </w:r>
    </w:p>
    <w:p w14:paraId="2AE10DB3">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1.1.3.3.4.3.2.6 </w:t>
      </w:r>
      <w:r>
        <w:rPr>
          <w:rFonts w:hint="eastAsia" w:ascii="宋体" w:hAnsi="宋体" w:eastAsia="宋体" w:cs="宋体"/>
          <w:color w:val="auto"/>
          <w:sz w:val="24"/>
          <w:szCs w:val="24"/>
          <w:highlight w:val="none"/>
        </w:rPr>
        <w:t>人员防护管理</w:t>
      </w:r>
    </w:p>
    <w:p w14:paraId="5EB7987C">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人员防护保障管理功能是要指定或建立与人员相适应的应急避险场所，完善紧急疏散管理办法，明确各级责任人，确保在紧急情况下员工安全、有序的疏散。要采取必要的防护措施，严格按照程序开展应急救援工作，确保作业人员和应急救援人员的安全。提供人员防护信息的检索、查看、导入、导出等功能。</w:t>
      </w:r>
    </w:p>
    <w:p w14:paraId="5AB7416C">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（1）人员防护信息检索</w:t>
      </w:r>
    </w:p>
    <w:p w14:paraId="53E7DE6D">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实现对人员防护信息的多维度、级联模糊查询检索。</w:t>
      </w:r>
    </w:p>
    <w:p w14:paraId="75BD0A26">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（2）人员防护信息查看</w:t>
      </w:r>
    </w:p>
    <w:p w14:paraId="20ADA2AC">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  实现人员防护信息的详情页面查看功能。</w:t>
      </w:r>
    </w:p>
    <w:p w14:paraId="6B42CFB5">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（3）人员防护信息导入</w:t>
      </w:r>
    </w:p>
    <w:p w14:paraId="53BAFDD3">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  提供人员防护信息导入模板，实现人员防护信息一键导入功能。</w:t>
      </w:r>
    </w:p>
    <w:p w14:paraId="3A9CC138">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（4）人员防护信息导出</w:t>
      </w:r>
    </w:p>
    <w:p w14:paraId="52BFE247">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支持人员防护信息Excel一键导出。</w:t>
      </w:r>
    </w:p>
    <w:p w14:paraId="573CCF35">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1.1.3.3.4.3.2.7 </w:t>
      </w:r>
      <w:r>
        <w:rPr>
          <w:rFonts w:hint="eastAsia" w:ascii="宋体" w:hAnsi="宋体" w:eastAsia="宋体" w:cs="宋体"/>
          <w:color w:val="auto"/>
          <w:sz w:val="24"/>
          <w:szCs w:val="24"/>
          <w:highlight w:val="none"/>
        </w:rPr>
        <w:t>医疗保障管理</w:t>
      </w:r>
    </w:p>
    <w:p w14:paraId="6B98F86B">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医疗保障管理功能实现医疗卫生信息进行集中管理，提供医疗卫生信息的检索、查看、定位、导入、导出等功能。医疗卫生信息的更新和维护均由医疗卫生主管部门定期进行。主要包括医疗卫生数据登记、医疗卫生分类管理、多维统计和空间分析等功能。</w:t>
      </w:r>
    </w:p>
    <w:p w14:paraId="3F24C0D7">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（1）医疗卫生数据登记</w:t>
      </w:r>
    </w:p>
    <w:p w14:paraId="2AC7AF0F">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支持对接已有系统获取医疗卫生数据和数据导入等方式获得医疗卫生数据。并在地图上进行定位，支持EXCEL数据批量导入。</w:t>
      </w:r>
    </w:p>
    <w:p w14:paraId="6CBDD88C">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（2）医疗卫生分类管理</w:t>
      </w:r>
    </w:p>
    <w:p w14:paraId="3125539A">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以信息列表形式对医疗机构、疾病预防控制中心、卫生监督所（局）、医学科学研究机构数据进行维护管理，支持数据批量更新；对医疗卫生信息按名称、地址、更新时间进行过滤检索，并支持模糊查询。</w:t>
      </w:r>
    </w:p>
    <w:p w14:paraId="2B8A9CE1">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（3）医疗卫生多维统计</w:t>
      </w:r>
    </w:p>
    <w:p w14:paraId="18B83859">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按照医疗卫生信息类型、行政区划、主管单位、更新状态等方式对医疗卫生进行统计分析，以柱状图、饼状图、统计表等形式展现统计结果，支持对统计结果的导出。</w:t>
      </w:r>
    </w:p>
    <w:p w14:paraId="1B0CEA6E">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（4）医疗卫生一张图</w:t>
      </w:r>
    </w:p>
    <w:p w14:paraId="30DCCFD6">
      <w:pPr>
        <w:pStyle w:val="14"/>
        <w:keepNext w:val="0"/>
        <w:keepLines w:val="0"/>
        <w:widowControl/>
        <w:suppressLineNumbers w:val="0"/>
        <w:spacing w:before="165" w:beforeAutospacing="0" w:after="165" w:afterAutospacing="0"/>
        <w:ind w:left="0" w:firstLine="510"/>
        <w:outlineLvl w:val="9"/>
        <w:rPr>
          <w:rFonts w:hint="eastAsia" w:ascii="宋体" w:hAnsi="宋体" w:eastAsia="宋体" w:cs="宋体"/>
          <w:color w:val="auto"/>
          <w:highlight w:val="none"/>
        </w:rPr>
      </w:pPr>
      <w:r>
        <w:rPr>
          <w:rFonts w:hint="eastAsia" w:ascii="宋体" w:hAnsi="宋体" w:eastAsia="宋体" w:cs="宋体"/>
          <w:color w:val="auto"/>
          <w:spacing w:val="15"/>
          <w:sz w:val="24"/>
          <w:szCs w:val="24"/>
          <w:highlight w:val="none"/>
        </w:rPr>
        <w:t>按照医疗卫生资源类型、行政区划、主管单位等多种方式查询医疗卫生资源基于地图的空间分布，及可显示详细信息，并支持地图输出。</w:t>
      </w:r>
    </w:p>
    <w:p w14:paraId="3C28E4C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1.1.3.3.4.3.3 </w:t>
      </w:r>
      <w:r>
        <w:rPr>
          <w:rStyle w:val="17"/>
          <w:rFonts w:hint="eastAsia" w:ascii="宋体" w:hAnsi="宋体" w:eastAsia="宋体" w:cs="宋体"/>
          <w:color w:val="auto"/>
          <w:sz w:val="28"/>
          <w:szCs w:val="28"/>
          <w:highlight w:val="none"/>
        </w:rPr>
        <w:t>消息服务联动</w:t>
      </w:r>
    </w:p>
    <w:p w14:paraId="1C8E50E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建立消息服务联动管理系统，实现指挥中心与各个行业部门的消息通知联动管理，实现指挥中心与各个行业部门的消息通知联动管理，包括通知公告、指令下达、短信服务及文件管理等。</w:t>
      </w:r>
    </w:p>
    <w:p w14:paraId="1FABCE12">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1.1.3.3.4.3.3.1 </w:t>
      </w:r>
      <w:r>
        <w:rPr>
          <w:rFonts w:hint="eastAsia" w:ascii="宋体" w:hAnsi="宋体" w:eastAsia="宋体" w:cs="宋体"/>
          <w:color w:val="auto"/>
          <w:sz w:val="24"/>
          <w:szCs w:val="24"/>
          <w:highlight w:val="none"/>
        </w:rPr>
        <w:t>通知公告</w:t>
      </w:r>
    </w:p>
    <w:p w14:paraId="3C20EFF1">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通知公告信息发布管理系统，实现信息的填报发布。支持发布信息内容及调度命令的模板化管理，支持根据信息发布的类别、细类和所属单位自动配置对应信息的发布策略，选择信息发布的流程和信息发布的不同对象和手段；结合系统给出的辅助方案和应急资源的调度情况，向应急体系内部联动部门发布信息和相关调度命令，满足应急事件信息和相关调度命令的快速、准确地填报发布管理需求。信息发布包括信息标题、信息类型、信息细类、影响范围、预发生时间、发布单位、发布人、接收单位、发布单位联系方式、发布内容、附件、发布手段、发布信息内容。</w:t>
      </w:r>
    </w:p>
    <w:p w14:paraId="6142EF16">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1.1.3.3.4.3.3.2 </w:t>
      </w:r>
      <w:r>
        <w:rPr>
          <w:rFonts w:hint="eastAsia" w:ascii="宋体" w:hAnsi="宋体" w:eastAsia="宋体" w:cs="宋体"/>
          <w:color w:val="auto"/>
          <w:sz w:val="24"/>
          <w:szCs w:val="24"/>
          <w:highlight w:val="none"/>
        </w:rPr>
        <w:t>指令下达</w:t>
      </w:r>
    </w:p>
    <w:p w14:paraId="7C9A7EF4">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任务、消息两种方式实现指令下达、现场反馈、时效限制、定时提醒等功能。指令下达后，系统可以自动提醒相关用户检查完成情况，或其他需提醒的内容。系统用户能够根据重大事件信息优先级别处理信息。</w:t>
      </w:r>
    </w:p>
    <w:p w14:paraId="7BBDBC15">
      <w:pPr>
        <w:pStyle w:val="14"/>
        <w:keepNext w:val="0"/>
        <w:keepLines w:val="0"/>
        <w:widowControl/>
        <w:suppressLineNumbers w:val="0"/>
        <w:spacing w:before="165" w:beforeAutospacing="0" w:after="165" w:afterAutospacing="0"/>
        <w:ind w:left="0" w:firstLine="480"/>
        <w:rPr>
          <w:rFonts w:hint="eastAsia" w:ascii="宋体" w:hAnsi="宋体" w:eastAsia="宋体" w:cs="宋体"/>
          <w:color w:val="auto"/>
          <w:highlight w:val="none"/>
        </w:rPr>
      </w:pPr>
      <w:r>
        <w:rPr>
          <w:rFonts w:ascii="Wingdings" w:hAnsi="Wingdings" w:cs="Wingdings"/>
          <w:color w:val="auto"/>
          <w:sz w:val="24"/>
          <w:szCs w:val="24"/>
          <w:highlight w:val="none"/>
        </w:rPr>
        <w:t>l</w:t>
      </w:r>
      <w:r>
        <w:rPr>
          <w:rFonts w:hint="eastAsia" w:ascii="宋体" w:hAnsi="宋体" w:eastAsia="宋体" w:cs="宋体"/>
          <w:color w:val="auto"/>
          <w:sz w:val="24"/>
          <w:szCs w:val="24"/>
          <w:highlight w:val="none"/>
        </w:rPr>
        <w:t> 每件信息都有特定的信息编号，同时用户可根据信息状态、编号等实现信息即时检索；</w:t>
      </w:r>
    </w:p>
    <w:p w14:paraId="73E42BD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ascii="Wingdings" w:hAnsi="Wingdings" w:cs="Wingdings"/>
          <w:color w:val="auto"/>
          <w:sz w:val="24"/>
          <w:szCs w:val="24"/>
          <w:highlight w:val="none"/>
        </w:rPr>
        <w:t>l</w:t>
      </w:r>
      <w:r>
        <w:rPr>
          <w:rFonts w:hint="eastAsia" w:ascii="宋体" w:hAnsi="宋体" w:eastAsia="宋体" w:cs="宋体"/>
          <w:color w:val="auto"/>
          <w:sz w:val="24"/>
          <w:szCs w:val="24"/>
          <w:highlight w:val="none"/>
        </w:rPr>
        <w:t> 授权用户应该可以及时更新信息状态，并且直接根据所得信息派发相应任务；</w:t>
      </w:r>
    </w:p>
    <w:p w14:paraId="7D48E8D1">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ascii="Wingdings" w:hAnsi="Wingdings" w:cs="Wingdings"/>
          <w:color w:val="auto"/>
          <w:sz w:val="24"/>
          <w:szCs w:val="24"/>
          <w:highlight w:val="none"/>
        </w:rPr>
        <w:t>l</w:t>
      </w:r>
      <w:r>
        <w:rPr>
          <w:rFonts w:hint="eastAsia" w:ascii="宋体" w:hAnsi="宋体" w:eastAsia="宋体" w:cs="宋体"/>
          <w:color w:val="auto"/>
          <w:sz w:val="24"/>
          <w:szCs w:val="24"/>
          <w:highlight w:val="none"/>
        </w:rPr>
        <w:t>  满足信息交互的同时，用户能够通过系统平台实现即时通讯。</w:t>
      </w:r>
    </w:p>
    <w:p w14:paraId="0E146C25">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1.1.3.3.4.3.3.3 </w:t>
      </w:r>
      <w:r>
        <w:rPr>
          <w:rFonts w:hint="eastAsia" w:ascii="宋体" w:hAnsi="宋体" w:eastAsia="宋体" w:cs="宋体"/>
          <w:color w:val="auto"/>
          <w:sz w:val="24"/>
          <w:szCs w:val="24"/>
          <w:highlight w:val="none"/>
        </w:rPr>
        <w:t>短信服务</w:t>
      </w:r>
    </w:p>
    <w:p w14:paraId="72F9A5C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通讯服务提供短信服务，用于接收使用手机发送短信信息，同时提供发送短信消息服务。短信是值班员向各领导通知请示的常用即时通讯手段，短信管理实现短信的接收、发送、发送状态监控等功能。同时提供短信发送审核、校验、发送的审批流程，并详细记录审批各环节的工作日志，规范约束短信处理流程。</w:t>
      </w:r>
    </w:p>
    <w:p w14:paraId="68C0D61A">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1.1.3.3.4.3.3.4 </w:t>
      </w:r>
      <w:r>
        <w:rPr>
          <w:rFonts w:hint="eastAsia" w:ascii="宋体" w:hAnsi="宋体" w:eastAsia="宋体" w:cs="宋体"/>
          <w:color w:val="auto"/>
          <w:sz w:val="24"/>
          <w:szCs w:val="24"/>
          <w:highlight w:val="none"/>
        </w:rPr>
        <w:t>文件管理</w:t>
      </w:r>
    </w:p>
    <w:p w14:paraId="36C4ACAE">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文件管理主要具有统一文件入口、文件预览及处理、传真黑名单管理、文件报送模板管理、文件处理跟踪提醒等功能。</w:t>
      </w:r>
    </w:p>
    <w:p w14:paraId="307929C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（1）统一文件入口</w:t>
      </w:r>
    </w:p>
    <w:p w14:paraId="1B899C1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一传真文件与网络文件的入口，解决一份文件在多个系统之间的频繁操作问题，统一在文件管理模块内实现文件的创建、上报、拟办、审批、分发等文件处理的所有环节。系统内部统一采用网络文件，与外部单位统一采用传真文件。</w:t>
      </w:r>
    </w:p>
    <w:p w14:paraId="0615091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（2）文件预览及处理</w:t>
      </w:r>
    </w:p>
    <w:p w14:paraId="004ADD21">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文件预览及处理主要实现传真文字提取、文件关联信息、文件审批处理和文件分发等。</w:t>
      </w:r>
    </w:p>
    <w:p w14:paraId="6AE829F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（3）传真黑名单管理</w:t>
      </w:r>
    </w:p>
    <w:p w14:paraId="542208F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对于传真接收到的广告等来源的传真号码，可一键将号码加入到黑名单，此后传真模块将屏蔽此类传真文件。同时支持对传真黑名单号码的添加、移除等灵活管理功能。</w:t>
      </w:r>
    </w:p>
    <w:p w14:paraId="42E9846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（4）文件报送模板管理</w:t>
      </w:r>
    </w:p>
    <w:p w14:paraId="02C43F0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文件报送模板管理模块规范了信息报送内容，各单位信息上报时，只需选择信息类型，将呈现此类信息所要录入的所有数据项。系统对录入内容严格校验，确保信息上报内容规范性、有效性及完整性。文件报送模板管理支持用户定制文件上报的模板格式。</w:t>
      </w:r>
    </w:p>
    <w:p w14:paraId="5458EC7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（5）文件处理跟踪提醒</w:t>
      </w:r>
    </w:p>
    <w:p w14:paraId="34753490">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文件处理跟踪提醒模块提供文件处理的跟踪督办机制，具有文件签收、核实反馈、审批等重要处理环节的督办提供功能。</w:t>
      </w:r>
    </w:p>
    <w:p w14:paraId="268A21B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1.1.3.3.4.3.4 </w:t>
      </w:r>
      <w:r>
        <w:rPr>
          <w:rStyle w:val="17"/>
          <w:rFonts w:hint="eastAsia" w:ascii="宋体" w:hAnsi="宋体" w:eastAsia="宋体" w:cs="宋体"/>
          <w:color w:val="auto"/>
          <w:sz w:val="28"/>
          <w:szCs w:val="28"/>
          <w:highlight w:val="none"/>
        </w:rPr>
        <w:t>指挥处置联动</w:t>
      </w:r>
    </w:p>
    <w:p w14:paraId="6B6EDF5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实现城市管理各类事件派发到行业部门后事件处置反馈管理，包括事件接收、事件回退、事件办理反馈等管理功能。</w:t>
      </w:r>
    </w:p>
    <w:p w14:paraId="26E8BD21">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1.1.3.3.4.3.4.1 </w:t>
      </w:r>
      <w:r>
        <w:rPr>
          <w:rFonts w:hint="eastAsia" w:ascii="宋体" w:hAnsi="宋体" w:eastAsia="宋体" w:cs="宋体"/>
          <w:color w:val="auto"/>
          <w:sz w:val="24"/>
          <w:szCs w:val="24"/>
          <w:highlight w:val="none"/>
        </w:rPr>
        <w:t>融合受理</w:t>
      </w:r>
    </w:p>
    <w:p w14:paraId="12D43544">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融合受理功能，受理完各种途经上报的事件后（包括网格员采集、市民上报、监控视频分析等），由系统采用统一表单的方式进行事件问题登记，通过自动分拨调度系统根据事件的调拨规则将事件派发给相应的行业处置部门系统，在行业部门处置系统就会生成一条任务待办单，由行业部门处置系统进行接收处理。包括统一受理门户、统一表单管理、事件标识管理等功能。</w:t>
      </w:r>
    </w:p>
    <w:p w14:paraId="6D1F110F">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（1）统一受理门户</w:t>
      </w:r>
    </w:p>
    <w:p w14:paraId="10B66F2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对事件的规整，制定事件分类清单，提供统一的事件受理门户实现对事件的统一受理功能。通过各个事件接收渠道获取到事件后，在界面上进行展示，显示收到的事件信息，并进行自动拍单，分拨给各分拨部门，分拨部门可对事件进行统一的处理。对已生成工单，受理中等信息的提示。</w:t>
      </w:r>
    </w:p>
    <w:p w14:paraId="5A917000">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通过统一受理门户，实现对整个城市范围内所有信息的统一受理，实现信息报送、案件建立、任务预派遣等功能。</w:t>
      </w:r>
    </w:p>
    <w:p w14:paraId="23039B8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（2）统一表单管理</w:t>
      </w:r>
    </w:p>
    <w:p w14:paraId="5708299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统一的表单规范，统一多渠道来源事件表单，从全渠道受理上来的待办件，进行统一的数据规范。自定义事件属性字段和扩展表单，设定不同角色对不同字段的查看、编辑权限。自定义事件模板，规范事件填写和提升流转效率。提供统一的标准事件接口，供第三方系统调用，生成符合规范的工单数据。</w:t>
      </w:r>
    </w:p>
    <w:p w14:paraId="5704571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（3）事件标识管理</w:t>
      </w:r>
    </w:p>
    <w:p w14:paraId="173E58A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事件自定义标识功能，派遣员可对受理事件进行级别标识，默认事件为普通级别，支持自定义标识，对影响范围大的进行紧急事件标识或重要事件标识，被标识事件会自动推送到主管人员进行处理。主管人员可以对被标识为同一事件指定固定的人员进行受理，提高受理效率。</w:t>
      </w:r>
    </w:p>
    <w:p w14:paraId="4A248C6B">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实现对标识的统一管理。管理员可以删除多余的标识，支持对同类标识的自动识别，管理员可以依据识别结果进行标识合并管理。</w:t>
      </w:r>
    </w:p>
    <w:p w14:paraId="02F830C7">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1.1.3.3.4.3.4.2 </w:t>
      </w:r>
      <w:r>
        <w:rPr>
          <w:rFonts w:hint="eastAsia" w:ascii="宋体" w:hAnsi="宋体" w:eastAsia="宋体" w:cs="宋体"/>
          <w:color w:val="auto"/>
          <w:sz w:val="24"/>
          <w:szCs w:val="24"/>
          <w:highlight w:val="none"/>
        </w:rPr>
        <w:t>指挥调度</w:t>
      </w:r>
    </w:p>
    <w:p w14:paraId="579898FE">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系统提供指挥调度功能，实现对城市突发事件的指挥协同调度，在指挥调度一张图基础上可以进行战略标会、协同会商。包括预案响应、一键调度、现场指挥调度、任务跟踪与反馈等功能。</w:t>
      </w:r>
    </w:p>
    <w:p w14:paraId="4B052616">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（1）预案响应</w:t>
      </w:r>
    </w:p>
    <w:p w14:paraId="459BEFA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启动响应后对突发事件预案的结构化应用。通过对各类突发事件不同响应级别对应基本信息、总指挥部、现场指挥部等内容的配置和预案要求，基于事件情况，快速成立突发事件处置的总指挥部和现场指挥部，可根据情况建立突发事件群组人员。</w:t>
      </w:r>
    </w:p>
    <w:p w14:paraId="4F4973A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（2）一键调度</w:t>
      </w:r>
    </w:p>
    <w:p w14:paraId="0AB02EF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根据情况建立突发事件应急群组并确定群组人员，根据事故基本信息及相关研判分析结果，通过应急通信调度手段、信息交互手段为指挥人员提供指挥调度、任务分配的手段。实现一键拨打电话、电话会议，一键短信（支持群发）、一键传真（支持群发），并管理通信记录。实现突发事件处置情况的汇总，通过一键调度通知相关单位和人员进行处置。</w:t>
      </w:r>
    </w:p>
    <w:p w14:paraId="314E78AE">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（3）现场指挥调度</w:t>
      </w:r>
    </w:p>
    <w:p w14:paraId="3142311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现场任务接收与反馈、现场战术图和标绘、联网检索、现场处置、实战资料、通信联络、现场资源配置和调度、现场救援队伍报到管理、救援情况管理等功能，为监督指挥中心协调现场指挥，协助和指导现场工作提供支撑。</w:t>
      </w:r>
    </w:p>
    <w:p w14:paraId="4308146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（4）任务跟踪与反馈</w:t>
      </w:r>
    </w:p>
    <w:p w14:paraId="280D7B09">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支持按照不同部门、不同阶段管理任务信息，实现任务的快速部署，跟踪任务执行、反馈情况，动态掌握资源的需求、供给、部署及到位情况。主要包括资源协调与跟踪、任务管理域跟踪。</w:t>
      </w:r>
    </w:p>
    <w:p w14:paraId="42803E6F">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1.1.3.3.4.3.4.3 </w:t>
      </w:r>
      <w:r>
        <w:rPr>
          <w:rFonts w:hint="eastAsia" w:ascii="宋体" w:hAnsi="宋体" w:eastAsia="宋体" w:cs="宋体"/>
          <w:color w:val="auto"/>
          <w:sz w:val="24"/>
          <w:szCs w:val="24"/>
          <w:highlight w:val="none"/>
        </w:rPr>
        <w:t>联动处置</w:t>
      </w:r>
    </w:p>
    <w:p w14:paraId="185A22F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联动处置功能，任务下发到行业处置部门后，由相关部门对问题进行处理。需要多部门联动处置时，由指挥中心统一协调处理，行业处置部门任务处理完成，并核查通过后，将处理结果反馈至指挥中心进行结案操作。包括联动任务退回、联动处置反馈、任务审核结案等功能。</w:t>
      </w:r>
    </w:p>
    <w:p w14:paraId="01C9C70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（1）联动任务退回</w:t>
      </w:r>
    </w:p>
    <w:p w14:paraId="37F78E4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系统提供任务回退功能，当自动分拨系统或人工派发不准确时，行业部门处置系统可以将任务回退给监督指挥中心，中心可以进行转派或二次派发。</w:t>
      </w:r>
    </w:p>
    <w:p w14:paraId="6F134C9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（2）联动处置反馈</w:t>
      </w:r>
    </w:p>
    <w:p w14:paraId="7E27439A">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任务下发到行业处置部门后，由相关部门对问题进行处理。需要多部门联动处置时，由指挥中心统一协调处理，行业处置部门任务处理完成，并核查通过后，将处理结果反馈至指挥中心进行结案操作。</w:t>
      </w:r>
    </w:p>
    <w:p w14:paraId="7C8DCB28">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（3）任务审核结案</w:t>
      </w:r>
    </w:p>
    <w:p w14:paraId="38D8B571">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各个部门对联动任务处理完成后，统一反馈各自处置结果，由监督指挥中心对联动任务的处置完成情况进行审核结案，审核包括审核通过、审核不通过、重新办理等操作。</w:t>
      </w:r>
    </w:p>
    <w:p w14:paraId="01E1EBD3">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1.1.3.3.4.3.5 </w:t>
      </w:r>
      <w:r>
        <w:rPr>
          <w:rStyle w:val="17"/>
          <w:rFonts w:hint="eastAsia" w:ascii="宋体" w:hAnsi="宋体" w:eastAsia="宋体" w:cs="宋体"/>
          <w:color w:val="auto"/>
          <w:sz w:val="28"/>
          <w:szCs w:val="28"/>
          <w:highlight w:val="none"/>
        </w:rPr>
        <w:t>督查督办联动</w:t>
      </w:r>
    </w:p>
    <w:p w14:paraId="2977A42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督查督办联动系统，实现指挥中心可以对行业部门进行任务督办，包括督办任务登记、任务交办派发、催办督办、考核评价、查询监控等功能；各类督查督办任务下达到行业部门后，行业部门可以实现对督查督办任务签收落实、联动交流、过程反馈等功能。</w:t>
      </w:r>
    </w:p>
    <w:p w14:paraId="4E324BB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事件办理效率满意度不高、相关服务难点、痛点问题、社会媒体监督、重要工作交办及考核评估不理想等情况的全过程督查督办管理流程。实现对督查任务的精准定位、跟踪分析、融通应用，从而精准到部门、落实到事、管控到时点、具体到过程。</w:t>
      </w:r>
    </w:p>
    <w:p w14:paraId="5EEEA203">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1.1.3.3.4.3.5.1 </w:t>
      </w:r>
      <w:r>
        <w:rPr>
          <w:rFonts w:hint="eastAsia" w:ascii="宋体" w:hAnsi="宋体" w:eastAsia="宋体" w:cs="宋体"/>
          <w:color w:val="auto"/>
          <w:sz w:val="24"/>
          <w:szCs w:val="24"/>
          <w:highlight w:val="none"/>
        </w:rPr>
        <w:t>任务登记</w:t>
      </w:r>
    </w:p>
    <w:p w14:paraId="2A051305">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当任务即将出现超时，或者事件问题重复发生等情况，指挥中心可以建立督办单，对相关处置部门进行督办。登记督查督办件的事项名称、事项类别、事项编号、事项内容、事项时限、责任部门等信息。</w:t>
      </w:r>
    </w:p>
    <w:p w14:paraId="7F4E1BC3">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1.1.3.3.4.3.5.2 </w:t>
      </w:r>
      <w:r>
        <w:rPr>
          <w:rFonts w:hint="eastAsia" w:ascii="宋体" w:hAnsi="宋体" w:eastAsia="宋体" w:cs="宋体"/>
          <w:color w:val="auto"/>
          <w:sz w:val="24"/>
          <w:szCs w:val="24"/>
          <w:highlight w:val="none"/>
        </w:rPr>
        <w:t>交办派发</w:t>
      </w:r>
    </w:p>
    <w:p w14:paraId="0722D61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系统实现任务交办派发功能，选择相应的承办、协办单位和分管领导后，可以通过系统进行交办派发，派发后系统实现通过手机短信、站内短信、工作台提醒等多种方式告知相关人员。</w:t>
      </w:r>
    </w:p>
    <w:p w14:paraId="28C597FB">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1.1.3.3.4.3.5.3 </w:t>
      </w:r>
      <w:r>
        <w:rPr>
          <w:rFonts w:hint="eastAsia" w:ascii="宋体" w:hAnsi="宋体" w:eastAsia="宋体" w:cs="宋体"/>
          <w:color w:val="auto"/>
          <w:sz w:val="24"/>
          <w:szCs w:val="24"/>
          <w:highlight w:val="none"/>
        </w:rPr>
        <w:t>签收落实</w:t>
      </w:r>
    </w:p>
    <w:p w14:paraId="68A928C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相关行业处置部门收到交办的督查督办件后进行签收，并指定相应的责任人、承办人及联系方式。</w:t>
      </w:r>
    </w:p>
    <w:p w14:paraId="46120DD8">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1.1.3.3.4.3.5.4 </w:t>
      </w:r>
      <w:r>
        <w:rPr>
          <w:rFonts w:hint="eastAsia" w:ascii="宋体" w:hAnsi="宋体" w:eastAsia="宋体" w:cs="宋体"/>
          <w:color w:val="auto"/>
          <w:sz w:val="24"/>
          <w:szCs w:val="24"/>
          <w:highlight w:val="none"/>
        </w:rPr>
        <w:t>联动交流</w:t>
      </w:r>
    </w:p>
    <w:p w14:paraId="08F6864D">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联动交流是指相关行业处置部门在执行工作任务过程中，与工作派发者、分管领导、承办、协办单位/科室等之间的信息互动，类似论坛功能，可以是工作指示、工作建议与意见、也可以是提醒等。</w:t>
      </w:r>
    </w:p>
    <w:p w14:paraId="6E818427">
      <w:pPr>
        <w:pStyle w:val="14"/>
        <w:keepNext w:val="0"/>
        <w:keepLines w:val="0"/>
        <w:widowControl/>
        <w:suppressLineNumbers w:val="0"/>
        <w:spacing w:before="240" w:beforeAutospacing="0" w:after="60" w:afterAutospacing="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1.1.3.3.4.3.5.5 </w:t>
      </w:r>
      <w:r>
        <w:rPr>
          <w:rFonts w:hint="eastAsia" w:ascii="宋体" w:hAnsi="宋体" w:eastAsia="宋体" w:cs="宋体"/>
          <w:color w:val="auto"/>
          <w:sz w:val="24"/>
          <w:szCs w:val="24"/>
          <w:highlight w:val="none"/>
        </w:rPr>
        <w:t>催办督办</w:t>
      </w:r>
    </w:p>
    <w:p w14:paraId="61EE3123">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实现对事件的催办、督办及协调会议的功能。为及时了解督查事项的运行情况和办理情况，督办部门可采取发《催办单》 或直接到承办单位/科室催办等形式，适时加以催办查办，系统记录催办记录。</w:t>
      </w:r>
    </w:p>
    <w:p w14:paraId="4D79082E">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督查督办部门可以通过电话、函件、约谈、走访等多种方式对任务承办人进行督办，系统记录每次督办工作记录。实现对督办任务召开协调会议功能，记录围绕任务开展召开的督办工作会议信息，包括会议时间、会议内容、召集人、参与人、记录内容等信息。</w:t>
      </w:r>
    </w:p>
    <w:p w14:paraId="5C72B37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78A710E">
      <w:pPr>
        <w:pStyle w:val="14"/>
        <w:keepNext w:val="0"/>
        <w:keepLines w:val="0"/>
        <w:widowControl/>
        <w:suppressLineNumbers w:val="0"/>
        <w:spacing w:line="288" w:lineRule="atLeast"/>
        <w:ind w:left="0" w:firstLine="0"/>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1.1.4 </w:t>
      </w:r>
      <w:r>
        <w:rPr>
          <w:rFonts w:hint="eastAsia" w:ascii="宋体" w:hAnsi="宋体" w:eastAsia="宋体" w:cs="宋体"/>
          <w:color w:val="auto"/>
          <w:sz w:val="28"/>
          <w:szCs w:val="28"/>
          <w:highlight w:val="none"/>
        </w:rPr>
        <w:t>城市事件分类与标准</w:t>
      </w:r>
    </w:p>
    <w:p w14:paraId="564CC2DA">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城市事件分类与标准是城市综合管理服务平台的业务范围，涉及了城市城市综合管理服务方方面面的事项，涉及党政工团类、公安政法类、科教文卫类、经济综合类、建设规划类、社会管理类等多个纬度。</w:t>
      </w:r>
    </w:p>
    <w:p w14:paraId="6ACA0C9C">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1.1.4.1 </w:t>
      </w:r>
      <w:r>
        <w:rPr>
          <w:rFonts w:hint="eastAsia" w:ascii="宋体" w:hAnsi="宋体" w:eastAsia="宋体" w:cs="宋体"/>
          <w:color w:val="auto"/>
          <w:sz w:val="28"/>
          <w:szCs w:val="28"/>
          <w:highlight w:val="none"/>
        </w:rPr>
        <w:t>事件管理模块</w:t>
      </w:r>
    </w:p>
    <w:p w14:paraId="7C3B7331">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以可视化图形方式进行事件的管理，包括分类、所属部门、管辖依据等等，实现事件的增加、修改等维护管理，可以通过事件查询归属的部门，可以通过部门查询部门处置的事件。</w:t>
      </w:r>
    </w:p>
    <w:p w14:paraId="23FC9A29">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1.1.4.1.1 </w:t>
      </w:r>
      <w:r>
        <w:rPr>
          <w:rFonts w:hint="eastAsia" w:ascii="宋体" w:hAnsi="宋体" w:eastAsia="宋体" w:cs="宋体"/>
          <w:color w:val="auto"/>
          <w:sz w:val="28"/>
          <w:szCs w:val="28"/>
          <w:highlight w:val="none"/>
        </w:rPr>
        <w:t>事件项查询</w:t>
      </w:r>
    </w:p>
    <w:p w14:paraId="6F901346">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事件项查询主要用于查询城市综合管理服务的事件项。</w:t>
      </w:r>
    </w:p>
    <w:p w14:paraId="3B683181">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1.1.4.1.2 </w:t>
      </w:r>
      <w:r>
        <w:rPr>
          <w:rFonts w:hint="eastAsia" w:ascii="宋体" w:hAnsi="宋体" w:eastAsia="宋体" w:cs="宋体"/>
          <w:color w:val="auto"/>
          <w:sz w:val="28"/>
          <w:szCs w:val="28"/>
          <w:highlight w:val="none"/>
        </w:rPr>
        <w:t>事件树管理</w:t>
      </w:r>
    </w:p>
    <w:p w14:paraId="5F713DE8">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事件树管理模块主要将城市管理事件生成树状接口，方便查询。</w:t>
      </w:r>
    </w:p>
    <w:p w14:paraId="281099B8">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1.1.4.1.3 </w:t>
      </w:r>
      <w:r>
        <w:rPr>
          <w:rFonts w:hint="eastAsia" w:ascii="宋体" w:hAnsi="宋体" w:eastAsia="宋体" w:cs="宋体"/>
          <w:color w:val="auto"/>
          <w:sz w:val="28"/>
          <w:szCs w:val="28"/>
          <w:highlight w:val="none"/>
        </w:rPr>
        <w:t>部门查询</w:t>
      </w:r>
    </w:p>
    <w:p w14:paraId="1868F0C9">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通过部门查询模块，可以快速查询出部门所属的事件项。</w:t>
      </w:r>
    </w:p>
    <w:p w14:paraId="76951EE0">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1.1.4.1.4 </w:t>
      </w:r>
      <w:r>
        <w:rPr>
          <w:rFonts w:hint="eastAsia" w:ascii="宋体" w:hAnsi="宋体" w:eastAsia="宋体" w:cs="宋体"/>
          <w:color w:val="auto"/>
          <w:sz w:val="28"/>
          <w:szCs w:val="28"/>
          <w:highlight w:val="none"/>
        </w:rPr>
        <w:t>详情查看</w:t>
      </w:r>
    </w:p>
    <w:p w14:paraId="2B2B233B">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快速查看事件的描述、部门等详细信息。</w:t>
      </w:r>
    </w:p>
    <w:p w14:paraId="36FE90D3">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1.1.4.1.5 </w:t>
      </w:r>
      <w:r>
        <w:rPr>
          <w:rFonts w:hint="eastAsia" w:ascii="宋体" w:hAnsi="宋体" w:eastAsia="宋体" w:cs="宋体"/>
          <w:color w:val="auto"/>
          <w:sz w:val="28"/>
          <w:szCs w:val="28"/>
          <w:highlight w:val="none"/>
        </w:rPr>
        <w:t>节点查询</w:t>
      </w:r>
    </w:p>
    <w:p w14:paraId="44ED2C32">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节点查询可以快速查询出事件的上级节点；</w:t>
      </w:r>
    </w:p>
    <w:p w14:paraId="44393DE4">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1.1.4.1.6 </w:t>
      </w:r>
      <w:r>
        <w:rPr>
          <w:rFonts w:hint="eastAsia" w:ascii="宋体" w:hAnsi="宋体" w:eastAsia="宋体" w:cs="宋体"/>
          <w:color w:val="auto"/>
          <w:sz w:val="28"/>
          <w:szCs w:val="28"/>
          <w:highlight w:val="none"/>
        </w:rPr>
        <w:t>管理模块工具</w:t>
      </w:r>
    </w:p>
    <w:p w14:paraId="2E3DB2C3">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管理模块工具主要包含放大、缩小、旋转等功能；</w:t>
      </w:r>
    </w:p>
    <w:p w14:paraId="3B0EF12D">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1.1.4.1.7 </w:t>
      </w:r>
      <w:r>
        <w:rPr>
          <w:rFonts w:hint="eastAsia" w:ascii="宋体" w:hAnsi="宋体" w:eastAsia="宋体" w:cs="宋体"/>
          <w:color w:val="auto"/>
          <w:sz w:val="28"/>
          <w:szCs w:val="28"/>
          <w:highlight w:val="none"/>
        </w:rPr>
        <w:t>事件下钻</w:t>
      </w:r>
    </w:p>
    <w:p w14:paraId="65007178">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事件下钻模块主要通过下钻的方式进行大小类往下查询。</w:t>
      </w:r>
    </w:p>
    <w:p w14:paraId="0BA00D9F">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1.1.4.1.8 </w:t>
      </w:r>
      <w:r>
        <w:rPr>
          <w:rFonts w:hint="eastAsia" w:ascii="宋体" w:hAnsi="宋体" w:eastAsia="宋体" w:cs="宋体"/>
          <w:color w:val="auto"/>
          <w:sz w:val="28"/>
          <w:szCs w:val="28"/>
          <w:highlight w:val="none"/>
        </w:rPr>
        <w:t>事件树数据</w:t>
      </w:r>
    </w:p>
    <w:p w14:paraId="7E6AE455">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事件数据主要包含城市综合管理服务的所有事件项。</w:t>
      </w:r>
    </w:p>
    <w:p w14:paraId="5D6A20D7">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1.1.4.2 </w:t>
      </w:r>
      <w:r>
        <w:rPr>
          <w:rFonts w:hint="eastAsia" w:ascii="宋体" w:hAnsi="宋体" w:eastAsia="宋体" w:cs="宋体"/>
          <w:color w:val="auto"/>
          <w:sz w:val="28"/>
          <w:szCs w:val="28"/>
          <w:highlight w:val="none"/>
        </w:rPr>
        <w:t>事件清单梳理</w:t>
      </w:r>
    </w:p>
    <w:p w14:paraId="5FBF935D">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基于目前整理的情况，输出福州市事件清单一张表，包含一级分类、二级分类、三级分类、四级分类、五级分类、事件名称、事件定义、处置部门、法律依据等等。</w:t>
      </w:r>
    </w:p>
    <w:p w14:paraId="3E796941">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1.1.4.3 </w:t>
      </w:r>
      <w:r>
        <w:rPr>
          <w:rFonts w:hint="eastAsia" w:ascii="宋体" w:hAnsi="宋体" w:eastAsia="宋体" w:cs="宋体"/>
          <w:color w:val="auto"/>
          <w:sz w:val="28"/>
          <w:szCs w:val="28"/>
          <w:highlight w:val="none"/>
        </w:rPr>
        <w:t>事件标准制定</w:t>
      </w:r>
    </w:p>
    <w:p w14:paraId="38FF1A45">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研究并组织编制文件征求意见稿，征求相关委办局等单位的意见和建议；修改完善文件，形成送审稿，完成专家评审，并最终形成福建省城市管理事件分类标准。</w:t>
      </w:r>
    </w:p>
    <w:p w14:paraId="773ADA5A">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53122CC">
      <w:pPr>
        <w:pStyle w:val="14"/>
        <w:keepNext w:val="0"/>
        <w:keepLines w:val="0"/>
        <w:widowControl/>
        <w:suppressLineNumbers w:val="0"/>
        <w:spacing w:line="288" w:lineRule="atLeast"/>
        <w:ind w:left="0" w:firstLine="0"/>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1.1.5 </w:t>
      </w:r>
      <w:r>
        <w:rPr>
          <w:rFonts w:hint="eastAsia" w:ascii="宋体" w:hAnsi="宋体" w:eastAsia="宋体" w:cs="宋体"/>
          <w:color w:val="auto"/>
          <w:sz w:val="28"/>
          <w:szCs w:val="28"/>
          <w:highlight w:val="none"/>
        </w:rPr>
        <w:t>网格微服务系统</w:t>
      </w:r>
    </w:p>
    <w:p w14:paraId="7DB0B978">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网格微服务系统建设目标是通过建立容器化、微服务的城市统一网格数据底座，为综合管理平台的各类应用系统提供统一的网格数据与应用共享服务，支撑城市综合管理平台业务，提升城市精细化管理效率与网格化服务水平。</w:t>
      </w:r>
    </w:p>
    <w:p w14:paraId="647DC8E1">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系统采用先进的微服务架构，数据与功能基于微服务管理的规范要求开发为微服务形式接口，并注册至微服务管理中集成应用。系统还需基于容器化平台的规范要求，采用容器化方式进行构建与部署集成。</w:t>
      </w:r>
    </w:p>
    <w:p w14:paraId="26F72243">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系统建设内容主要包括网格数据微服务、网格查询应用微服务以及平台接口对接三项。</w:t>
      </w:r>
    </w:p>
    <w:p w14:paraId="5898ACFA">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1.1.5.1 </w:t>
      </w:r>
      <w:r>
        <w:rPr>
          <w:rFonts w:hint="eastAsia" w:ascii="宋体" w:hAnsi="宋体" w:eastAsia="宋体" w:cs="宋体"/>
          <w:color w:val="auto"/>
          <w:sz w:val="28"/>
          <w:szCs w:val="28"/>
          <w:highlight w:val="none"/>
        </w:rPr>
        <w:t>网格数据微服务</w:t>
      </w:r>
    </w:p>
    <w:p w14:paraId="3170B3C7">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照容器化与微服务的规范要求，构建容器化的网格数据库，提供数据集成入库能力将基础网格与各类管理网格数据合理有序地导入数据库中，并提供网格数据更新管理能力实现网格数据的更新维护。在此基础上，构建容器化的GIS服务支撑平台，提供空间数据服务发布能力将数据库中的网格数据发布为地图服务，向各应用系统提供网格地图数据服务。</w:t>
      </w:r>
    </w:p>
    <w:p w14:paraId="12CECEFF">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网格空间数据库管理</w:t>
      </w:r>
    </w:p>
    <w:p w14:paraId="1F805C36">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采用容器化方式构建空间数据库docker镜像，支撑网格空间数据的入库与管理，并提供数据更新管理能力实现数据的动态更新管理。</w:t>
      </w:r>
    </w:p>
    <w:p w14:paraId="24BD4A44">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网格数据共享服务</w:t>
      </w:r>
    </w:p>
    <w:p w14:paraId="7AB281A8">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采用容器化方式构建GIS服务支撑平台docker镜像，提供地图服务的发布与管理能力，将网格数据发布为网格地图数据服务，向各应用系统共享提供。</w:t>
      </w:r>
    </w:p>
    <w:p w14:paraId="2CA28BE9">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网格数据缓存同步服务</w:t>
      </w:r>
    </w:p>
    <w:p w14:paraId="5A213994">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实现网格数据缓存同步至redis或elasticsearch数据缓存服务集群中，提高网格数据检索服务性能，避免直查数据库导致崩库，支撑互联网高并发访问。</w:t>
      </w:r>
    </w:p>
    <w:p w14:paraId="0BAA2033">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1.1.5.2 </w:t>
      </w:r>
      <w:r>
        <w:rPr>
          <w:rFonts w:hint="eastAsia" w:ascii="宋体" w:hAnsi="宋体" w:eastAsia="宋体" w:cs="宋体"/>
          <w:color w:val="auto"/>
          <w:highlight w:val="none"/>
        </w:rPr>
        <w:t> </w:t>
      </w:r>
      <w:r>
        <w:rPr>
          <w:rFonts w:hint="eastAsia" w:ascii="宋体" w:hAnsi="宋体" w:eastAsia="宋体" w:cs="宋体"/>
          <w:color w:val="auto"/>
          <w:sz w:val="28"/>
          <w:szCs w:val="28"/>
          <w:highlight w:val="none"/>
        </w:rPr>
        <w:t>网格查询应用微服务</w:t>
      </w:r>
    </w:p>
    <w:p w14:paraId="6FB31DD6">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以微服务的方式开发实现网格数据查询应用的微服务接口，包含国家大地2000与互联网地图坐标系两类地图坐标系下的网格查询接口，支撑不同应用系统地图对于网格信息的查询需求。</w:t>
      </w:r>
    </w:p>
    <w:p w14:paraId="5D20385A">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网格数据查询服务</w:t>
      </w:r>
    </w:p>
    <w:p w14:paraId="4EA0C5D6">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实现网格数据的空间与属性查询接口，包含网格编码查询、空间查询、属性查询、级联查询等接口。</w:t>
      </w:r>
    </w:p>
    <w:p w14:paraId="64C3DFB5">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highlight w:val="none"/>
        </w:rPr>
        <w:t> </w:t>
      </w:r>
      <w:r>
        <w:rPr>
          <w:rFonts w:hint="eastAsia" w:ascii="宋体" w:hAnsi="宋体" w:eastAsia="宋体" w:cs="宋体"/>
          <w:color w:val="auto"/>
          <w:sz w:val="24"/>
          <w:szCs w:val="24"/>
          <w:highlight w:val="none"/>
        </w:rPr>
        <w:t>网格编码查询</w:t>
      </w:r>
    </w:p>
    <w:p w14:paraId="64539FAD">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通过网格编码查询网格的图斑与属性信息。</w:t>
      </w:r>
    </w:p>
    <w:p w14:paraId="74504C93">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highlight w:val="none"/>
        </w:rPr>
        <w:t> </w:t>
      </w:r>
      <w:r>
        <w:rPr>
          <w:rFonts w:hint="eastAsia" w:ascii="宋体" w:hAnsi="宋体" w:eastAsia="宋体" w:cs="宋体"/>
          <w:color w:val="auto"/>
          <w:sz w:val="24"/>
          <w:szCs w:val="24"/>
          <w:highlight w:val="none"/>
        </w:rPr>
        <w:t>空间查询</w:t>
      </w:r>
    </w:p>
    <w:p w14:paraId="6E1B30A9">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通过空间范围查询网格详细信息，支持点选、框选、多边形范围的空间查询。</w:t>
      </w:r>
    </w:p>
    <w:p w14:paraId="1DE81703">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highlight w:val="none"/>
        </w:rPr>
        <w:t> </w:t>
      </w:r>
      <w:r>
        <w:rPr>
          <w:rFonts w:hint="eastAsia" w:ascii="宋体" w:hAnsi="宋体" w:eastAsia="宋体" w:cs="宋体"/>
          <w:color w:val="auto"/>
          <w:sz w:val="24"/>
          <w:szCs w:val="24"/>
          <w:highlight w:val="none"/>
        </w:rPr>
        <w:t>属性查询</w:t>
      </w:r>
    </w:p>
    <w:p w14:paraId="274DEF73">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通过网格的属性（如名称、网格员等）多条件组合的网格信息查询。</w:t>
      </w:r>
    </w:p>
    <w:p w14:paraId="1940553C">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highlight w:val="none"/>
        </w:rPr>
        <w:t> </w:t>
      </w:r>
      <w:r>
        <w:rPr>
          <w:rFonts w:hint="eastAsia" w:ascii="宋体" w:hAnsi="宋体" w:eastAsia="宋体" w:cs="宋体"/>
          <w:color w:val="auto"/>
          <w:sz w:val="24"/>
          <w:szCs w:val="24"/>
          <w:highlight w:val="none"/>
        </w:rPr>
        <w:t>级联查询</w:t>
      </w:r>
    </w:p>
    <w:p w14:paraId="643459D6">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上下级关联网格的级联查询，如查询下级网格列表、查询所属上级网格等。</w:t>
      </w:r>
    </w:p>
    <w:p w14:paraId="024D931C">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互联网地图坐标转换服务</w:t>
      </w:r>
    </w:p>
    <w:p w14:paraId="0F2B6F0D">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实现互联网地图坐标与国家大地2000坐标之间的坐标相互转换的接口，支撑实现互联网地图调用网格数据与查询网格信息。</w:t>
      </w:r>
    </w:p>
    <w:p w14:paraId="28D27096">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互联网地图的网格查询服务</w:t>
      </w:r>
    </w:p>
    <w:p w14:paraId="613930A6">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实现基于互联网地图坐标的网格空间与属性查询服务接口，通过互联网地图坐标查询网格数据，查询结果返回互联网地图坐标系的网格图斑坐标。</w:t>
      </w:r>
    </w:p>
    <w:p w14:paraId="149E41F4">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1.1.5.3 </w:t>
      </w:r>
      <w:r>
        <w:rPr>
          <w:rFonts w:hint="eastAsia" w:ascii="宋体" w:hAnsi="宋体" w:eastAsia="宋体" w:cs="宋体"/>
          <w:color w:val="auto"/>
          <w:sz w:val="28"/>
          <w:szCs w:val="28"/>
          <w:highlight w:val="none"/>
        </w:rPr>
        <w:t>平台接口对接</w:t>
      </w:r>
    </w:p>
    <w:p w14:paraId="48199550">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与微服务管理及容器化云平台进行接口对接，实现系统在容器化云平台的部署运行以及在微服务管理的能力服务集成，统一服务调用入口与鉴权。</w:t>
      </w:r>
    </w:p>
    <w:p w14:paraId="405609AF">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微服务管理接入对接</w:t>
      </w:r>
    </w:p>
    <w:p w14:paraId="10E096FE">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微服务管理的接入规范，与微服务管理进行接口对接，在网格微服务接口开发时添加相关基础包依赖及注册中心配置，实现将网格微服务接口接入微服务平台的注册中心，并完成对接联调，通过微服务管理提供其它应用系统调用。</w:t>
      </w:r>
    </w:p>
    <w:p w14:paraId="29FB1310">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容器化云平台接入对接</w:t>
      </w:r>
    </w:p>
    <w:p w14:paraId="4C59AA5D">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根据容器化云平台的接入规范要求，完成网格空间数据库、数据共享GIS服务平台及网格应用微服务在容器化云平台中的部署集成，并完成对接联调。</w:t>
      </w:r>
    </w:p>
    <w:p w14:paraId="6B8D62E5">
      <w:pPr>
        <w:pStyle w:val="14"/>
        <w:keepNext w:val="0"/>
        <w:keepLines w:val="0"/>
        <w:widowControl/>
        <w:suppressLineNumbers w:val="0"/>
        <w:spacing w:line="288" w:lineRule="atLeast"/>
        <w:ind w:left="9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与福州时空系统对接</w:t>
      </w:r>
    </w:p>
    <w:p w14:paraId="4BA8587A">
      <w:pPr>
        <w:pStyle w:val="14"/>
        <w:keepNext w:val="0"/>
        <w:keepLines w:val="0"/>
        <w:widowControl/>
        <w:suppressLineNumbers w:val="0"/>
        <w:spacing w:line="288" w:lineRule="atLeast"/>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根据时空平台的接入规范，与时空平台进行接口对接，将网格员日常采集到的部件变更数据推送至福州市时空信息公共服务平台，由其进行核实校准发布，建立部件动态更新机制。</w:t>
      </w:r>
    </w:p>
    <w:p w14:paraId="284F4E72">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DF761F9">
      <w:pPr>
        <w:pStyle w:val="14"/>
        <w:keepNext w:val="0"/>
        <w:keepLines w:val="0"/>
        <w:widowControl/>
        <w:suppressLineNumbers w:val="0"/>
        <w:spacing w:line="288" w:lineRule="atLeast"/>
        <w:ind w:left="0" w:firstLine="0"/>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1.1.6 </w:t>
      </w:r>
      <w:r>
        <w:rPr>
          <w:rFonts w:hint="eastAsia" w:ascii="宋体" w:hAnsi="宋体" w:eastAsia="宋体" w:cs="宋体"/>
          <w:color w:val="auto"/>
          <w:sz w:val="28"/>
          <w:szCs w:val="28"/>
          <w:highlight w:val="none"/>
        </w:rPr>
        <w:t>舆情监测系统</w:t>
      </w:r>
    </w:p>
    <w:p w14:paraId="639D1393">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舆情监测系统用于采集本市范围内的城市运行管理服务相 关舆情监测数据，实时掌握本市城市管理工作舆情、重大负面 舆情，转相关部门办理并跟踪督办。与省级平台舆情监测系统 功能一致，市级平台舆情监测系统应包括舆情采集、舆情督办、 舆情分析和舆情报告等功能模块。</w:t>
      </w:r>
    </w:p>
    <w:p w14:paraId="06C1EAA3">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1.1.6.1 </w:t>
      </w:r>
      <w:r>
        <w:rPr>
          <w:rFonts w:hint="eastAsia" w:ascii="宋体" w:hAnsi="宋体" w:eastAsia="宋体" w:cs="宋体"/>
          <w:color w:val="auto"/>
          <w:sz w:val="28"/>
          <w:szCs w:val="28"/>
          <w:highlight w:val="none"/>
        </w:rPr>
        <w:t>信息采集</w:t>
      </w:r>
    </w:p>
    <w:p w14:paraId="6563CEBF">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自动采集系统是舆情监测系统的核心与基础，因此评价一个舆情监测系统是否优秀的重要指标就是自动采集子系统能否将目标信息及时全面地采集到系统中。信息采集子系统的职责是对全部网站进行自动采集。系统内置重点网站有：新华网、人民网等网络平台获取我市城市管理相关的舆情数据。</w:t>
      </w:r>
    </w:p>
    <w:p w14:paraId="6193EFA8">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1.1.6.1.1 </w:t>
      </w:r>
      <w:r>
        <w:rPr>
          <w:rFonts w:hint="eastAsia" w:ascii="宋体" w:hAnsi="宋体" w:eastAsia="宋体" w:cs="宋体"/>
          <w:color w:val="auto"/>
          <w:sz w:val="28"/>
          <w:szCs w:val="28"/>
          <w:highlight w:val="none"/>
        </w:rPr>
        <w:t>定向爬虫服务</w:t>
      </w:r>
    </w:p>
    <w:p w14:paraId="6637D96C">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舆情系统的智能网络爬虫系统，可以实现高质量和快速的抓取，支持对新华网、人民网等主要平台信息的实时抓取。</w:t>
      </w:r>
    </w:p>
    <w:p w14:paraId="10CCADBA">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1.1.6.1.2 </w:t>
      </w:r>
      <w:r>
        <w:rPr>
          <w:rFonts w:hint="eastAsia" w:ascii="宋体" w:hAnsi="宋体" w:eastAsia="宋体" w:cs="宋体"/>
          <w:color w:val="auto"/>
          <w:sz w:val="28"/>
          <w:szCs w:val="28"/>
          <w:highlight w:val="none"/>
        </w:rPr>
        <w:t>多采集线程并行处理</w:t>
      </w:r>
    </w:p>
    <w:p w14:paraId="0232862C">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本子系统可以部署在多台计算机上，实现高效的多线程同时并行处理，减少单一服务器采集压力。</w:t>
      </w:r>
    </w:p>
    <w:p w14:paraId="41890EDE">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1.1.6.1.3 </w:t>
      </w:r>
      <w:r>
        <w:rPr>
          <w:rFonts w:hint="eastAsia" w:ascii="宋体" w:hAnsi="宋体" w:eastAsia="宋体" w:cs="宋体"/>
          <w:color w:val="auto"/>
          <w:sz w:val="28"/>
          <w:szCs w:val="28"/>
          <w:highlight w:val="none"/>
        </w:rPr>
        <w:t>无人值守全天候自动采集</w:t>
      </w:r>
    </w:p>
    <w:p w14:paraId="749A8C87">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可定时运行，也可7x24小时运行，可设置采集时间间隔。</w:t>
      </w:r>
    </w:p>
    <w:p w14:paraId="0292C4DD">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1.1.6.2 </w:t>
      </w:r>
      <w:r>
        <w:rPr>
          <w:rFonts w:hint="eastAsia" w:ascii="宋体" w:hAnsi="宋体" w:eastAsia="宋体" w:cs="宋体"/>
          <w:color w:val="auto"/>
          <w:sz w:val="28"/>
          <w:szCs w:val="28"/>
          <w:highlight w:val="none"/>
        </w:rPr>
        <w:t>信息处理</w:t>
      </w:r>
    </w:p>
    <w:p w14:paraId="39DF6A92">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1.1.6.2.1 </w:t>
      </w:r>
      <w:r>
        <w:rPr>
          <w:rFonts w:hint="eastAsia" w:ascii="宋体" w:hAnsi="宋体" w:eastAsia="宋体" w:cs="宋体"/>
          <w:color w:val="auto"/>
          <w:sz w:val="28"/>
          <w:szCs w:val="28"/>
          <w:highlight w:val="none"/>
        </w:rPr>
        <w:t>垃圾信息过滤</w:t>
      </w:r>
    </w:p>
    <w:p w14:paraId="3C6060FC">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基于机器学习的垃圾过滤机制可以自动过滤广告、水贴等无效垃圾信息。</w:t>
      </w:r>
    </w:p>
    <w:p w14:paraId="1DAF3A9E">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1.1.6.2.2 </w:t>
      </w:r>
      <w:r>
        <w:rPr>
          <w:rFonts w:hint="eastAsia" w:ascii="宋体" w:hAnsi="宋体" w:eastAsia="宋体" w:cs="宋体"/>
          <w:color w:val="auto"/>
          <w:sz w:val="28"/>
          <w:szCs w:val="28"/>
          <w:highlight w:val="none"/>
        </w:rPr>
        <w:t>智能去重</w:t>
      </w:r>
    </w:p>
    <w:p w14:paraId="6F6E0F7E">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采用"文章相似性技术"，根据文档内容的匹配程度确定是否重复．去重的级别；根据不同的需要特点分为：URL去重、标题去重、正文去重三个级别。</w:t>
      </w:r>
    </w:p>
    <w:p w14:paraId="7D5636CB">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1.1.6.2.3 </w:t>
      </w:r>
      <w:r>
        <w:rPr>
          <w:rFonts w:hint="eastAsia" w:ascii="宋体" w:hAnsi="宋体" w:eastAsia="宋体" w:cs="宋体"/>
          <w:color w:val="auto"/>
          <w:sz w:val="28"/>
          <w:szCs w:val="28"/>
          <w:highlight w:val="none"/>
        </w:rPr>
        <w:t>HTML内容提取</w:t>
      </w:r>
    </w:p>
    <w:p w14:paraId="3E5EF009">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采用自主知识产权的HTML网页文本萃取技术自动提取任意复杂网页中的标题、内容、作者、发布时间等信息，自动跟踪文章分页；对于论坛信息自动分析主贴、回帖以及作者等信息．</w:t>
      </w:r>
    </w:p>
    <w:p w14:paraId="383401E7">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1.1.6.2.4 </w:t>
      </w:r>
      <w:r>
        <w:rPr>
          <w:rFonts w:hint="eastAsia" w:ascii="宋体" w:hAnsi="宋体" w:eastAsia="宋体" w:cs="宋体"/>
          <w:color w:val="auto"/>
          <w:sz w:val="28"/>
          <w:szCs w:val="28"/>
          <w:highlight w:val="none"/>
        </w:rPr>
        <w:t>快照保存</w:t>
      </w:r>
    </w:p>
    <w:p w14:paraId="72FB8745">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对于每个经过抓取和处理的网页，系统都存有一个纯文本的备份，方便用户快速浏览，也方便用户查看被删除的文章或帖子。</w:t>
      </w:r>
    </w:p>
    <w:p w14:paraId="02E77D19">
      <w:pPr>
        <w:keepNext w:val="0"/>
        <w:keepLines w:val="0"/>
        <w:widowControl/>
        <w:suppressLineNumbers w:val="0"/>
        <w:spacing w:line="288" w:lineRule="atLeast"/>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1.1.6.3 </w:t>
      </w:r>
      <w:r>
        <w:rPr>
          <w:rFonts w:hint="eastAsia" w:ascii="宋体" w:hAnsi="宋体" w:eastAsia="宋体" w:cs="宋体"/>
          <w:color w:val="auto"/>
          <w:sz w:val="28"/>
          <w:szCs w:val="28"/>
          <w:highlight w:val="none"/>
        </w:rPr>
        <w:t>舆情展示</w:t>
      </w:r>
    </w:p>
    <w:p w14:paraId="56FF346F">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1.1.6.3.1 </w:t>
      </w:r>
      <w:r>
        <w:rPr>
          <w:rFonts w:hint="eastAsia" w:ascii="宋体" w:hAnsi="宋体" w:eastAsia="宋体" w:cs="宋体"/>
          <w:color w:val="auto"/>
          <w:sz w:val="28"/>
          <w:szCs w:val="28"/>
          <w:highlight w:val="none"/>
        </w:rPr>
        <w:t> WEB客户界面</w:t>
      </w:r>
    </w:p>
    <w:p w14:paraId="193B4773">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基于云计算模式，用户可以使用WEB浏览器随时登陆系统，在客户界面对舆情状况进行全面的了解。</w:t>
      </w:r>
    </w:p>
    <w:p w14:paraId="1F1BD3C7">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客户界面包含了如舆情走势、舆情详细信息、最新信息等主要内容，并以列表以及图表展示等可视化方式呈现。</w:t>
      </w:r>
    </w:p>
    <w:p w14:paraId="258EA34B">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实时搜索功能，用户可以自定义搜索条件查看系统内抓取的最新监测信息。</w:t>
      </w:r>
    </w:p>
    <w:p w14:paraId="0348D999">
      <w:pPr>
        <w:keepNext w:val="0"/>
        <w:keepLines w:val="0"/>
        <w:widowControl/>
        <w:suppressLineNumbers w:val="0"/>
        <w:spacing w:line="239" w:lineRule="atLeast"/>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1.1.6.3.2 </w:t>
      </w:r>
      <w:r>
        <w:rPr>
          <w:rFonts w:hint="eastAsia" w:ascii="宋体" w:hAnsi="宋体" w:eastAsia="宋体" w:cs="宋体"/>
          <w:color w:val="auto"/>
          <w:sz w:val="28"/>
          <w:szCs w:val="28"/>
          <w:highlight w:val="none"/>
        </w:rPr>
        <w:t>舆情分析报告</w:t>
      </w:r>
    </w:p>
    <w:p w14:paraId="70C3C39F">
      <w:pPr>
        <w:pStyle w:val="14"/>
        <w:keepNext w:val="0"/>
        <w:keepLines w:val="0"/>
        <w:widowControl/>
        <w:suppressLineNumbers w:val="0"/>
        <w:spacing w:line="288" w:lineRule="atLeast"/>
        <w:ind w:left="21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根据舆情分析引擎处理后的结果库生成报告，用户可通过浏览器浏览，并且可以到处生成为PDF等格式的本地文档。</w:t>
      </w:r>
    </w:p>
    <w:p w14:paraId="2F9A8732">
      <w:pPr>
        <w:pStyle w:val="14"/>
        <w:keepNext w:val="0"/>
        <w:keepLines w:val="0"/>
        <w:widowControl/>
        <w:suppressLineNumbers w:val="0"/>
        <w:spacing w:line="288" w:lineRule="atLeast"/>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1AB1597">
      <w:pPr>
        <w:pStyle w:val="14"/>
        <w:keepNext w:val="0"/>
        <w:keepLines w:val="0"/>
        <w:widowControl/>
        <w:suppressLineNumbers w:val="0"/>
        <w:ind w:left="0" w:firstLine="0"/>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1.1.7 </w:t>
      </w:r>
      <w:r>
        <w:rPr>
          <w:rFonts w:hint="eastAsia" w:ascii="宋体" w:hAnsi="宋体" w:eastAsia="宋体" w:cs="宋体"/>
          <w:color w:val="auto"/>
          <w:sz w:val="28"/>
          <w:szCs w:val="28"/>
          <w:highlight w:val="none"/>
        </w:rPr>
        <w:t>城市自评价系统</w:t>
      </w:r>
    </w:p>
    <w:p w14:paraId="0380308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自评价系统是市级平台的核心系统，根据城市综合管理服务评价工作要求，围绕“干净、整洁、有序、安全、群众满意”等核心指标，开展综合评价工作。市级平台可在城市综合管理服务评价指标体系的基础上，结合实际增加特色型指标。系统提供评价指标管理、评价配置管理、评价指标填报、评价任务管理、评价数据审核、评价结果生成等功能模块。</w:t>
      </w:r>
    </w:p>
    <w:p w14:paraId="596F513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1.1.7.1 </w:t>
      </w:r>
      <w:r>
        <w:rPr>
          <w:rFonts w:hint="eastAsia" w:ascii="宋体" w:hAnsi="宋体" w:eastAsia="宋体" w:cs="宋体"/>
          <w:color w:val="auto"/>
          <w:sz w:val="28"/>
          <w:szCs w:val="28"/>
          <w:highlight w:val="none"/>
        </w:rPr>
        <w:t>评价指标管理</w:t>
      </w:r>
    </w:p>
    <w:p w14:paraId="4AD97A80">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评价考评包括填报核查和现场检查两种考核形式。</w:t>
      </w:r>
      <w:r>
        <w:rPr>
          <w:rStyle w:val="17"/>
          <w:rFonts w:hint="eastAsia" w:ascii="宋体" w:hAnsi="宋体" w:eastAsia="宋体" w:cs="宋体"/>
          <w:color w:val="auto"/>
          <w:sz w:val="24"/>
          <w:szCs w:val="24"/>
          <w:highlight w:val="none"/>
        </w:rPr>
        <w:t>考评指标分为一级指标、二级指标、三级指标和四级指标，每类考核指标下细分检查项。</w:t>
      </w:r>
      <w:r>
        <w:rPr>
          <w:rFonts w:hint="eastAsia" w:ascii="宋体" w:hAnsi="宋体" w:eastAsia="宋体" w:cs="宋体"/>
          <w:color w:val="auto"/>
          <w:sz w:val="24"/>
          <w:szCs w:val="24"/>
          <w:highlight w:val="none"/>
        </w:rPr>
        <w:t>核查类指标主要是通过各个被考评城市主动填报各类指标的相关数据；检查类指标主要通过考评专家成员到达被考评城市现场，进行现场检查打分；检查项属于具体的考评细则，对应于填报核查指标中的填报细项和现场检查指标中的检查细项。</w:t>
      </w:r>
    </w:p>
    <w:p w14:paraId="0882D37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1.1.7.1.1 </w:t>
      </w:r>
      <w:r>
        <w:rPr>
          <w:rFonts w:hint="eastAsia" w:ascii="宋体" w:hAnsi="宋体" w:eastAsia="宋体" w:cs="宋体"/>
          <w:color w:val="auto"/>
          <w:sz w:val="28"/>
          <w:szCs w:val="28"/>
          <w:highlight w:val="none"/>
        </w:rPr>
        <w:t>评价指标定义</w:t>
      </w:r>
    </w:p>
    <w:p w14:paraId="1EBD0504">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考评指标管理支持四级考核指标体系的定义功能，包括定义、指标编号、指标解释、指标名称、考评要求、评价标准、考评方式（填报核查、现场检查）、检查项、计分方法等。</w:t>
      </w:r>
    </w:p>
    <w:p w14:paraId="0CF28AC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1.1.7.1.2 </w:t>
      </w:r>
      <w:r>
        <w:rPr>
          <w:rFonts w:hint="eastAsia" w:ascii="宋体" w:hAnsi="宋体" w:eastAsia="宋体" w:cs="宋体"/>
          <w:color w:val="auto"/>
          <w:sz w:val="28"/>
          <w:szCs w:val="28"/>
          <w:highlight w:val="none"/>
        </w:rPr>
        <w:t>考核项定义</w:t>
      </w:r>
    </w:p>
    <w:p w14:paraId="2DA309C5">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支持指标体系下的考核项（填报项、检查项）定义。</w:t>
      </w:r>
    </w:p>
    <w:p w14:paraId="18C1D1F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1.1.7.1.3 </w:t>
      </w:r>
      <w:r>
        <w:rPr>
          <w:rFonts w:hint="eastAsia" w:ascii="宋体" w:hAnsi="宋体" w:eastAsia="宋体" w:cs="宋体"/>
          <w:color w:val="auto"/>
          <w:sz w:val="28"/>
          <w:szCs w:val="28"/>
          <w:highlight w:val="none"/>
        </w:rPr>
        <w:t>指标计算规则定义</w:t>
      </w:r>
    </w:p>
    <w:p w14:paraId="4D4DD530">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支持指标计算规则定义，通过指标中的考核项进行定义最终的指标计算规则。</w:t>
      </w:r>
    </w:p>
    <w:p w14:paraId="7D9CE42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1.1.7.1.4 </w:t>
      </w:r>
      <w:r>
        <w:rPr>
          <w:rFonts w:hint="eastAsia" w:ascii="宋体" w:hAnsi="宋体" w:eastAsia="宋体" w:cs="宋体"/>
          <w:color w:val="auto"/>
          <w:sz w:val="28"/>
          <w:szCs w:val="28"/>
          <w:highlight w:val="none"/>
        </w:rPr>
        <w:t>评价规则维护</w:t>
      </w:r>
    </w:p>
    <w:p w14:paraId="501491A8">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评价规则维护，支持规则配置，基于指标计算后，能直接计算该指标的评价得分。一种是按照指标结果分段给出等级和相应的得分；另外一种是指标包含多个填报项，每项都有一个达标值，最终按照达标几项计算相应的得分。</w:t>
      </w:r>
    </w:p>
    <w:p w14:paraId="5A435AD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1.1.7.2 </w:t>
      </w:r>
      <w:r>
        <w:rPr>
          <w:rFonts w:hint="eastAsia" w:ascii="宋体" w:hAnsi="宋体" w:eastAsia="宋体" w:cs="宋体"/>
          <w:color w:val="auto"/>
          <w:sz w:val="28"/>
          <w:szCs w:val="28"/>
          <w:highlight w:val="none"/>
        </w:rPr>
        <w:t>评价配置管理</w:t>
      </w:r>
    </w:p>
    <w:p w14:paraId="5357947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1.1.7.2.1 </w:t>
      </w:r>
      <w:r>
        <w:rPr>
          <w:rFonts w:hint="eastAsia" w:ascii="宋体" w:hAnsi="宋体" w:eastAsia="宋体" w:cs="宋体"/>
          <w:color w:val="auto"/>
          <w:sz w:val="28"/>
          <w:szCs w:val="28"/>
          <w:highlight w:val="none"/>
        </w:rPr>
        <w:t>评价样本点管理</w:t>
      </w:r>
    </w:p>
    <w:p w14:paraId="3A863D2F">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用于设定和管理城市现场检查考核的地点和场所，包括：（1）道路：主干道、次干道、支路；（2）公共场所：公园广场、交通枢纽、市场、景区；（3）环卫设施：垃圾收集站、垃圾转运站、公共厕所；（4）水体：河道、湖泊。</w:t>
      </w:r>
    </w:p>
    <w:p w14:paraId="4706FF89">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①新增分组：按照样本库的类别进行分组，如道路、公共场所等。</w:t>
      </w:r>
    </w:p>
    <w:p w14:paraId="5EA920B5">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②样本库类型管理：在分组下新增样本库类型，编辑和删除样本库。属性包括：样本库名称、关联的属性，绑定的检查项。</w:t>
      </w:r>
    </w:p>
    <w:p w14:paraId="3D983D60">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③样本点管理：支持导入样本点，支持新增、编辑、删除样本点。</w:t>
      </w:r>
    </w:p>
    <w:p w14:paraId="3A45BC83">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④属性管理：新增和编辑属性字段名称、字段内容。通用属性包括：样本类型、所属城市等</w:t>
      </w:r>
    </w:p>
    <w:p w14:paraId="260A46D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1.1.7.2.2 </w:t>
      </w:r>
      <w:r>
        <w:rPr>
          <w:rFonts w:hint="eastAsia" w:ascii="宋体" w:hAnsi="宋体" w:eastAsia="宋体" w:cs="宋体"/>
          <w:color w:val="auto"/>
          <w:sz w:val="28"/>
          <w:szCs w:val="28"/>
          <w:highlight w:val="none"/>
        </w:rPr>
        <w:t>评价对象管理</w:t>
      </w:r>
    </w:p>
    <w:p w14:paraId="1C1FBF97">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实现对被考评的城市的维护管理，考评对象的维护管理，包括新增、修改等，支持考评对象按照区域分组管理，主要指各个地级城市。用于支撑后续的考评任务抽取。</w:t>
      </w:r>
    </w:p>
    <w:p w14:paraId="3AD64CB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1.1.7.2.3 </w:t>
      </w:r>
      <w:r>
        <w:rPr>
          <w:rFonts w:hint="eastAsia" w:ascii="宋体" w:hAnsi="宋体" w:eastAsia="宋体" w:cs="宋体"/>
          <w:color w:val="auto"/>
          <w:sz w:val="28"/>
          <w:szCs w:val="28"/>
          <w:highlight w:val="none"/>
        </w:rPr>
        <w:t>评价人员管理</w:t>
      </w:r>
    </w:p>
    <w:p w14:paraId="77680EA9">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考评人员指的是参与实际现场考评的人员，一般是专家组成员。考评人员一般是分组工作，分为多个组，在一个城市同时进行考核，该模块具备以下功能：</w:t>
      </w:r>
    </w:p>
    <w:p w14:paraId="390C7D74">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（1）考评人员分组管理，增加、删除、修改。</w:t>
      </w:r>
    </w:p>
    <w:p w14:paraId="00C562E2">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（2）考评人员管理：增加、删除、修改，主要属性包括姓名、工作编号、手机等。</w:t>
      </w:r>
    </w:p>
    <w:p w14:paraId="17101E45">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（3）考评人员绑定样本点，便于考评人员分组安排。</w:t>
      </w:r>
    </w:p>
    <w:p w14:paraId="28A54AC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1.1.7.3 </w:t>
      </w:r>
      <w:r>
        <w:rPr>
          <w:rFonts w:hint="eastAsia" w:ascii="宋体" w:hAnsi="宋体" w:eastAsia="宋体" w:cs="宋体"/>
          <w:color w:val="auto"/>
          <w:sz w:val="28"/>
          <w:szCs w:val="28"/>
          <w:highlight w:val="none"/>
        </w:rPr>
        <w:t>评价指标填报</w:t>
      </w:r>
    </w:p>
    <w:p w14:paraId="3035E73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1.1.7.3.1 </w:t>
      </w:r>
      <w:r>
        <w:rPr>
          <w:rFonts w:hint="eastAsia" w:ascii="宋体" w:hAnsi="宋体" w:eastAsia="宋体" w:cs="宋体"/>
          <w:color w:val="auto"/>
          <w:sz w:val="28"/>
          <w:szCs w:val="28"/>
          <w:highlight w:val="none"/>
        </w:rPr>
        <w:t>评价指标填报</w:t>
      </w:r>
    </w:p>
    <w:p w14:paraId="6A8B5D21">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根据考评分类体系，该部分填报城市管理的各类运行指标数据，包括城市基础数据和各个相关行业的管理数据，用于评价</w:t>
      </w:r>
      <w:r>
        <w:rPr>
          <w:rStyle w:val="17"/>
          <w:rFonts w:hint="eastAsia" w:ascii="宋体" w:hAnsi="宋体" w:eastAsia="宋体" w:cs="宋体"/>
          <w:color w:val="auto"/>
          <w:sz w:val="24"/>
          <w:szCs w:val="24"/>
          <w:highlight w:val="none"/>
        </w:rPr>
        <w:t>城市综合管理服务水平</w:t>
      </w:r>
      <w:r>
        <w:rPr>
          <w:rFonts w:hint="eastAsia" w:ascii="宋体" w:hAnsi="宋体" w:eastAsia="宋体" w:cs="宋体"/>
          <w:color w:val="auto"/>
          <w:sz w:val="24"/>
          <w:szCs w:val="24"/>
          <w:highlight w:val="none"/>
        </w:rPr>
        <w:t>。</w:t>
      </w:r>
    </w:p>
    <w:p w14:paraId="13EA056A">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（1）支持填报时段，填报内容、填报提交等填报规则设定。</w:t>
      </w:r>
    </w:p>
    <w:p w14:paraId="1B40B25E">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（2）支持</w:t>
      </w:r>
      <w:r>
        <w:rPr>
          <w:rFonts w:hint="eastAsia" w:ascii="宋体" w:hAnsi="宋体" w:eastAsia="宋体" w:cs="宋体"/>
          <w:color w:val="auto"/>
          <w:sz w:val="24"/>
          <w:szCs w:val="24"/>
          <w:highlight w:val="none"/>
        </w:rPr>
        <w:t>填报人信息、城市基础信息、城市运行指标填报内容管理。</w:t>
      </w:r>
    </w:p>
    <w:p w14:paraId="6B4423B2">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（3）填报人信息：</w:t>
      </w:r>
      <w:r>
        <w:rPr>
          <w:rFonts w:hint="eastAsia" w:ascii="宋体" w:hAnsi="宋体" w:eastAsia="宋体" w:cs="宋体"/>
          <w:color w:val="auto"/>
          <w:sz w:val="24"/>
          <w:szCs w:val="24"/>
          <w:highlight w:val="none"/>
        </w:rPr>
        <w:t>填报单位、联系人、联系方式，一般为各地城管局承担填报任务。</w:t>
      </w:r>
    </w:p>
    <w:p w14:paraId="1B7A90FE">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（4）城市基础信息，包括面积：</w:t>
      </w:r>
      <w:r>
        <w:rPr>
          <w:rFonts w:hint="eastAsia" w:ascii="宋体" w:hAnsi="宋体" w:eastAsia="宋体" w:cs="宋体"/>
          <w:color w:val="auto"/>
          <w:sz w:val="24"/>
          <w:szCs w:val="24"/>
          <w:highlight w:val="none"/>
        </w:rPr>
        <w:t>①建成区面积，②中心区建设用地面积，③建成区道路总面积</w:t>
      </w:r>
      <w:r>
        <w:rPr>
          <w:rStyle w:val="17"/>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④建成区内小区总数</w:t>
      </w:r>
      <w:r>
        <w:rPr>
          <w:rStyle w:val="17"/>
          <w:rFonts w:hint="eastAsia" w:ascii="宋体" w:hAnsi="宋体" w:eastAsia="宋体" w:cs="宋体"/>
          <w:color w:val="auto"/>
          <w:sz w:val="24"/>
          <w:szCs w:val="24"/>
          <w:highlight w:val="none"/>
        </w:rPr>
        <w:t>。</w:t>
      </w:r>
    </w:p>
    <w:p w14:paraId="12EF63A9">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（5）人口：</w:t>
      </w:r>
      <w:r>
        <w:rPr>
          <w:rFonts w:hint="eastAsia" w:ascii="宋体" w:hAnsi="宋体" w:eastAsia="宋体" w:cs="宋体"/>
          <w:color w:val="auto"/>
          <w:sz w:val="24"/>
          <w:szCs w:val="24"/>
          <w:highlight w:val="none"/>
        </w:rPr>
        <w:t>①城市常住人口数</w:t>
      </w:r>
      <w:r>
        <w:rPr>
          <w:rStyle w:val="17"/>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②建成区人口，③建城区内居民总户数。</w:t>
      </w:r>
    </w:p>
    <w:p w14:paraId="3576E1F6">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（6）基础数据：</w:t>
      </w:r>
      <w:r>
        <w:rPr>
          <w:rFonts w:hint="eastAsia" w:ascii="宋体" w:hAnsi="宋体" w:eastAsia="宋体" w:cs="宋体"/>
          <w:color w:val="auto"/>
          <w:sz w:val="24"/>
          <w:szCs w:val="24"/>
          <w:highlight w:val="none"/>
        </w:rPr>
        <w:t>在后台统一维护，初始化数据从统计年鉴中获取。</w:t>
      </w:r>
    </w:p>
    <w:p w14:paraId="0AB95B73">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（7）城市运行指标：</w:t>
      </w:r>
      <w:r>
        <w:rPr>
          <w:rFonts w:hint="eastAsia" w:ascii="宋体" w:hAnsi="宋体" w:eastAsia="宋体" w:cs="宋体"/>
          <w:color w:val="auto"/>
          <w:sz w:val="24"/>
          <w:szCs w:val="24"/>
          <w:highlight w:val="none"/>
        </w:rPr>
        <w:t>指标填报项，部分指标数据从基础项加载，不可修改。每项指标后面填写数值、数据来源、提供人、联系方式。数据来源、提供人、联系方式。</w:t>
      </w:r>
    </w:p>
    <w:p w14:paraId="5E40834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1.1.7.3.2 </w:t>
      </w:r>
      <w:r>
        <w:rPr>
          <w:rFonts w:hint="eastAsia" w:ascii="宋体" w:hAnsi="宋体" w:eastAsia="宋体" w:cs="宋体"/>
          <w:color w:val="auto"/>
          <w:sz w:val="28"/>
          <w:szCs w:val="28"/>
          <w:highlight w:val="none"/>
        </w:rPr>
        <w:t>评价指标报送</w:t>
      </w:r>
    </w:p>
    <w:p w14:paraId="1147818F">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被考核对象，在考核填报周期内，按照要求完成所有指标的填报项，然后上报审核，系统可在已报送栏，查看其填报任务状态、报送详情及进度情况，支持时间和填报部门筛选。</w:t>
      </w:r>
    </w:p>
    <w:p w14:paraId="389248B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1.1.7.4 </w:t>
      </w:r>
      <w:r>
        <w:rPr>
          <w:rFonts w:hint="eastAsia" w:ascii="宋体" w:hAnsi="宋体" w:eastAsia="宋体" w:cs="宋体"/>
          <w:color w:val="auto"/>
          <w:sz w:val="28"/>
          <w:szCs w:val="28"/>
          <w:highlight w:val="none"/>
        </w:rPr>
        <w:t>评价数据来源</w:t>
      </w:r>
    </w:p>
    <w:p w14:paraId="36B089F6">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评价数据来源表</w:t>
      </w:r>
    </w:p>
    <w:tbl>
      <w:tblPr>
        <w:tblStyle w:val="15"/>
        <w:tblW w:w="10290"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772"/>
        <w:gridCol w:w="3234"/>
        <w:gridCol w:w="3217"/>
        <w:gridCol w:w="3067"/>
      </w:tblGrid>
      <w:tr w14:paraId="1133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0" w:hRule="atLeast"/>
          <w:tblCellSpacing w:w="15" w:type="dxa"/>
          <w:jc w:val="center"/>
        </w:trPr>
        <w:tc>
          <w:tcPr>
            <w:tcW w:w="727" w:type="dxa"/>
            <w:shd w:val="clear" w:color="auto" w:fill="FEF2CC"/>
            <w:tcMar>
              <w:bottom w:w="0" w:type="dxa"/>
            </w:tcMar>
            <w:vAlign w:val="center"/>
          </w:tcPr>
          <w:p w14:paraId="0B5D3CF2">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序号</w:t>
            </w:r>
          </w:p>
        </w:tc>
        <w:tc>
          <w:tcPr>
            <w:tcW w:w="3204" w:type="dxa"/>
            <w:shd w:val="clear" w:color="auto" w:fill="FEF2CC"/>
            <w:tcMar>
              <w:bottom w:w="0" w:type="dxa"/>
            </w:tcMar>
            <w:vAlign w:val="center"/>
          </w:tcPr>
          <w:p w14:paraId="4C2E55F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指标名称</w:t>
            </w:r>
          </w:p>
        </w:tc>
        <w:tc>
          <w:tcPr>
            <w:tcW w:w="3187" w:type="dxa"/>
            <w:shd w:val="clear" w:color="auto" w:fill="FEF2CC"/>
            <w:tcMar>
              <w:bottom w:w="0" w:type="dxa"/>
            </w:tcMar>
            <w:vAlign w:val="center"/>
          </w:tcPr>
          <w:p w14:paraId="0EBF34A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数据需求</w:t>
            </w:r>
          </w:p>
        </w:tc>
        <w:tc>
          <w:tcPr>
            <w:tcW w:w="3022" w:type="dxa"/>
            <w:shd w:val="clear" w:color="auto" w:fill="FEF2CC"/>
            <w:tcMar>
              <w:bottom w:w="0" w:type="dxa"/>
            </w:tcMar>
            <w:vAlign w:val="center"/>
          </w:tcPr>
          <w:p w14:paraId="174C339C">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数据来源</w:t>
            </w:r>
          </w:p>
        </w:tc>
      </w:tr>
      <w:tr w14:paraId="3A09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A971BF0">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3204" w:type="dxa"/>
            <w:shd w:val="clear" w:color="auto" w:fill="auto"/>
            <w:tcMar>
              <w:bottom w:w="0" w:type="dxa"/>
            </w:tcMar>
            <w:vAlign w:val="center"/>
          </w:tcPr>
          <w:p w14:paraId="579D67A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建成区公厕设置密度（座/平方公里）</w:t>
            </w:r>
          </w:p>
        </w:tc>
        <w:tc>
          <w:tcPr>
            <w:tcW w:w="3187" w:type="dxa"/>
            <w:shd w:val="clear" w:color="auto" w:fill="auto"/>
            <w:tcMar>
              <w:bottom w:w="0" w:type="dxa"/>
            </w:tcMar>
            <w:vAlign w:val="center"/>
          </w:tcPr>
          <w:p w14:paraId="1742312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公厕数据</w:t>
            </w:r>
          </w:p>
        </w:tc>
        <w:tc>
          <w:tcPr>
            <w:tcW w:w="3022" w:type="dxa"/>
            <w:shd w:val="clear" w:color="auto" w:fill="auto"/>
            <w:tcMar>
              <w:bottom w:w="0" w:type="dxa"/>
            </w:tcMar>
            <w:vAlign w:val="center"/>
          </w:tcPr>
          <w:p w14:paraId="7E088C6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72F6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F9C7D38">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p>
        </w:tc>
        <w:tc>
          <w:tcPr>
            <w:tcW w:w="3204" w:type="dxa"/>
            <w:shd w:val="clear" w:color="auto" w:fill="auto"/>
            <w:tcMar>
              <w:bottom w:w="0" w:type="dxa"/>
            </w:tcMar>
            <w:vAlign w:val="center"/>
          </w:tcPr>
          <w:p w14:paraId="1A4A6E7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生活垃圾处理能力与清运量的比例</w:t>
            </w:r>
          </w:p>
        </w:tc>
        <w:tc>
          <w:tcPr>
            <w:tcW w:w="3187" w:type="dxa"/>
            <w:shd w:val="clear" w:color="auto" w:fill="auto"/>
            <w:tcMar>
              <w:bottom w:w="0" w:type="dxa"/>
            </w:tcMar>
            <w:vAlign w:val="center"/>
          </w:tcPr>
          <w:p w14:paraId="1839766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生活垃圾日处理能力（吨/日）</w:t>
            </w:r>
          </w:p>
        </w:tc>
        <w:tc>
          <w:tcPr>
            <w:tcW w:w="3022" w:type="dxa"/>
            <w:shd w:val="clear" w:color="auto" w:fill="auto"/>
            <w:tcMar>
              <w:bottom w:w="0" w:type="dxa"/>
            </w:tcMar>
            <w:vAlign w:val="center"/>
          </w:tcPr>
          <w:p w14:paraId="7646354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6877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C1EE00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w:t>
            </w:r>
          </w:p>
        </w:tc>
        <w:tc>
          <w:tcPr>
            <w:tcW w:w="3204" w:type="dxa"/>
            <w:shd w:val="clear" w:color="auto" w:fill="auto"/>
            <w:tcMar>
              <w:bottom w:w="0" w:type="dxa"/>
            </w:tcMar>
            <w:vAlign w:val="center"/>
          </w:tcPr>
          <w:p w14:paraId="373BB8E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生活垃圾处理能力与清运量的比例</w:t>
            </w:r>
          </w:p>
        </w:tc>
        <w:tc>
          <w:tcPr>
            <w:tcW w:w="3187" w:type="dxa"/>
            <w:shd w:val="clear" w:color="auto" w:fill="auto"/>
            <w:tcMar>
              <w:bottom w:w="0" w:type="dxa"/>
            </w:tcMar>
            <w:vAlign w:val="center"/>
          </w:tcPr>
          <w:p w14:paraId="7811DFA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生活垃圾日清运量（吨/日）</w:t>
            </w:r>
          </w:p>
        </w:tc>
        <w:tc>
          <w:tcPr>
            <w:tcW w:w="3022" w:type="dxa"/>
            <w:shd w:val="clear" w:color="auto" w:fill="auto"/>
            <w:tcMar>
              <w:bottom w:w="0" w:type="dxa"/>
            </w:tcMar>
            <w:vAlign w:val="center"/>
          </w:tcPr>
          <w:p w14:paraId="05664BF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6CA2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3B935C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w:t>
            </w:r>
          </w:p>
        </w:tc>
        <w:tc>
          <w:tcPr>
            <w:tcW w:w="3204" w:type="dxa"/>
            <w:shd w:val="clear" w:color="auto" w:fill="auto"/>
            <w:tcMar>
              <w:bottom w:w="0" w:type="dxa"/>
            </w:tcMar>
            <w:vAlign w:val="center"/>
          </w:tcPr>
          <w:p w14:paraId="53D6652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生活垃圾分类覆盖率（%）</w:t>
            </w:r>
          </w:p>
        </w:tc>
        <w:tc>
          <w:tcPr>
            <w:tcW w:w="3187" w:type="dxa"/>
            <w:shd w:val="clear" w:color="auto" w:fill="auto"/>
            <w:tcMar>
              <w:bottom w:w="0" w:type="dxa"/>
            </w:tcMar>
            <w:vAlign w:val="center"/>
          </w:tcPr>
          <w:p w14:paraId="524E56E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城市建成区内已建成小区中实施垃圾分类的数量</w:t>
            </w:r>
          </w:p>
        </w:tc>
        <w:tc>
          <w:tcPr>
            <w:tcW w:w="3022" w:type="dxa"/>
            <w:shd w:val="clear" w:color="auto" w:fill="auto"/>
            <w:tcMar>
              <w:bottom w:w="0" w:type="dxa"/>
            </w:tcMar>
            <w:vAlign w:val="center"/>
          </w:tcPr>
          <w:p w14:paraId="4FC0802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09B9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60E6D3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w:t>
            </w:r>
          </w:p>
        </w:tc>
        <w:tc>
          <w:tcPr>
            <w:tcW w:w="3204" w:type="dxa"/>
            <w:shd w:val="clear" w:color="auto" w:fill="auto"/>
            <w:tcMar>
              <w:bottom w:w="0" w:type="dxa"/>
            </w:tcMar>
            <w:vAlign w:val="center"/>
          </w:tcPr>
          <w:p w14:paraId="3543EC7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生活垃圾分类覆盖率（%）</w:t>
            </w:r>
          </w:p>
        </w:tc>
        <w:tc>
          <w:tcPr>
            <w:tcW w:w="3187" w:type="dxa"/>
            <w:shd w:val="clear" w:color="auto" w:fill="auto"/>
            <w:tcMar>
              <w:bottom w:w="0" w:type="dxa"/>
            </w:tcMar>
            <w:vAlign w:val="center"/>
          </w:tcPr>
          <w:p w14:paraId="3E11695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城市已建成小区的数量</w:t>
            </w:r>
          </w:p>
        </w:tc>
        <w:tc>
          <w:tcPr>
            <w:tcW w:w="3022" w:type="dxa"/>
            <w:shd w:val="clear" w:color="auto" w:fill="auto"/>
            <w:tcMar>
              <w:bottom w:w="0" w:type="dxa"/>
            </w:tcMar>
            <w:vAlign w:val="center"/>
          </w:tcPr>
          <w:p w14:paraId="47B30CF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2AD5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F051A2C">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w:t>
            </w:r>
          </w:p>
        </w:tc>
        <w:tc>
          <w:tcPr>
            <w:tcW w:w="3204" w:type="dxa"/>
            <w:shd w:val="clear" w:color="auto" w:fill="auto"/>
            <w:tcMar>
              <w:bottom w:w="0" w:type="dxa"/>
            </w:tcMar>
            <w:vAlign w:val="center"/>
          </w:tcPr>
          <w:p w14:paraId="64726D3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道路清扫覆盖率（%）</w:t>
            </w:r>
          </w:p>
        </w:tc>
        <w:tc>
          <w:tcPr>
            <w:tcW w:w="3187" w:type="dxa"/>
            <w:shd w:val="clear" w:color="auto" w:fill="auto"/>
            <w:tcMar>
              <w:bottom w:w="0" w:type="dxa"/>
            </w:tcMar>
            <w:vAlign w:val="center"/>
          </w:tcPr>
          <w:p w14:paraId="29903DF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城市道路中实行清扫保洁的道路面积</w:t>
            </w:r>
          </w:p>
        </w:tc>
        <w:tc>
          <w:tcPr>
            <w:tcW w:w="3022" w:type="dxa"/>
            <w:shd w:val="clear" w:color="auto" w:fill="auto"/>
            <w:tcMar>
              <w:bottom w:w="0" w:type="dxa"/>
            </w:tcMar>
            <w:vAlign w:val="center"/>
          </w:tcPr>
          <w:p w14:paraId="1FFFE5F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5D7F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1D20CEC">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w:t>
            </w:r>
          </w:p>
        </w:tc>
        <w:tc>
          <w:tcPr>
            <w:tcW w:w="3204" w:type="dxa"/>
            <w:shd w:val="clear" w:color="auto" w:fill="auto"/>
            <w:tcMar>
              <w:bottom w:w="0" w:type="dxa"/>
            </w:tcMar>
            <w:vAlign w:val="center"/>
          </w:tcPr>
          <w:p w14:paraId="05BEE72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道路清扫覆盖率（%）</w:t>
            </w:r>
          </w:p>
        </w:tc>
        <w:tc>
          <w:tcPr>
            <w:tcW w:w="3187" w:type="dxa"/>
            <w:shd w:val="clear" w:color="auto" w:fill="auto"/>
            <w:tcMar>
              <w:bottom w:w="0" w:type="dxa"/>
            </w:tcMar>
            <w:vAlign w:val="center"/>
          </w:tcPr>
          <w:p w14:paraId="72CD0CD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城市道路总面积</w:t>
            </w:r>
          </w:p>
        </w:tc>
        <w:tc>
          <w:tcPr>
            <w:tcW w:w="3022" w:type="dxa"/>
            <w:shd w:val="clear" w:color="auto" w:fill="auto"/>
            <w:tcMar>
              <w:bottom w:w="0" w:type="dxa"/>
            </w:tcMar>
            <w:vAlign w:val="center"/>
          </w:tcPr>
          <w:p w14:paraId="724EEBC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0A30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32AC3A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w:t>
            </w:r>
          </w:p>
        </w:tc>
        <w:tc>
          <w:tcPr>
            <w:tcW w:w="3204" w:type="dxa"/>
            <w:shd w:val="clear" w:color="auto" w:fill="auto"/>
            <w:tcMar>
              <w:bottom w:w="0" w:type="dxa"/>
            </w:tcMar>
            <w:vAlign w:val="center"/>
          </w:tcPr>
          <w:p w14:paraId="193AE5E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各级道路巡回保洁时间（小时/日）</w:t>
            </w:r>
          </w:p>
        </w:tc>
        <w:tc>
          <w:tcPr>
            <w:tcW w:w="3187" w:type="dxa"/>
            <w:shd w:val="clear" w:color="auto" w:fill="auto"/>
            <w:tcMar>
              <w:bottom w:w="0" w:type="dxa"/>
            </w:tcMar>
            <w:vAlign w:val="center"/>
          </w:tcPr>
          <w:p w14:paraId="453D12C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各级道路巡回保洁时间</w:t>
            </w:r>
          </w:p>
        </w:tc>
        <w:tc>
          <w:tcPr>
            <w:tcW w:w="3022" w:type="dxa"/>
            <w:shd w:val="clear" w:color="auto" w:fill="auto"/>
            <w:tcMar>
              <w:bottom w:w="0" w:type="dxa"/>
            </w:tcMar>
            <w:vAlign w:val="center"/>
          </w:tcPr>
          <w:p w14:paraId="486D084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687A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36217A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w:t>
            </w:r>
          </w:p>
        </w:tc>
        <w:tc>
          <w:tcPr>
            <w:tcW w:w="3204" w:type="dxa"/>
            <w:shd w:val="clear" w:color="auto" w:fill="auto"/>
            <w:tcMar>
              <w:bottom w:w="0" w:type="dxa"/>
            </w:tcMar>
            <w:vAlign w:val="center"/>
          </w:tcPr>
          <w:p w14:paraId="65CBF7C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机械化清扫覆盖率（%）</w:t>
            </w:r>
          </w:p>
        </w:tc>
        <w:tc>
          <w:tcPr>
            <w:tcW w:w="3187" w:type="dxa"/>
            <w:shd w:val="clear" w:color="auto" w:fill="auto"/>
            <w:tcMar>
              <w:bottom w:w="0" w:type="dxa"/>
            </w:tcMar>
            <w:vAlign w:val="center"/>
          </w:tcPr>
          <w:p w14:paraId="5AC24D4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采用环卫机械化清扫作业，并达到作业规范和质量要求的道路面积</w:t>
            </w:r>
          </w:p>
        </w:tc>
        <w:tc>
          <w:tcPr>
            <w:tcW w:w="3022" w:type="dxa"/>
            <w:shd w:val="clear" w:color="auto" w:fill="auto"/>
            <w:tcMar>
              <w:bottom w:w="0" w:type="dxa"/>
            </w:tcMar>
            <w:vAlign w:val="center"/>
          </w:tcPr>
          <w:p w14:paraId="05CE5E2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10FE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2BFDEA2">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w:t>
            </w:r>
          </w:p>
        </w:tc>
        <w:tc>
          <w:tcPr>
            <w:tcW w:w="3204" w:type="dxa"/>
            <w:shd w:val="clear" w:color="auto" w:fill="auto"/>
            <w:tcMar>
              <w:bottom w:w="0" w:type="dxa"/>
            </w:tcMar>
            <w:vAlign w:val="center"/>
          </w:tcPr>
          <w:p w14:paraId="11484D7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机械化清扫覆盖率（%）</w:t>
            </w:r>
          </w:p>
        </w:tc>
        <w:tc>
          <w:tcPr>
            <w:tcW w:w="3187" w:type="dxa"/>
            <w:shd w:val="clear" w:color="auto" w:fill="auto"/>
            <w:tcMar>
              <w:bottom w:w="0" w:type="dxa"/>
            </w:tcMar>
            <w:vAlign w:val="center"/>
          </w:tcPr>
          <w:p w14:paraId="46822C4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城市清扫保洁道路总面积</w:t>
            </w:r>
          </w:p>
        </w:tc>
        <w:tc>
          <w:tcPr>
            <w:tcW w:w="3022" w:type="dxa"/>
            <w:shd w:val="clear" w:color="auto" w:fill="auto"/>
            <w:tcMar>
              <w:bottom w:w="0" w:type="dxa"/>
            </w:tcMar>
            <w:vAlign w:val="center"/>
          </w:tcPr>
          <w:p w14:paraId="42744D0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0BD4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9782D8F">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11</w:t>
            </w:r>
          </w:p>
        </w:tc>
        <w:tc>
          <w:tcPr>
            <w:tcW w:w="3204" w:type="dxa"/>
            <w:shd w:val="clear" w:color="auto" w:fill="auto"/>
            <w:tcMar>
              <w:bottom w:w="0" w:type="dxa"/>
            </w:tcMar>
            <w:vAlign w:val="center"/>
          </w:tcPr>
          <w:p w14:paraId="1FBB61C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渣土全流程监管达标率（%）</w:t>
            </w:r>
          </w:p>
        </w:tc>
        <w:tc>
          <w:tcPr>
            <w:tcW w:w="3187" w:type="dxa"/>
            <w:shd w:val="clear" w:color="auto" w:fill="auto"/>
            <w:tcMar>
              <w:bottom w:w="0" w:type="dxa"/>
            </w:tcMar>
            <w:vAlign w:val="center"/>
          </w:tcPr>
          <w:p w14:paraId="7D95096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单位达标率</w:t>
            </w:r>
          </w:p>
        </w:tc>
        <w:tc>
          <w:tcPr>
            <w:tcW w:w="3022" w:type="dxa"/>
            <w:shd w:val="clear" w:color="auto" w:fill="auto"/>
            <w:tcMar>
              <w:bottom w:w="0" w:type="dxa"/>
            </w:tcMar>
            <w:vAlign w:val="center"/>
          </w:tcPr>
          <w:p w14:paraId="6003F7D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2635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E97064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12</w:t>
            </w:r>
          </w:p>
        </w:tc>
        <w:tc>
          <w:tcPr>
            <w:tcW w:w="3204" w:type="dxa"/>
            <w:shd w:val="clear" w:color="auto" w:fill="auto"/>
            <w:tcMar>
              <w:bottom w:w="0" w:type="dxa"/>
            </w:tcMar>
            <w:vAlign w:val="center"/>
          </w:tcPr>
          <w:p w14:paraId="266F5C1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渣土全流程监管达标率（%）</w:t>
            </w:r>
          </w:p>
        </w:tc>
        <w:tc>
          <w:tcPr>
            <w:tcW w:w="3187" w:type="dxa"/>
            <w:shd w:val="clear" w:color="auto" w:fill="auto"/>
            <w:tcMar>
              <w:bottom w:w="0" w:type="dxa"/>
            </w:tcMar>
            <w:vAlign w:val="center"/>
          </w:tcPr>
          <w:p w14:paraId="67814CB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车辆合格率</w:t>
            </w:r>
          </w:p>
        </w:tc>
        <w:tc>
          <w:tcPr>
            <w:tcW w:w="3022" w:type="dxa"/>
            <w:shd w:val="clear" w:color="auto" w:fill="auto"/>
            <w:tcMar>
              <w:bottom w:w="0" w:type="dxa"/>
            </w:tcMar>
            <w:vAlign w:val="center"/>
          </w:tcPr>
          <w:p w14:paraId="0A63B89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00C9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3AD37B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13</w:t>
            </w:r>
          </w:p>
        </w:tc>
        <w:tc>
          <w:tcPr>
            <w:tcW w:w="3204" w:type="dxa"/>
            <w:shd w:val="clear" w:color="auto" w:fill="auto"/>
            <w:tcMar>
              <w:bottom w:w="0" w:type="dxa"/>
            </w:tcMar>
            <w:vAlign w:val="center"/>
          </w:tcPr>
          <w:p w14:paraId="11D00D6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渣土全流程监管达标率（%）</w:t>
            </w:r>
          </w:p>
        </w:tc>
        <w:tc>
          <w:tcPr>
            <w:tcW w:w="3187" w:type="dxa"/>
            <w:shd w:val="clear" w:color="auto" w:fill="auto"/>
            <w:tcMar>
              <w:bottom w:w="0" w:type="dxa"/>
            </w:tcMar>
            <w:vAlign w:val="center"/>
          </w:tcPr>
          <w:p w14:paraId="7317B53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处置核准达标率</w:t>
            </w:r>
          </w:p>
        </w:tc>
        <w:tc>
          <w:tcPr>
            <w:tcW w:w="3022" w:type="dxa"/>
            <w:shd w:val="clear" w:color="auto" w:fill="auto"/>
            <w:tcMar>
              <w:bottom w:w="0" w:type="dxa"/>
            </w:tcMar>
            <w:vAlign w:val="center"/>
          </w:tcPr>
          <w:p w14:paraId="03A0D30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4153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F8B6DA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14</w:t>
            </w:r>
          </w:p>
        </w:tc>
        <w:tc>
          <w:tcPr>
            <w:tcW w:w="3204" w:type="dxa"/>
            <w:shd w:val="clear" w:color="auto" w:fill="auto"/>
            <w:tcMar>
              <w:bottom w:w="0" w:type="dxa"/>
            </w:tcMar>
            <w:vAlign w:val="center"/>
          </w:tcPr>
          <w:p w14:paraId="2753077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渣土全流程监管达标率（%）</w:t>
            </w:r>
          </w:p>
        </w:tc>
        <w:tc>
          <w:tcPr>
            <w:tcW w:w="3187" w:type="dxa"/>
            <w:shd w:val="clear" w:color="auto" w:fill="auto"/>
            <w:tcMar>
              <w:bottom w:w="0" w:type="dxa"/>
            </w:tcMar>
            <w:vAlign w:val="center"/>
          </w:tcPr>
          <w:p w14:paraId="58D17FB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消纳场所达标率</w:t>
            </w:r>
          </w:p>
        </w:tc>
        <w:tc>
          <w:tcPr>
            <w:tcW w:w="3022" w:type="dxa"/>
            <w:shd w:val="clear" w:color="auto" w:fill="auto"/>
            <w:tcMar>
              <w:bottom w:w="0" w:type="dxa"/>
            </w:tcMar>
            <w:vAlign w:val="center"/>
          </w:tcPr>
          <w:p w14:paraId="2513874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18A6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E34A2F0">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15</w:t>
            </w:r>
          </w:p>
        </w:tc>
        <w:tc>
          <w:tcPr>
            <w:tcW w:w="3204" w:type="dxa"/>
            <w:shd w:val="clear" w:color="auto" w:fill="auto"/>
            <w:tcMar>
              <w:bottom w:w="0" w:type="dxa"/>
            </w:tcMar>
            <w:vAlign w:val="center"/>
          </w:tcPr>
          <w:p w14:paraId="6C78A22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渣土消纳能力与清运量的比例</w:t>
            </w:r>
          </w:p>
        </w:tc>
        <w:tc>
          <w:tcPr>
            <w:tcW w:w="3187" w:type="dxa"/>
            <w:shd w:val="clear" w:color="auto" w:fill="auto"/>
            <w:tcMar>
              <w:bottom w:w="0" w:type="dxa"/>
            </w:tcMar>
            <w:vAlign w:val="center"/>
          </w:tcPr>
          <w:p w14:paraId="1B43603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城市渣土清运总量（吨/日）</w:t>
            </w:r>
          </w:p>
        </w:tc>
        <w:tc>
          <w:tcPr>
            <w:tcW w:w="3022" w:type="dxa"/>
            <w:shd w:val="clear" w:color="auto" w:fill="auto"/>
            <w:tcMar>
              <w:bottom w:w="0" w:type="dxa"/>
            </w:tcMar>
            <w:vAlign w:val="center"/>
          </w:tcPr>
          <w:p w14:paraId="62C6E8B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07DF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DACDAD1">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16</w:t>
            </w:r>
          </w:p>
        </w:tc>
        <w:tc>
          <w:tcPr>
            <w:tcW w:w="3204" w:type="dxa"/>
            <w:shd w:val="clear" w:color="auto" w:fill="auto"/>
            <w:tcMar>
              <w:bottom w:w="0" w:type="dxa"/>
            </w:tcMar>
            <w:vAlign w:val="center"/>
          </w:tcPr>
          <w:p w14:paraId="57DFD94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渣土消纳能力与清运量的比例</w:t>
            </w:r>
          </w:p>
        </w:tc>
        <w:tc>
          <w:tcPr>
            <w:tcW w:w="3187" w:type="dxa"/>
            <w:shd w:val="clear" w:color="auto" w:fill="auto"/>
            <w:tcMar>
              <w:bottom w:w="0" w:type="dxa"/>
            </w:tcMar>
            <w:vAlign w:val="center"/>
          </w:tcPr>
          <w:p w14:paraId="090C8E4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城市渣土消纳能力（吨/日）</w:t>
            </w:r>
          </w:p>
        </w:tc>
        <w:tc>
          <w:tcPr>
            <w:tcW w:w="3022" w:type="dxa"/>
            <w:shd w:val="clear" w:color="auto" w:fill="auto"/>
            <w:tcMar>
              <w:bottom w:w="0" w:type="dxa"/>
            </w:tcMar>
            <w:vAlign w:val="center"/>
          </w:tcPr>
          <w:p w14:paraId="0FFB481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422C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02B05C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17</w:t>
            </w:r>
          </w:p>
        </w:tc>
        <w:tc>
          <w:tcPr>
            <w:tcW w:w="3204" w:type="dxa"/>
            <w:shd w:val="clear" w:color="auto" w:fill="auto"/>
            <w:tcMar>
              <w:bottom w:w="0" w:type="dxa"/>
            </w:tcMar>
            <w:vAlign w:val="center"/>
          </w:tcPr>
          <w:p w14:paraId="727B30B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门前责任区制度履约率（%）</w:t>
            </w:r>
          </w:p>
        </w:tc>
        <w:tc>
          <w:tcPr>
            <w:tcW w:w="3187" w:type="dxa"/>
            <w:shd w:val="clear" w:color="auto" w:fill="auto"/>
            <w:tcMar>
              <w:bottom w:w="0" w:type="dxa"/>
            </w:tcMar>
            <w:vAlign w:val="center"/>
          </w:tcPr>
          <w:p w14:paraId="59C7011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现场抽查评分</w:t>
            </w:r>
          </w:p>
        </w:tc>
        <w:tc>
          <w:tcPr>
            <w:tcW w:w="3022" w:type="dxa"/>
            <w:shd w:val="clear" w:color="auto" w:fill="auto"/>
            <w:tcMar>
              <w:bottom w:w="0" w:type="dxa"/>
            </w:tcMar>
            <w:vAlign w:val="center"/>
          </w:tcPr>
          <w:p w14:paraId="74DF3AC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7815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8A8721C">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18</w:t>
            </w:r>
          </w:p>
        </w:tc>
        <w:tc>
          <w:tcPr>
            <w:tcW w:w="3204" w:type="dxa"/>
            <w:shd w:val="clear" w:color="auto" w:fill="auto"/>
            <w:tcMar>
              <w:bottom w:w="0" w:type="dxa"/>
            </w:tcMar>
            <w:vAlign w:val="center"/>
          </w:tcPr>
          <w:p w14:paraId="13A4704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道路干净</w:t>
            </w:r>
          </w:p>
        </w:tc>
        <w:tc>
          <w:tcPr>
            <w:tcW w:w="3187" w:type="dxa"/>
            <w:shd w:val="clear" w:color="auto" w:fill="auto"/>
            <w:tcMar>
              <w:bottom w:w="0" w:type="dxa"/>
            </w:tcMar>
            <w:vAlign w:val="center"/>
          </w:tcPr>
          <w:p w14:paraId="2DA577D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现场抽查评分</w:t>
            </w:r>
          </w:p>
        </w:tc>
        <w:tc>
          <w:tcPr>
            <w:tcW w:w="3022" w:type="dxa"/>
            <w:shd w:val="clear" w:color="auto" w:fill="auto"/>
            <w:tcMar>
              <w:bottom w:w="0" w:type="dxa"/>
            </w:tcMar>
            <w:vAlign w:val="center"/>
          </w:tcPr>
          <w:p w14:paraId="41C8399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51D5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0DD4D66">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19</w:t>
            </w:r>
          </w:p>
        </w:tc>
        <w:tc>
          <w:tcPr>
            <w:tcW w:w="3204" w:type="dxa"/>
            <w:shd w:val="clear" w:color="auto" w:fill="auto"/>
            <w:tcMar>
              <w:bottom w:w="0" w:type="dxa"/>
            </w:tcMar>
            <w:vAlign w:val="center"/>
          </w:tcPr>
          <w:p w14:paraId="35EF906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建构筑物立面干净</w:t>
            </w:r>
          </w:p>
        </w:tc>
        <w:tc>
          <w:tcPr>
            <w:tcW w:w="3187" w:type="dxa"/>
            <w:shd w:val="clear" w:color="auto" w:fill="auto"/>
            <w:tcMar>
              <w:bottom w:w="0" w:type="dxa"/>
            </w:tcMar>
            <w:vAlign w:val="center"/>
          </w:tcPr>
          <w:p w14:paraId="37C2D53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现场抽查评分</w:t>
            </w:r>
          </w:p>
        </w:tc>
        <w:tc>
          <w:tcPr>
            <w:tcW w:w="3022" w:type="dxa"/>
            <w:shd w:val="clear" w:color="auto" w:fill="auto"/>
            <w:tcMar>
              <w:bottom w:w="0" w:type="dxa"/>
            </w:tcMar>
            <w:vAlign w:val="center"/>
          </w:tcPr>
          <w:p w14:paraId="539C1AB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1B24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77FB8A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20</w:t>
            </w:r>
          </w:p>
        </w:tc>
        <w:tc>
          <w:tcPr>
            <w:tcW w:w="3204" w:type="dxa"/>
            <w:shd w:val="clear" w:color="auto" w:fill="auto"/>
            <w:tcMar>
              <w:bottom w:w="0" w:type="dxa"/>
            </w:tcMar>
            <w:vAlign w:val="center"/>
          </w:tcPr>
          <w:p w14:paraId="7E58B3F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公共场所干净</w:t>
            </w:r>
          </w:p>
        </w:tc>
        <w:tc>
          <w:tcPr>
            <w:tcW w:w="3187" w:type="dxa"/>
            <w:shd w:val="clear" w:color="auto" w:fill="auto"/>
            <w:tcMar>
              <w:bottom w:w="0" w:type="dxa"/>
            </w:tcMar>
            <w:vAlign w:val="center"/>
          </w:tcPr>
          <w:p w14:paraId="0F76F36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现场抽查评分</w:t>
            </w:r>
          </w:p>
        </w:tc>
        <w:tc>
          <w:tcPr>
            <w:tcW w:w="3022" w:type="dxa"/>
            <w:shd w:val="clear" w:color="auto" w:fill="auto"/>
            <w:tcMar>
              <w:bottom w:w="0" w:type="dxa"/>
            </w:tcMar>
            <w:vAlign w:val="center"/>
          </w:tcPr>
          <w:p w14:paraId="340B949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福州市商务局、福州市交通局</w:t>
            </w:r>
          </w:p>
        </w:tc>
      </w:tr>
      <w:tr w14:paraId="229A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90" w:hRule="atLeast"/>
          <w:tblCellSpacing w:w="15" w:type="dxa"/>
          <w:jc w:val="center"/>
        </w:trPr>
        <w:tc>
          <w:tcPr>
            <w:tcW w:w="727" w:type="dxa"/>
            <w:shd w:val="clear" w:color="auto" w:fill="auto"/>
            <w:tcMar>
              <w:bottom w:w="0" w:type="dxa"/>
            </w:tcMar>
            <w:vAlign w:val="center"/>
          </w:tcPr>
          <w:p w14:paraId="34BDDC62">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21</w:t>
            </w:r>
          </w:p>
        </w:tc>
        <w:tc>
          <w:tcPr>
            <w:tcW w:w="3204" w:type="dxa"/>
            <w:shd w:val="clear" w:color="auto" w:fill="auto"/>
            <w:tcMar>
              <w:bottom w:w="0" w:type="dxa"/>
            </w:tcMar>
            <w:vAlign w:val="center"/>
          </w:tcPr>
          <w:p w14:paraId="721A7ED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水体干净（不黑不臭）</w:t>
            </w:r>
          </w:p>
        </w:tc>
        <w:tc>
          <w:tcPr>
            <w:tcW w:w="3187" w:type="dxa"/>
            <w:shd w:val="clear" w:color="auto" w:fill="auto"/>
            <w:tcMar>
              <w:bottom w:w="0" w:type="dxa"/>
            </w:tcMar>
            <w:vAlign w:val="center"/>
          </w:tcPr>
          <w:p w14:paraId="4985C5E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现场抽查评分</w:t>
            </w:r>
          </w:p>
        </w:tc>
        <w:tc>
          <w:tcPr>
            <w:tcW w:w="3022" w:type="dxa"/>
            <w:shd w:val="clear" w:color="auto" w:fill="auto"/>
            <w:tcMar>
              <w:bottom w:w="0" w:type="dxa"/>
            </w:tcMar>
            <w:vAlign w:val="center"/>
          </w:tcPr>
          <w:p w14:paraId="544DB06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福州市城乡建设局、福州市城市管理委员会、福州市生态环境局、福州市市场监督局、福州市住房保障和房产管理局</w:t>
            </w:r>
          </w:p>
        </w:tc>
      </w:tr>
      <w:tr w14:paraId="32B4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6270FD6">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22</w:t>
            </w:r>
          </w:p>
        </w:tc>
        <w:tc>
          <w:tcPr>
            <w:tcW w:w="3204" w:type="dxa"/>
            <w:shd w:val="clear" w:color="auto" w:fill="auto"/>
            <w:tcMar>
              <w:bottom w:w="0" w:type="dxa"/>
            </w:tcMar>
            <w:vAlign w:val="center"/>
          </w:tcPr>
          <w:p w14:paraId="773177C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建成区公园绿地服务半径覆盖率（%）</w:t>
            </w:r>
          </w:p>
        </w:tc>
        <w:tc>
          <w:tcPr>
            <w:tcW w:w="3187" w:type="dxa"/>
            <w:shd w:val="clear" w:color="auto" w:fill="auto"/>
            <w:tcMar>
              <w:bottom w:w="0" w:type="dxa"/>
            </w:tcMar>
            <w:vAlign w:val="center"/>
          </w:tcPr>
          <w:p w14:paraId="2CAFBA7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公园绿地服务半径覆盖的居住用地面积</w:t>
            </w:r>
          </w:p>
        </w:tc>
        <w:tc>
          <w:tcPr>
            <w:tcW w:w="3022" w:type="dxa"/>
            <w:shd w:val="clear" w:color="auto" w:fill="auto"/>
            <w:tcMar>
              <w:bottom w:w="0" w:type="dxa"/>
            </w:tcMar>
            <w:vAlign w:val="center"/>
          </w:tcPr>
          <w:p w14:paraId="07481BC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7383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FED969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23</w:t>
            </w:r>
          </w:p>
        </w:tc>
        <w:tc>
          <w:tcPr>
            <w:tcW w:w="3204" w:type="dxa"/>
            <w:shd w:val="clear" w:color="auto" w:fill="auto"/>
            <w:tcMar>
              <w:bottom w:w="0" w:type="dxa"/>
            </w:tcMar>
            <w:vAlign w:val="center"/>
          </w:tcPr>
          <w:p w14:paraId="3E78E3A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建成区绿地率（%）</w:t>
            </w:r>
          </w:p>
        </w:tc>
        <w:tc>
          <w:tcPr>
            <w:tcW w:w="3187" w:type="dxa"/>
            <w:shd w:val="clear" w:color="auto" w:fill="auto"/>
            <w:tcMar>
              <w:bottom w:w="0" w:type="dxa"/>
            </w:tcMar>
            <w:vAlign w:val="center"/>
          </w:tcPr>
          <w:p w14:paraId="7779516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公园绿地面积</w:t>
            </w:r>
          </w:p>
        </w:tc>
        <w:tc>
          <w:tcPr>
            <w:tcW w:w="3022" w:type="dxa"/>
            <w:shd w:val="clear" w:color="auto" w:fill="auto"/>
            <w:tcMar>
              <w:bottom w:w="0" w:type="dxa"/>
            </w:tcMar>
            <w:vAlign w:val="center"/>
          </w:tcPr>
          <w:p w14:paraId="47A4821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470F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A6BCF3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24</w:t>
            </w:r>
          </w:p>
        </w:tc>
        <w:tc>
          <w:tcPr>
            <w:tcW w:w="3204" w:type="dxa"/>
            <w:shd w:val="clear" w:color="auto" w:fill="auto"/>
            <w:tcMar>
              <w:bottom w:w="0" w:type="dxa"/>
            </w:tcMar>
            <w:vAlign w:val="center"/>
          </w:tcPr>
          <w:p w14:paraId="1B717FF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建成区绿地率（%）</w:t>
            </w:r>
          </w:p>
        </w:tc>
        <w:tc>
          <w:tcPr>
            <w:tcW w:w="3187" w:type="dxa"/>
            <w:shd w:val="clear" w:color="auto" w:fill="auto"/>
            <w:tcMar>
              <w:bottom w:w="0" w:type="dxa"/>
            </w:tcMar>
            <w:vAlign w:val="center"/>
          </w:tcPr>
          <w:p w14:paraId="1FE23DE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防护绿地面积</w:t>
            </w:r>
          </w:p>
        </w:tc>
        <w:tc>
          <w:tcPr>
            <w:tcW w:w="3022" w:type="dxa"/>
            <w:shd w:val="clear" w:color="auto" w:fill="auto"/>
            <w:tcMar>
              <w:bottom w:w="0" w:type="dxa"/>
            </w:tcMar>
            <w:vAlign w:val="center"/>
          </w:tcPr>
          <w:p w14:paraId="38A069A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343B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3419B08">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25</w:t>
            </w:r>
          </w:p>
        </w:tc>
        <w:tc>
          <w:tcPr>
            <w:tcW w:w="3204" w:type="dxa"/>
            <w:shd w:val="clear" w:color="auto" w:fill="auto"/>
            <w:tcMar>
              <w:bottom w:w="0" w:type="dxa"/>
            </w:tcMar>
            <w:vAlign w:val="center"/>
          </w:tcPr>
          <w:p w14:paraId="33B85D2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建成区绿地率（%）</w:t>
            </w:r>
          </w:p>
        </w:tc>
        <w:tc>
          <w:tcPr>
            <w:tcW w:w="3187" w:type="dxa"/>
            <w:shd w:val="clear" w:color="auto" w:fill="auto"/>
            <w:tcMar>
              <w:bottom w:w="0" w:type="dxa"/>
            </w:tcMar>
            <w:vAlign w:val="center"/>
          </w:tcPr>
          <w:p w14:paraId="5C9D99E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广场用地中的绿地面积</w:t>
            </w:r>
          </w:p>
        </w:tc>
        <w:tc>
          <w:tcPr>
            <w:tcW w:w="3022" w:type="dxa"/>
            <w:shd w:val="clear" w:color="auto" w:fill="auto"/>
            <w:tcMar>
              <w:bottom w:w="0" w:type="dxa"/>
            </w:tcMar>
            <w:vAlign w:val="center"/>
          </w:tcPr>
          <w:p w14:paraId="1DAB035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48F6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1812E4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26</w:t>
            </w:r>
          </w:p>
        </w:tc>
        <w:tc>
          <w:tcPr>
            <w:tcW w:w="3204" w:type="dxa"/>
            <w:shd w:val="clear" w:color="auto" w:fill="auto"/>
            <w:tcMar>
              <w:bottom w:w="0" w:type="dxa"/>
            </w:tcMar>
            <w:vAlign w:val="center"/>
          </w:tcPr>
          <w:p w14:paraId="4940324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建成区绿地率（%）</w:t>
            </w:r>
          </w:p>
        </w:tc>
        <w:tc>
          <w:tcPr>
            <w:tcW w:w="3187" w:type="dxa"/>
            <w:shd w:val="clear" w:color="auto" w:fill="auto"/>
            <w:tcMar>
              <w:bottom w:w="0" w:type="dxa"/>
            </w:tcMar>
            <w:vAlign w:val="center"/>
          </w:tcPr>
          <w:p w14:paraId="5A2BF81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附属绿地面积</w:t>
            </w:r>
          </w:p>
        </w:tc>
        <w:tc>
          <w:tcPr>
            <w:tcW w:w="3022" w:type="dxa"/>
            <w:shd w:val="clear" w:color="auto" w:fill="auto"/>
            <w:tcMar>
              <w:bottom w:w="0" w:type="dxa"/>
            </w:tcMar>
            <w:vAlign w:val="center"/>
          </w:tcPr>
          <w:p w14:paraId="330A1AE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5356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FCC160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27</w:t>
            </w:r>
          </w:p>
        </w:tc>
        <w:tc>
          <w:tcPr>
            <w:tcW w:w="3204" w:type="dxa"/>
            <w:shd w:val="clear" w:color="auto" w:fill="auto"/>
            <w:tcMar>
              <w:bottom w:w="0" w:type="dxa"/>
            </w:tcMar>
            <w:vAlign w:val="center"/>
          </w:tcPr>
          <w:p w14:paraId="0D550D4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建成区绿化覆盖率（%）</w:t>
            </w:r>
          </w:p>
        </w:tc>
        <w:tc>
          <w:tcPr>
            <w:tcW w:w="3187" w:type="dxa"/>
            <w:shd w:val="clear" w:color="auto" w:fill="auto"/>
            <w:tcMar>
              <w:bottom w:w="0" w:type="dxa"/>
            </w:tcMar>
            <w:vAlign w:val="center"/>
          </w:tcPr>
          <w:p w14:paraId="307CF87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建成区绿化覆盖面积（万平方米）</w:t>
            </w:r>
          </w:p>
        </w:tc>
        <w:tc>
          <w:tcPr>
            <w:tcW w:w="3022" w:type="dxa"/>
            <w:shd w:val="clear" w:color="auto" w:fill="auto"/>
            <w:tcMar>
              <w:bottom w:w="0" w:type="dxa"/>
            </w:tcMar>
            <w:vAlign w:val="center"/>
          </w:tcPr>
          <w:p w14:paraId="4F9FA43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73FC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B7D38B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28</w:t>
            </w:r>
          </w:p>
        </w:tc>
        <w:tc>
          <w:tcPr>
            <w:tcW w:w="3204" w:type="dxa"/>
            <w:shd w:val="clear" w:color="auto" w:fill="auto"/>
            <w:tcMar>
              <w:bottom w:w="0" w:type="dxa"/>
            </w:tcMar>
            <w:vAlign w:val="center"/>
          </w:tcPr>
          <w:p w14:paraId="1AB6B2E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人均公园绿地面积（平方米/人）</w:t>
            </w:r>
          </w:p>
        </w:tc>
        <w:tc>
          <w:tcPr>
            <w:tcW w:w="3187" w:type="dxa"/>
            <w:shd w:val="clear" w:color="auto" w:fill="auto"/>
            <w:tcMar>
              <w:bottom w:w="0" w:type="dxa"/>
            </w:tcMar>
            <w:vAlign w:val="center"/>
          </w:tcPr>
          <w:p w14:paraId="16B516A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公园绿地面积</w:t>
            </w:r>
          </w:p>
        </w:tc>
        <w:tc>
          <w:tcPr>
            <w:tcW w:w="3022" w:type="dxa"/>
            <w:shd w:val="clear" w:color="auto" w:fill="auto"/>
            <w:tcMar>
              <w:bottom w:w="0" w:type="dxa"/>
            </w:tcMar>
            <w:vAlign w:val="center"/>
          </w:tcPr>
          <w:p w14:paraId="1F1E422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181D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7695081">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29</w:t>
            </w:r>
          </w:p>
        </w:tc>
        <w:tc>
          <w:tcPr>
            <w:tcW w:w="3204" w:type="dxa"/>
            <w:shd w:val="clear" w:color="auto" w:fill="auto"/>
            <w:tcMar>
              <w:bottom w:w="0" w:type="dxa"/>
            </w:tcMar>
            <w:vAlign w:val="center"/>
          </w:tcPr>
          <w:p w14:paraId="3C58199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一等养护城镇道路占比（%）</w:t>
            </w:r>
          </w:p>
        </w:tc>
        <w:tc>
          <w:tcPr>
            <w:tcW w:w="3187" w:type="dxa"/>
            <w:shd w:val="clear" w:color="auto" w:fill="auto"/>
            <w:tcMar>
              <w:bottom w:w="0" w:type="dxa"/>
            </w:tcMar>
            <w:vAlign w:val="center"/>
          </w:tcPr>
          <w:p w14:paraId="4011929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建成区内实施一等养护城镇道路长度（公里）</w:t>
            </w:r>
          </w:p>
        </w:tc>
        <w:tc>
          <w:tcPr>
            <w:tcW w:w="3022" w:type="dxa"/>
            <w:shd w:val="clear" w:color="auto" w:fill="auto"/>
            <w:tcMar>
              <w:bottom w:w="0" w:type="dxa"/>
            </w:tcMar>
            <w:vAlign w:val="center"/>
          </w:tcPr>
          <w:p w14:paraId="77B7211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26CB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2654E1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30</w:t>
            </w:r>
          </w:p>
        </w:tc>
        <w:tc>
          <w:tcPr>
            <w:tcW w:w="3204" w:type="dxa"/>
            <w:shd w:val="clear" w:color="auto" w:fill="auto"/>
            <w:tcMar>
              <w:bottom w:w="0" w:type="dxa"/>
            </w:tcMar>
            <w:vAlign w:val="center"/>
          </w:tcPr>
          <w:p w14:paraId="1A58FE2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一等养护城镇道路占比（%）</w:t>
            </w:r>
          </w:p>
        </w:tc>
        <w:tc>
          <w:tcPr>
            <w:tcW w:w="3187" w:type="dxa"/>
            <w:shd w:val="clear" w:color="auto" w:fill="auto"/>
            <w:tcMar>
              <w:bottom w:w="0" w:type="dxa"/>
            </w:tcMar>
            <w:vAlign w:val="center"/>
          </w:tcPr>
          <w:p w14:paraId="537A707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建成区内城镇道路总长度（公里）</w:t>
            </w:r>
          </w:p>
        </w:tc>
        <w:tc>
          <w:tcPr>
            <w:tcW w:w="3022" w:type="dxa"/>
            <w:shd w:val="clear" w:color="auto" w:fill="auto"/>
            <w:tcMar>
              <w:bottom w:w="0" w:type="dxa"/>
            </w:tcMar>
            <w:vAlign w:val="center"/>
          </w:tcPr>
          <w:p w14:paraId="6AFA26F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28AC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67C567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31</w:t>
            </w:r>
          </w:p>
        </w:tc>
        <w:tc>
          <w:tcPr>
            <w:tcW w:w="3204" w:type="dxa"/>
            <w:shd w:val="clear" w:color="auto" w:fill="auto"/>
            <w:tcMar>
              <w:bottom w:w="0" w:type="dxa"/>
            </w:tcMar>
            <w:vAlign w:val="center"/>
          </w:tcPr>
          <w:p w14:paraId="3DD241E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城市照明亮灯率（%）</w:t>
            </w:r>
          </w:p>
        </w:tc>
        <w:tc>
          <w:tcPr>
            <w:tcW w:w="3187" w:type="dxa"/>
            <w:shd w:val="clear" w:color="auto" w:fill="auto"/>
            <w:tcMar>
              <w:bottom w:w="0" w:type="dxa"/>
            </w:tcMar>
            <w:vAlign w:val="center"/>
          </w:tcPr>
          <w:p w14:paraId="3DE4340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建成区内功能性照明亮灯数</w:t>
            </w:r>
          </w:p>
        </w:tc>
        <w:tc>
          <w:tcPr>
            <w:tcW w:w="3022" w:type="dxa"/>
            <w:shd w:val="clear" w:color="auto" w:fill="auto"/>
            <w:tcMar>
              <w:bottom w:w="0" w:type="dxa"/>
            </w:tcMar>
            <w:vAlign w:val="center"/>
          </w:tcPr>
          <w:p w14:paraId="586FD2C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w:t>
            </w:r>
          </w:p>
        </w:tc>
      </w:tr>
      <w:tr w14:paraId="1681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186B09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32</w:t>
            </w:r>
          </w:p>
        </w:tc>
        <w:tc>
          <w:tcPr>
            <w:tcW w:w="3204" w:type="dxa"/>
            <w:shd w:val="clear" w:color="auto" w:fill="auto"/>
            <w:tcMar>
              <w:bottom w:w="0" w:type="dxa"/>
            </w:tcMar>
            <w:vAlign w:val="center"/>
          </w:tcPr>
          <w:p w14:paraId="4BCE69D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城市照明亮灯率（%）</w:t>
            </w:r>
          </w:p>
        </w:tc>
        <w:tc>
          <w:tcPr>
            <w:tcW w:w="3187" w:type="dxa"/>
            <w:shd w:val="clear" w:color="auto" w:fill="auto"/>
            <w:tcMar>
              <w:bottom w:w="0" w:type="dxa"/>
            </w:tcMar>
            <w:vAlign w:val="center"/>
          </w:tcPr>
          <w:p w14:paraId="0B50FBF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建成区功能性照明全部灯数</w:t>
            </w:r>
          </w:p>
        </w:tc>
        <w:tc>
          <w:tcPr>
            <w:tcW w:w="3022" w:type="dxa"/>
            <w:shd w:val="clear" w:color="auto" w:fill="auto"/>
            <w:tcMar>
              <w:bottom w:w="0" w:type="dxa"/>
            </w:tcMar>
            <w:vAlign w:val="center"/>
          </w:tcPr>
          <w:p w14:paraId="1D2EF06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w:t>
            </w:r>
          </w:p>
        </w:tc>
      </w:tr>
      <w:tr w14:paraId="601D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9DA7670">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33</w:t>
            </w:r>
          </w:p>
        </w:tc>
        <w:tc>
          <w:tcPr>
            <w:tcW w:w="3204" w:type="dxa"/>
            <w:shd w:val="clear" w:color="auto" w:fill="auto"/>
            <w:tcMar>
              <w:bottom w:w="0" w:type="dxa"/>
            </w:tcMar>
            <w:vAlign w:val="center"/>
          </w:tcPr>
          <w:p w14:paraId="6723640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建成区街道绿视率（%）</w:t>
            </w:r>
          </w:p>
        </w:tc>
        <w:tc>
          <w:tcPr>
            <w:tcW w:w="3187" w:type="dxa"/>
            <w:shd w:val="clear" w:color="auto" w:fill="auto"/>
            <w:tcMar>
              <w:bottom w:w="0" w:type="dxa"/>
            </w:tcMar>
            <w:vAlign w:val="center"/>
          </w:tcPr>
          <w:p w14:paraId="3DA6F84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照片中绿色植物所占面积</w:t>
            </w:r>
          </w:p>
        </w:tc>
        <w:tc>
          <w:tcPr>
            <w:tcW w:w="3022" w:type="dxa"/>
            <w:shd w:val="clear" w:color="auto" w:fill="auto"/>
            <w:tcMar>
              <w:bottom w:w="0" w:type="dxa"/>
            </w:tcMar>
            <w:vAlign w:val="center"/>
          </w:tcPr>
          <w:p w14:paraId="6E96A4E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w:t>
            </w:r>
          </w:p>
        </w:tc>
      </w:tr>
      <w:tr w14:paraId="75E9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9957966">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34</w:t>
            </w:r>
          </w:p>
        </w:tc>
        <w:tc>
          <w:tcPr>
            <w:tcW w:w="3204" w:type="dxa"/>
            <w:shd w:val="clear" w:color="auto" w:fill="auto"/>
            <w:tcMar>
              <w:bottom w:w="0" w:type="dxa"/>
            </w:tcMar>
            <w:vAlign w:val="center"/>
          </w:tcPr>
          <w:p w14:paraId="01E2088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建成区街道绿视率（%）</w:t>
            </w:r>
          </w:p>
        </w:tc>
        <w:tc>
          <w:tcPr>
            <w:tcW w:w="3187" w:type="dxa"/>
            <w:shd w:val="clear" w:color="auto" w:fill="auto"/>
            <w:tcMar>
              <w:bottom w:w="0" w:type="dxa"/>
            </w:tcMar>
            <w:vAlign w:val="center"/>
          </w:tcPr>
          <w:p w14:paraId="5C7F616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照片视野面积</w:t>
            </w:r>
          </w:p>
        </w:tc>
        <w:tc>
          <w:tcPr>
            <w:tcW w:w="3022" w:type="dxa"/>
            <w:shd w:val="clear" w:color="auto" w:fill="auto"/>
            <w:tcMar>
              <w:bottom w:w="0" w:type="dxa"/>
            </w:tcMar>
            <w:vAlign w:val="center"/>
          </w:tcPr>
          <w:p w14:paraId="61AA2F54">
            <w:pPr>
              <w:keepNext w:val="0"/>
              <w:keepLines w:val="0"/>
              <w:widowControl/>
              <w:suppressLineNumbers w:val="0"/>
              <w:jc w:val="left"/>
              <w:outlineLvl w:val="9"/>
              <w:rPr>
                <w:rFonts w:hint="eastAsia" w:ascii="宋体" w:hAnsi="宋体" w:eastAsia="宋体" w:cs="宋体"/>
                <w:color w:val="auto"/>
                <w:highlight w:val="none"/>
              </w:rPr>
            </w:pPr>
          </w:p>
        </w:tc>
      </w:tr>
      <w:tr w14:paraId="4CCC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42174E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35</w:t>
            </w:r>
          </w:p>
        </w:tc>
        <w:tc>
          <w:tcPr>
            <w:tcW w:w="3204" w:type="dxa"/>
            <w:shd w:val="clear" w:color="auto" w:fill="auto"/>
            <w:tcMar>
              <w:bottom w:w="0" w:type="dxa"/>
            </w:tcMar>
            <w:vAlign w:val="center"/>
          </w:tcPr>
          <w:p w14:paraId="6858DF1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各类站亭设置规范</w:t>
            </w:r>
          </w:p>
        </w:tc>
        <w:tc>
          <w:tcPr>
            <w:tcW w:w="3187" w:type="dxa"/>
            <w:shd w:val="clear" w:color="auto" w:fill="auto"/>
            <w:tcMar>
              <w:bottom w:w="0" w:type="dxa"/>
            </w:tcMar>
            <w:vAlign w:val="center"/>
          </w:tcPr>
          <w:p w14:paraId="5D9799F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3个公共服务设施评分（公交候车亭、治安亭、交通亭）</w:t>
            </w:r>
          </w:p>
        </w:tc>
        <w:tc>
          <w:tcPr>
            <w:tcW w:w="3022" w:type="dxa"/>
            <w:shd w:val="clear" w:color="auto" w:fill="auto"/>
            <w:tcMar>
              <w:bottom w:w="0" w:type="dxa"/>
            </w:tcMar>
            <w:vAlign w:val="center"/>
          </w:tcPr>
          <w:p w14:paraId="00C28AC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福州市交通局、福州市公安局</w:t>
            </w:r>
          </w:p>
        </w:tc>
      </w:tr>
      <w:tr w14:paraId="0679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8373138">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36</w:t>
            </w:r>
          </w:p>
        </w:tc>
        <w:tc>
          <w:tcPr>
            <w:tcW w:w="3204" w:type="dxa"/>
            <w:shd w:val="clear" w:color="auto" w:fill="auto"/>
            <w:tcMar>
              <w:bottom w:w="0" w:type="dxa"/>
            </w:tcMar>
            <w:vAlign w:val="center"/>
          </w:tcPr>
          <w:p w14:paraId="49259F1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各类站亭设置规范</w:t>
            </w:r>
          </w:p>
        </w:tc>
        <w:tc>
          <w:tcPr>
            <w:tcW w:w="3187" w:type="dxa"/>
            <w:shd w:val="clear" w:color="auto" w:fill="auto"/>
            <w:tcMar>
              <w:bottom w:w="0" w:type="dxa"/>
            </w:tcMar>
            <w:vAlign w:val="center"/>
          </w:tcPr>
          <w:p w14:paraId="07BCC62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5个街景小品评分</w:t>
            </w:r>
          </w:p>
        </w:tc>
        <w:tc>
          <w:tcPr>
            <w:tcW w:w="3022" w:type="dxa"/>
            <w:shd w:val="clear" w:color="auto" w:fill="auto"/>
            <w:tcMar>
              <w:bottom w:w="0" w:type="dxa"/>
            </w:tcMar>
            <w:vAlign w:val="center"/>
          </w:tcPr>
          <w:p w14:paraId="233EE091">
            <w:pPr>
              <w:pStyle w:val="14"/>
              <w:keepNext w:val="0"/>
              <w:keepLines w:val="0"/>
              <w:widowControl/>
              <w:suppressLineNumbers w:val="0"/>
              <w:textAlignment w:val="center"/>
              <w:outlineLvl w:val="9"/>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rPr>
              <w:t>福州市园林中心、福州市</w:t>
            </w:r>
            <w:r>
              <w:rPr>
                <w:rFonts w:hint="eastAsia" w:ascii="宋体" w:hAnsi="宋体" w:eastAsia="宋体" w:cs="宋体"/>
                <w:color w:val="auto"/>
                <w:sz w:val="21"/>
                <w:szCs w:val="21"/>
                <w:highlight w:val="none"/>
                <w:lang w:eastAsia="zh-CN"/>
              </w:rPr>
              <w:t>自然资源和规划局</w:t>
            </w:r>
          </w:p>
        </w:tc>
      </w:tr>
      <w:tr w14:paraId="03E2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8704AE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37</w:t>
            </w:r>
          </w:p>
        </w:tc>
        <w:tc>
          <w:tcPr>
            <w:tcW w:w="3204" w:type="dxa"/>
            <w:shd w:val="clear" w:color="auto" w:fill="auto"/>
            <w:tcMar>
              <w:bottom w:w="0" w:type="dxa"/>
            </w:tcMar>
            <w:vAlign w:val="center"/>
          </w:tcPr>
          <w:p w14:paraId="3319BC6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绿化整洁</w:t>
            </w:r>
          </w:p>
        </w:tc>
        <w:tc>
          <w:tcPr>
            <w:tcW w:w="3187" w:type="dxa"/>
            <w:shd w:val="clear" w:color="auto" w:fill="auto"/>
            <w:tcMar>
              <w:bottom w:w="0" w:type="dxa"/>
            </w:tcMar>
            <w:vAlign w:val="center"/>
          </w:tcPr>
          <w:p w14:paraId="4FBE0AB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主干道（800米长路段）、次干道（500米长路段）、街巷（300米长路段）评分</w:t>
            </w:r>
          </w:p>
        </w:tc>
        <w:tc>
          <w:tcPr>
            <w:tcW w:w="3022" w:type="dxa"/>
            <w:shd w:val="clear" w:color="auto" w:fill="auto"/>
            <w:tcMar>
              <w:bottom w:w="0" w:type="dxa"/>
            </w:tcMar>
            <w:vAlign w:val="center"/>
          </w:tcPr>
          <w:p w14:paraId="67BABC0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福州市园林中心、福州市环境卫生中心</w:t>
            </w:r>
          </w:p>
        </w:tc>
      </w:tr>
      <w:tr w14:paraId="6DC7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53C9FF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38</w:t>
            </w:r>
          </w:p>
        </w:tc>
        <w:tc>
          <w:tcPr>
            <w:tcW w:w="3204" w:type="dxa"/>
            <w:shd w:val="clear" w:color="auto" w:fill="auto"/>
            <w:tcMar>
              <w:bottom w:w="0" w:type="dxa"/>
            </w:tcMar>
            <w:vAlign w:val="center"/>
          </w:tcPr>
          <w:p w14:paraId="3153636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广告招牌设施整洁</w:t>
            </w:r>
          </w:p>
        </w:tc>
        <w:tc>
          <w:tcPr>
            <w:tcW w:w="3187" w:type="dxa"/>
            <w:shd w:val="clear" w:color="auto" w:fill="auto"/>
            <w:tcMar>
              <w:bottom w:w="0" w:type="dxa"/>
            </w:tcMar>
            <w:vAlign w:val="center"/>
          </w:tcPr>
          <w:p w14:paraId="4939CF5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主干道（800米路段）、次干道（500米路段）、街巷（300米路段）评分</w:t>
            </w:r>
          </w:p>
        </w:tc>
        <w:tc>
          <w:tcPr>
            <w:tcW w:w="3022" w:type="dxa"/>
            <w:shd w:val="clear" w:color="auto" w:fill="auto"/>
            <w:tcMar>
              <w:bottom w:w="0" w:type="dxa"/>
            </w:tcMar>
            <w:vAlign w:val="center"/>
          </w:tcPr>
          <w:p w14:paraId="18B674D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5719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3188CD0">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39</w:t>
            </w:r>
          </w:p>
        </w:tc>
        <w:tc>
          <w:tcPr>
            <w:tcW w:w="3204" w:type="dxa"/>
            <w:shd w:val="clear" w:color="auto" w:fill="auto"/>
            <w:tcMar>
              <w:bottom w:w="0" w:type="dxa"/>
            </w:tcMar>
            <w:vAlign w:val="center"/>
          </w:tcPr>
          <w:p w14:paraId="44841B2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立杆、空中线路规整性</w:t>
            </w:r>
          </w:p>
        </w:tc>
        <w:tc>
          <w:tcPr>
            <w:tcW w:w="3187" w:type="dxa"/>
            <w:shd w:val="clear" w:color="auto" w:fill="auto"/>
            <w:tcMar>
              <w:bottom w:w="0" w:type="dxa"/>
            </w:tcMar>
            <w:vAlign w:val="center"/>
          </w:tcPr>
          <w:p w14:paraId="20AAD69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主干道（800米路段）、次干道（500米路段）、街巷（300米路段）评分</w:t>
            </w:r>
          </w:p>
        </w:tc>
        <w:tc>
          <w:tcPr>
            <w:tcW w:w="3022" w:type="dxa"/>
            <w:shd w:val="clear" w:color="auto" w:fill="auto"/>
            <w:tcMar>
              <w:bottom w:w="0" w:type="dxa"/>
            </w:tcMar>
            <w:vAlign w:val="center"/>
          </w:tcPr>
          <w:p w14:paraId="3A3AA10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福州市城乡建设局、福州市城市管理委员会、福州市公安局交通警察支队、福州市通信发展管理办公室、福州市供电公司、各区民政局</w:t>
            </w:r>
          </w:p>
        </w:tc>
      </w:tr>
      <w:tr w14:paraId="6A26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231235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40</w:t>
            </w:r>
          </w:p>
        </w:tc>
        <w:tc>
          <w:tcPr>
            <w:tcW w:w="3204" w:type="dxa"/>
            <w:shd w:val="clear" w:color="auto" w:fill="auto"/>
            <w:tcMar>
              <w:bottom w:w="0" w:type="dxa"/>
            </w:tcMar>
            <w:vAlign w:val="center"/>
          </w:tcPr>
          <w:p w14:paraId="75ED742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建成区道路网密度（公里/平方公里）</w:t>
            </w:r>
          </w:p>
        </w:tc>
        <w:tc>
          <w:tcPr>
            <w:tcW w:w="3187" w:type="dxa"/>
            <w:shd w:val="clear" w:color="auto" w:fill="auto"/>
            <w:tcMar>
              <w:bottom w:w="0" w:type="dxa"/>
            </w:tcMar>
            <w:vAlign w:val="center"/>
          </w:tcPr>
          <w:p w14:paraId="6526320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建成区内的主次支路道路长度（公里）</w:t>
            </w:r>
          </w:p>
        </w:tc>
        <w:tc>
          <w:tcPr>
            <w:tcW w:w="3022" w:type="dxa"/>
            <w:shd w:val="clear" w:color="auto" w:fill="auto"/>
            <w:tcMar>
              <w:bottom w:w="0" w:type="dxa"/>
            </w:tcMar>
            <w:vAlign w:val="center"/>
          </w:tcPr>
          <w:p w14:paraId="39A114D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55A4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91C1A3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41</w:t>
            </w:r>
          </w:p>
        </w:tc>
        <w:tc>
          <w:tcPr>
            <w:tcW w:w="3204" w:type="dxa"/>
            <w:shd w:val="clear" w:color="auto" w:fill="auto"/>
            <w:tcMar>
              <w:bottom w:w="0" w:type="dxa"/>
            </w:tcMar>
            <w:vAlign w:val="center"/>
          </w:tcPr>
          <w:p w14:paraId="4C20843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建成区内道路面积率（%）</w:t>
            </w:r>
          </w:p>
        </w:tc>
        <w:tc>
          <w:tcPr>
            <w:tcW w:w="3187" w:type="dxa"/>
            <w:shd w:val="clear" w:color="auto" w:fill="auto"/>
            <w:tcMar>
              <w:bottom w:w="0" w:type="dxa"/>
            </w:tcMar>
            <w:vAlign w:val="center"/>
          </w:tcPr>
          <w:p w14:paraId="30D5D6B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建成区内道路用地总面积</w:t>
            </w:r>
          </w:p>
        </w:tc>
        <w:tc>
          <w:tcPr>
            <w:tcW w:w="3022" w:type="dxa"/>
            <w:shd w:val="clear" w:color="auto" w:fill="auto"/>
            <w:tcMar>
              <w:bottom w:w="0" w:type="dxa"/>
            </w:tcMar>
            <w:vAlign w:val="center"/>
          </w:tcPr>
          <w:p w14:paraId="47307C1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4C8F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C06DEA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42</w:t>
            </w:r>
          </w:p>
        </w:tc>
        <w:tc>
          <w:tcPr>
            <w:tcW w:w="3204" w:type="dxa"/>
            <w:shd w:val="clear" w:color="auto" w:fill="auto"/>
            <w:tcMar>
              <w:bottom w:w="0" w:type="dxa"/>
            </w:tcMar>
            <w:vAlign w:val="center"/>
          </w:tcPr>
          <w:p w14:paraId="4C7107A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建成区完整居住社区覆盖率（%）</w:t>
            </w:r>
          </w:p>
        </w:tc>
        <w:tc>
          <w:tcPr>
            <w:tcW w:w="3187" w:type="dxa"/>
            <w:shd w:val="clear" w:color="auto" w:fill="auto"/>
            <w:tcMar>
              <w:bottom w:w="0" w:type="dxa"/>
            </w:tcMar>
            <w:vAlign w:val="center"/>
          </w:tcPr>
          <w:p w14:paraId="5CC877F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抽查完整社区达标社区数量</w:t>
            </w:r>
          </w:p>
        </w:tc>
        <w:tc>
          <w:tcPr>
            <w:tcW w:w="3022" w:type="dxa"/>
            <w:shd w:val="clear" w:color="auto" w:fill="auto"/>
            <w:tcMar>
              <w:bottom w:w="0" w:type="dxa"/>
            </w:tcMar>
            <w:vAlign w:val="center"/>
          </w:tcPr>
          <w:p w14:paraId="5108DBE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福州市民政局、福州市自然资源规划局、福州市住房保障和房产管理局</w:t>
            </w:r>
          </w:p>
        </w:tc>
      </w:tr>
      <w:tr w14:paraId="3AB8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E53EC2F">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43</w:t>
            </w:r>
          </w:p>
        </w:tc>
        <w:tc>
          <w:tcPr>
            <w:tcW w:w="3204" w:type="dxa"/>
            <w:shd w:val="clear" w:color="auto" w:fill="auto"/>
            <w:tcMar>
              <w:bottom w:w="0" w:type="dxa"/>
            </w:tcMar>
            <w:vAlign w:val="center"/>
          </w:tcPr>
          <w:p w14:paraId="5B9936D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社区养老服务设施覆盖率（%）</w:t>
            </w:r>
          </w:p>
        </w:tc>
        <w:tc>
          <w:tcPr>
            <w:tcW w:w="3187" w:type="dxa"/>
            <w:shd w:val="clear" w:color="auto" w:fill="auto"/>
            <w:tcMar>
              <w:bottom w:w="0" w:type="dxa"/>
            </w:tcMar>
            <w:vAlign w:val="center"/>
          </w:tcPr>
          <w:p w14:paraId="67318BB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建成区内有养老服务设施的社区数</w:t>
            </w:r>
          </w:p>
        </w:tc>
        <w:tc>
          <w:tcPr>
            <w:tcW w:w="3022" w:type="dxa"/>
            <w:shd w:val="clear" w:color="auto" w:fill="auto"/>
            <w:tcMar>
              <w:bottom w:w="0" w:type="dxa"/>
            </w:tcMar>
            <w:vAlign w:val="center"/>
          </w:tcPr>
          <w:p w14:paraId="5423BC3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福州市民政局</w:t>
            </w:r>
          </w:p>
        </w:tc>
      </w:tr>
      <w:tr w14:paraId="73AA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583E02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44</w:t>
            </w:r>
          </w:p>
        </w:tc>
        <w:tc>
          <w:tcPr>
            <w:tcW w:w="3204" w:type="dxa"/>
            <w:shd w:val="clear" w:color="auto" w:fill="auto"/>
            <w:tcMar>
              <w:bottom w:w="0" w:type="dxa"/>
            </w:tcMar>
            <w:vAlign w:val="center"/>
          </w:tcPr>
          <w:p w14:paraId="5BB7AE1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建成区慢行道密度（公里/平方公里）</w:t>
            </w:r>
          </w:p>
        </w:tc>
        <w:tc>
          <w:tcPr>
            <w:tcW w:w="3187" w:type="dxa"/>
            <w:shd w:val="clear" w:color="auto" w:fill="auto"/>
            <w:tcMar>
              <w:bottom w:w="0" w:type="dxa"/>
            </w:tcMar>
            <w:vAlign w:val="center"/>
          </w:tcPr>
          <w:p w14:paraId="45A714C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建成区内人行道长度</w:t>
            </w:r>
          </w:p>
        </w:tc>
        <w:tc>
          <w:tcPr>
            <w:tcW w:w="3022" w:type="dxa"/>
            <w:shd w:val="clear" w:color="auto" w:fill="auto"/>
            <w:tcMar>
              <w:bottom w:w="0" w:type="dxa"/>
            </w:tcMar>
            <w:vAlign w:val="center"/>
          </w:tcPr>
          <w:p w14:paraId="6210C7C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福州市城乡建设局、福州市城市管理委员会、福州市自然资源和规划局、福州市交通局</w:t>
            </w:r>
          </w:p>
        </w:tc>
      </w:tr>
      <w:tr w14:paraId="0FD6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C840E76">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45</w:t>
            </w:r>
          </w:p>
        </w:tc>
        <w:tc>
          <w:tcPr>
            <w:tcW w:w="3204" w:type="dxa"/>
            <w:shd w:val="clear" w:color="auto" w:fill="auto"/>
            <w:tcMar>
              <w:bottom w:w="0" w:type="dxa"/>
            </w:tcMar>
            <w:vAlign w:val="center"/>
          </w:tcPr>
          <w:p w14:paraId="38F5328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建成区慢行道密度（公里/平方公里）</w:t>
            </w:r>
          </w:p>
        </w:tc>
        <w:tc>
          <w:tcPr>
            <w:tcW w:w="3187" w:type="dxa"/>
            <w:shd w:val="clear" w:color="auto" w:fill="auto"/>
            <w:tcMar>
              <w:bottom w:w="0" w:type="dxa"/>
            </w:tcMar>
            <w:vAlign w:val="center"/>
          </w:tcPr>
          <w:p w14:paraId="4829DCD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建成区内非机动车道长度</w:t>
            </w:r>
          </w:p>
        </w:tc>
        <w:tc>
          <w:tcPr>
            <w:tcW w:w="3022" w:type="dxa"/>
            <w:shd w:val="clear" w:color="auto" w:fill="auto"/>
            <w:tcMar>
              <w:bottom w:w="0" w:type="dxa"/>
            </w:tcMar>
            <w:vAlign w:val="center"/>
          </w:tcPr>
          <w:p w14:paraId="0351886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福州市城乡建设局、福州市城市管理委员会、福州市自然资源和规划局、福州市交通局</w:t>
            </w:r>
          </w:p>
        </w:tc>
      </w:tr>
      <w:tr w14:paraId="1380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CA841D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46</w:t>
            </w:r>
          </w:p>
        </w:tc>
        <w:tc>
          <w:tcPr>
            <w:tcW w:w="3204" w:type="dxa"/>
            <w:shd w:val="clear" w:color="auto" w:fill="auto"/>
            <w:tcMar>
              <w:bottom w:w="0" w:type="dxa"/>
            </w:tcMar>
            <w:vAlign w:val="center"/>
          </w:tcPr>
          <w:p w14:paraId="19F37D4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人行道步行适宜性</w:t>
            </w:r>
          </w:p>
        </w:tc>
        <w:tc>
          <w:tcPr>
            <w:tcW w:w="3187" w:type="dxa"/>
            <w:shd w:val="clear" w:color="auto" w:fill="auto"/>
            <w:tcMar>
              <w:bottom w:w="0" w:type="dxa"/>
            </w:tcMar>
            <w:vAlign w:val="center"/>
          </w:tcPr>
          <w:p w14:paraId="43BE8E3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5条人行道评分</w:t>
            </w:r>
          </w:p>
        </w:tc>
        <w:tc>
          <w:tcPr>
            <w:tcW w:w="3022" w:type="dxa"/>
            <w:shd w:val="clear" w:color="auto" w:fill="auto"/>
            <w:tcMar>
              <w:bottom w:w="0" w:type="dxa"/>
            </w:tcMar>
            <w:vAlign w:val="center"/>
          </w:tcPr>
          <w:p w14:paraId="517105F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福州市城乡建设局、福州市城市管理委员会、福州市自然资源和规划局、福州市交通局</w:t>
            </w:r>
          </w:p>
        </w:tc>
      </w:tr>
      <w:tr w14:paraId="72BD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8EC274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47</w:t>
            </w:r>
          </w:p>
        </w:tc>
        <w:tc>
          <w:tcPr>
            <w:tcW w:w="3204" w:type="dxa"/>
            <w:shd w:val="clear" w:color="auto" w:fill="auto"/>
            <w:tcMar>
              <w:bottom w:w="0" w:type="dxa"/>
            </w:tcMar>
            <w:vAlign w:val="center"/>
          </w:tcPr>
          <w:p w14:paraId="323A595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建成区公交站点（或轨道交通站点）覆盖率</w:t>
            </w:r>
          </w:p>
        </w:tc>
        <w:tc>
          <w:tcPr>
            <w:tcW w:w="3187" w:type="dxa"/>
            <w:shd w:val="clear" w:color="auto" w:fill="auto"/>
            <w:tcMar>
              <w:bottom w:w="0" w:type="dxa"/>
            </w:tcMar>
            <w:vAlign w:val="center"/>
          </w:tcPr>
          <w:p w14:paraId="6F43959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城市建成区公交站点（或轨道交通站点）服务半径覆盖面积</w:t>
            </w:r>
          </w:p>
        </w:tc>
        <w:tc>
          <w:tcPr>
            <w:tcW w:w="3022" w:type="dxa"/>
            <w:shd w:val="clear" w:color="auto" w:fill="auto"/>
            <w:tcMar>
              <w:bottom w:w="0" w:type="dxa"/>
            </w:tcMar>
            <w:vAlign w:val="center"/>
          </w:tcPr>
          <w:p w14:paraId="5F38A07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福州市交通局、福州市地铁集团</w:t>
            </w:r>
          </w:p>
        </w:tc>
      </w:tr>
      <w:tr w14:paraId="4651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26C00F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48</w:t>
            </w:r>
          </w:p>
        </w:tc>
        <w:tc>
          <w:tcPr>
            <w:tcW w:w="3204" w:type="dxa"/>
            <w:shd w:val="clear" w:color="auto" w:fill="auto"/>
            <w:tcMar>
              <w:bottom w:w="0" w:type="dxa"/>
            </w:tcMar>
            <w:vAlign w:val="center"/>
          </w:tcPr>
          <w:p w14:paraId="0815FD5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每万人拥有公共汽（电）车（标台）</w:t>
            </w:r>
          </w:p>
        </w:tc>
        <w:tc>
          <w:tcPr>
            <w:tcW w:w="3187" w:type="dxa"/>
            <w:shd w:val="clear" w:color="auto" w:fill="auto"/>
            <w:tcMar>
              <w:bottom w:w="0" w:type="dxa"/>
            </w:tcMar>
            <w:vAlign w:val="center"/>
          </w:tcPr>
          <w:p w14:paraId="6037732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共汽电车辆标台数</w:t>
            </w:r>
          </w:p>
        </w:tc>
        <w:tc>
          <w:tcPr>
            <w:tcW w:w="3022" w:type="dxa"/>
            <w:shd w:val="clear" w:color="auto" w:fill="auto"/>
            <w:tcMar>
              <w:bottom w:w="0" w:type="dxa"/>
            </w:tcMar>
            <w:vAlign w:val="center"/>
          </w:tcPr>
          <w:p w14:paraId="2065A29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福州市交通局</w:t>
            </w:r>
          </w:p>
        </w:tc>
      </w:tr>
      <w:tr w14:paraId="36E3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5B3DA2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49</w:t>
            </w:r>
          </w:p>
        </w:tc>
        <w:tc>
          <w:tcPr>
            <w:tcW w:w="3204" w:type="dxa"/>
            <w:shd w:val="clear" w:color="auto" w:fill="auto"/>
            <w:tcMar>
              <w:bottom w:w="0" w:type="dxa"/>
            </w:tcMar>
            <w:vAlign w:val="center"/>
          </w:tcPr>
          <w:p w14:paraId="73BD94D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小汽车保有量与停车位的比例</w:t>
            </w:r>
          </w:p>
        </w:tc>
        <w:tc>
          <w:tcPr>
            <w:tcW w:w="3187" w:type="dxa"/>
            <w:shd w:val="clear" w:color="auto" w:fill="auto"/>
            <w:tcMar>
              <w:bottom w:w="0" w:type="dxa"/>
            </w:tcMar>
            <w:vAlign w:val="center"/>
          </w:tcPr>
          <w:p w14:paraId="1D0C915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小汽车的数量（一般是指在当地登记的车辆）</w:t>
            </w:r>
          </w:p>
        </w:tc>
        <w:tc>
          <w:tcPr>
            <w:tcW w:w="3022" w:type="dxa"/>
            <w:shd w:val="clear" w:color="auto" w:fill="auto"/>
            <w:tcMar>
              <w:bottom w:w="0" w:type="dxa"/>
            </w:tcMar>
            <w:vAlign w:val="center"/>
          </w:tcPr>
          <w:p w14:paraId="57CF088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福州市公安局交通警察支队、福州市自然资源和规划局</w:t>
            </w:r>
          </w:p>
        </w:tc>
      </w:tr>
      <w:tr w14:paraId="091B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C123C1C">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50</w:t>
            </w:r>
          </w:p>
        </w:tc>
        <w:tc>
          <w:tcPr>
            <w:tcW w:w="3204" w:type="dxa"/>
            <w:shd w:val="clear" w:color="auto" w:fill="auto"/>
            <w:tcMar>
              <w:bottom w:w="0" w:type="dxa"/>
            </w:tcMar>
            <w:vAlign w:val="center"/>
          </w:tcPr>
          <w:p w14:paraId="434D529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小汽车保有量与停车位的比例</w:t>
            </w:r>
          </w:p>
        </w:tc>
        <w:tc>
          <w:tcPr>
            <w:tcW w:w="3187" w:type="dxa"/>
            <w:shd w:val="clear" w:color="auto" w:fill="auto"/>
            <w:tcMar>
              <w:bottom w:w="0" w:type="dxa"/>
            </w:tcMar>
            <w:vAlign w:val="center"/>
          </w:tcPr>
          <w:p w14:paraId="496D4D4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停车位数量</w:t>
            </w:r>
          </w:p>
        </w:tc>
        <w:tc>
          <w:tcPr>
            <w:tcW w:w="3022" w:type="dxa"/>
            <w:shd w:val="clear" w:color="auto" w:fill="auto"/>
            <w:tcMar>
              <w:bottom w:w="0" w:type="dxa"/>
            </w:tcMar>
            <w:vAlign w:val="center"/>
          </w:tcPr>
          <w:p w14:paraId="1D72851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福州市公安局交通警察支队、福州市自然资源和规划局</w:t>
            </w:r>
          </w:p>
        </w:tc>
      </w:tr>
      <w:tr w14:paraId="7E92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5C33B81">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51</w:t>
            </w:r>
          </w:p>
        </w:tc>
        <w:tc>
          <w:tcPr>
            <w:tcW w:w="3204" w:type="dxa"/>
            <w:shd w:val="clear" w:color="auto" w:fill="auto"/>
            <w:tcMar>
              <w:bottom w:w="0" w:type="dxa"/>
            </w:tcMar>
            <w:vAlign w:val="center"/>
          </w:tcPr>
          <w:p w14:paraId="2C87223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建成区公共空间无障碍设施覆盖率（%）</w:t>
            </w:r>
          </w:p>
        </w:tc>
        <w:tc>
          <w:tcPr>
            <w:tcW w:w="3187" w:type="dxa"/>
            <w:shd w:val="clear" w:color="auto" w:fill="auto"/>
            <w:tcMar>
              <w:bottom w:w="0" w:type="dxa"/>
            </w:tcMar>
            <w:vAlign w:val="center"/>
          </w:tcPr>
          <w:p w14:paraId="0822117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无障碍设施覆盖公共建筑数</w:t>
            </w:r>
          </w:p>
        </w:tc>
        <w:tc>
          <w:tcPr>
            <w:tcW w:w="3022" w:type="dxa"/>
            <w:shd w:val="clear" w:color="auto" w:fill="auto"/>
            <w:tcMar>
              <w:bottom w:w="0" w:type="dxa"/>
            </w:tcMar>
            <w:vAlign w:val="center"/>
          </w:tcPr>
          <w:p w14:paraId="4F5121A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福州市城乡建设局、福州市残联、福州市自然资源和规划局</w:t>
            </w:r>
          </w:p>
        </w:tc>
      </w:tr>
      <w:tr w14:paraId="4DC2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09DACA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52</w:t>
            </w:r>
          </w:p>
        </w:tc>
        <w:tc>
          <w:tcPr>
            <w:tcW w:w="3204" w:type="dxa"/>
            <w:shd w:val="clear" w:color="auto" w:fill="auto"/>
            <w:tcMar>
              <w:bottom w:w="0" w:type="dxa"/>
            </w:tcMar>
            <w:vAlign w:val="center"/>
          </w:tcPr>
          <w:p w14:paraId="2E109E4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建成区公共空间无障碍设施覆盖率（%）</w:t>
            </w:r>
          </w:p>
        </w:tc>
        <w:tc>
          <w:tcPr>
            <w:tcW w:w="3187" w:type="dxa"/>
            <w:shd w:val="clear" w:color="auto" w:fill="auto"/>
            <w:tcMar>
              <w:bottom w:w="0" w:type="dxa"/>
            </w:tcMar>
            <w:vAlign w:val="center"/>
          </w:tcPr>
          <w:p w14:paraId="37A0C33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总公共建筑数</w:t>
            </w:r>
          </w:p>
        </w:tc>
        <w:tc>
          <w:tcPr>
            <w:tcW w:w="3022" w:type="dxa"/>
            <w:shd w:val="clear" w:color="auto" w:fill="auto"/>
            <w:tcMar>
              <w:bottom w:w="0" w:type="dxa"/>
            </w:tcMar>
            <w:vAlign w:val="center"/>
          </w:tcPr>
          <w:p w14:paraId="63B10CF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福州市城乡建设局、福州市残联、福州市自然资源和规划局</w:t>
            </w:r>
          </w:p>
        </w:tc>
      </w:tr>
      <w:tr w14:paraId="1142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CC4045F">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53</w:t>
            </w:r>
          </w:p>
        </w:tc>
        <w:tc>
          <w:tcPr>
            <w:tcW w:w="3204" w:type="dxa"/>
            <w:shd w:val="clear" w:color="auto" w:fill="auto"/>
            <w:tcMar>
              <w:bottom w:w="0" w:type="dxa"/>
            </w:tcMar>
            <w:vAlign w:val="center"/>
          </w:tcPr>
          <w:p w14:paraId="031A712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建成区公共空间无障碍设施覆盖率（%）</w:t>
            </w:r>
          </w:p>
        </w:tc>
        <w:tc>
          <w:tcPr>
            <w:tcW w:w="3187" w:type="dxa"/>
            <w:shd w:val="clear" w:color="auto" w:fill="auto"/>
            <w:tcMar>
              <w:bottom w:w="0" w:type="dxa"/>
            </w:tcMar>
            <w:vAlign w:val="center"/>
          </w:tcPr>
          <w:p w14:paraId="59237D0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无障碍设施覆盖路段长度</w:t>
            </w:r>
          </w:p>
        </w:tc>
        <w:tc>
          <w:tcPr>
            <w:tcW w:w="3022" w:type="dxa"/>
            <w:shd w:val="clear" w:color="auto" w:fill="auto"/>
            <w:tcMar>
              <w:bottom w:w="0" w:type="dxa"/>
            </w:tcMar>
            <w:vAlign w:val="center"/>
          </w:tcPr>
          <w:p w14:paraId="02EF209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福州市城乡建设局、福州市残联、福州市自然资源和规划局</w:t>
            </w:r>
          </w:p>
        </w:tc>
      </w:tr>
      <w:tr w14:paraId="087B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2F5C8B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54</w:t>
            </w:r>
          </w:p>
        </w:tc>
        <w:tc>
          <w:tcPr>
            <w:tcW w:w="3204" w:type="dxa"/>
            <w:shd w:val="clear" w:color="auto" w:fill="auto"/>
            <w:tcMar>
              <w:bottom w:w="0" w:type="dxa"/>
            </w:tcMar>
            <w:vAlign w:val="center"/>
          </w:tcPr>
          <w:p w14:paraId="7F390A5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建成区公共空间无障碍设施覆盖率（%）</w:t>
            </w:r>
          </w:p>
        </w:tc>
        <w:tc>
          <w:tcPr>
            <w:tcW w:w="3187" w:type="dxa"/>
            <w:shd w:val="clear" w:color="auto" w:fill="auto"/>
            <w:tcMar>
              <w:bottom w:w="0" w:type="dxa"/>
            </w:tcMar>
            <w:vAlign w:val="center"/>
          </w:tcPr>
          <w:p w14:paraId="2EC11F5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总路段长度</w:t>
            </w:r>
          </w:p>
        </w:tc>
        <w:tc>
          <w:tcPr>
            <w:tcW w:w="3022" w:type="dxa"/>
            <w:shd w:val="clear" w:color="auto" w:fill="auto"/>
            <w:tcMar>
              <w:bottom w:w="0" w:type="dxa"/>
            </w:tcMar>
            <w:vAlign w:val="center"/>
          </w:tcPr>
          <w:p w14:paraId="550B4F5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福州市城乡建设局、福州市残联、福州市自然资源和规划局</w:t>
            </w:r>
          </w:p>
        </w:tc>
      </w:tr>
      <w:tr w14:paraId="43D5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E3D891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55</w:t>
            </w:r>
          </w:p>
        </w:tc>
        <w:tc>
          <w:tcPr>
            <w:tcW w:w="3204" w:type="dxa"/>
            <w:shd w:val="clear" w:color="auto" w:fill="auto"/>
            <w:tcMar>
              <w:bottom w:w="0" w:type="dxa"/>
            </w:tcMar>
            <w:vAlign w:val="center"/>
          </w:tcPr>
          <w:p w14:paraId="14A44B5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建成区高峰时段主干道平均车速（公里/小时）</w:t>
            </w:r>
          </w:p>
        </w:tc>
        <w:tc>
          <w:tcPr>
            <w:tcW w:w="3187" w:type="dxa"/>
            <w:shd w:val="clear" w:color="auto" w:fill="auto"/>
            <w:tcMar>
              <w:bottom w:w="0" w:type="dxa"/>
            </w:tcMar>
            <w:vAlign w:val="center"/>
          </w:tcPr>
          <w:p w14:paraId="272716F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建成区高峰时段主干道平均车速</w:t>
            </w:r>
          </w:p>
        </w:tc>
        <w:tc>
          <w:tcPr>
            <w:tcW w:w="3022" w:type="dxa"/>
            <w:shd w:val="clear" w:color="auto" w:fill="auto"/>
            <w:tcMar>
              <w:bottom w:w="0" w:type="dxa"/>
            </w:tcMar>
            <w:vAlign w:val="center"/>
          </w:tcPr>
          <w:p w14:paraId="2C66F1F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6686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B66225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56</w:t>
            </w:r>
          </w:p>
        </w:tc>
        <w:tc>
          <w:tcPr>
            <w:tcW w:w="3204" w:type="dxa"/>
            <w:shd w:val="clear" w:color="auto" w:fill="auto"/>
            <w:tcMar>
              <w:bottom w:w="0" w:type="dxa"/>
            </w:tcMar>
            <w:vAlign w:val="center"/>
          </w:tcPr>
          <w:p w14:paraId="2043D7B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高峰时段主要交叉口守法率（%）</w:t>
            </w:r>
          </w:p>
        </w:tc>
        <w:tc>
          <w:tcPr>
            <w:tcW w:w="3187" w:type="dxa"/>
            <w:shd w:val="clear" w:color="auto" w:fill="auto"/>
            <w:tcMar>
              <w:bottom w:w="0" w:type="dxa"/>
            </w:tcMar>
            <w:vAlign w:val="center"/>
          </w:tcPr>
          <w:p w14:paraId="6EA9BCF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高峰时段主要交叉口守法通行数</w:t>
            </w:r>
          </w:p>
        </w:tc>
        <w:tc>
          <w:tcPr>
            <w:tcW w:w="3022" w:type="dxa"/>
            <w:shd w:val="clear" w:color="auto" w:fill="auto"/>
            <w:tcMar>
              <w:bottom w:w="0" w:type="dxa"/>
            </w:tcMar>
            <w:vAlign w:val="center"/>
          </w:tcPr>
          <w:p w14:paraId="58231B1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2DC1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59A2E0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57</w:t>
            </w:r>
          </w:p>
        </w:tc>
        <w:tc>
          <w:tcPr>
            <w:tcW w:w="3204" w:type="dxa"/>
            <w:shd w:val="clear" w:color="auto" w:fill="auto"/>
            <w:tcMar>
              <w:bottom w:w="0" w:type="dxa"/>
            </w:tcMar>
            <w:vAlign w:val="center"/>
          </w:tcPr>
          <w:p w14:paraId="48FB627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高峰时段主要交叉口守法率（%）</w:t>
            </w:r>
          </w:p>
        </w:tc>
        <w:tc>
          <w:tcPr>
            <w:tcW w:w="3187" w:type="dxa"/>
            <w:shd w:val="clear" w:color="auto" w:fill="auto"/>
            <w:tcMar>
              <w:bottom w:w="0" w:type="dxa"/>
            </w:tcMar>
            <w:vAlign w:val="center"/>
          </w:tcPr>
          <w:p w14:paraId="4A4A295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高峰时段主要交叉口总通行数</w:t>
            </w:r>
          </w:p>
        </w:tc>
        <w:tc>
          <w:tcPr>
            <w:tcW w:w="3022" w:type="dxa"/>
            <w:shd w:val="clear" w:color="auto" w:fill="auto"/>
            <w:tcMar>
              <w:bottom w:w="0" w:type="dxa"/>
            </w:tcMar>
            <w:vAlign w:val="center"/>
          </w:tcPr>
          <w:p w14:paraId="457D5D7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735D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3F0D4D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58</w:t>
            </w:r>
          </w:p>
        </w:tc>
        <w:tc>
          <w:tcPr>
            <w:tcW w:w="3204" w:type="dxa"/>
            <w:shd w:val="clear" w:color="auto" w:fill="auto"/>
            <w:tcMar>
              <w:bottom w:w="0" w:type="dxa"/>
            </w:tcMar>
            <w:vAlign w:val="center"/>
          </w:tcPr>
          <w:p w14:paraId="75E7B6D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非机动车道、行人路口守法率（%）</w:t>
            </w:r>
          </w:p>
        </w:tc>
        <w:tc>
          <w:tcPr>
            <w:tcW w:w="3187" w:type="dxa"/>
            <w:shd w:val="clear" w:color="auto" w:fill="auto"/>
            <w:tcMar>
              <w:bottom w:w="0" w:type="dxa"/>
            </w:tcMar>
            <w:vAlign w:val="center"/>
          </w:tcPr>
          <w:p w14:paraId="7986999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非机动车守法通行数</w:t>
            </w:r>
          </w:p>
        </w:tc>
        <w:tc>
          <w:tcPr>
            <w:tcW w:w="3022" w:type="dxa"/>
            <w:shd w:val="clear" w:color="auto" w:fill="auto"/>
            <w:tcMar>
              <w:bottom w:w="0" w:type="dxa"/>
            </w:tcMar>
            <w:vAlign w:val="center"/>
          </w:tcPr>
          <w:p w14:paraId="3A7060C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799F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3A8F28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59</w:t>
            </w:r>
          </w:p>
        </w:tc>
        <w:tc>
          <w:tcPr>
            <w:tcW w:w="3204" w:type="dxa"/>
            <w:shd w:val="clear" w:color="auto" w:fill="auto"/>
            <w:tcMar>
              <w:bottom w:w="0" w:type="dxa"/>
            </w:tcMar>
            <w:vAlign w:val="center"/>
          </w:tcPr>
          <w:p w14:paraId="6A2766A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非机动车道、行人路口守法率（%）</w:t>
            </w:r>
          </w:p>
        </w:tc>
        <w:tc>
          <w:tcPr>
            <w:tcW w:w="3187" w:type="dxa"/>
            <w:shd w:val="clear" w:color="auto" w:fill="auto"/>
            <w:tcMar>
              <w:bottom w:w="0" w:type="dxa"/>
            </w:tcMar>
            <w:vAlign w:val="center"/>
          </w:tcPr>
          <w:p w14:paraId="0E284F5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非机动车总通行数</w:t>
            </w:r>
          </w:p>
        </w:tc>
        <w:tc>
          <w:tcPr>
            <w:tcW w:w="3022" w:type="dxa"/>
            <w:shd w:val="clear" w:color="auto" w:fill="auto"/>
            <w:tcMar>
              <w:bottom w:w="0" w:type="dxa"/>
            </w:tcMar>
            <w:vAlign w:val="center"/>
          </w:tcPr>
          <w:p w14:paraId="0651144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4355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4B3042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60</w:t>
            </w:r>
          </w:p>
        </w:tc>
        <w:tc>
          <w:tcPr>
            <w:tcW w:w="3204" w:type="dxa"/>
            <w:shd w:val="clear" w:color="auto" w:fill="auto"/>
            <w:tcMar>
              <w:bottom w:w="0" w:type="dxa"/>
            </w:tcMar>
            <w:vAlign w:val="center"/>
          </w:tcPr>
          <w:p w14:paraId="07C41B2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非机动车道、行人路口守法率（%）</w:t>
            </w:r>
          </w:p>
        </w:tc>
        <w:tc>
          <w:tcPr>
            <w:tcW w:w="3187" w:type="dxa"/>
            <w:shd w:val="clear" w:color="auto" w:fill="auto"/>
            <w:tcMar>
              <w:bottom w:w="0" w:type="dxa"/>
            </w:tcMar>
            <w:vAlign w:val="center"/>
          </w:tcPr>
          <w:p w14:paraId="71D9FE0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行人路口守法通行数</w:t>
            </w:r>
          </w:p>
        </w:tc>
        <w:tc>
          <w:tcPr>
            <w:tcW w:w="3022" w:type="dxa"/>
            <w:shd w:val="clear" w:color="auto" w:fill="auto"/>
            <w:tcMar>
              <w:bottom w:w="0" w:type="dxa"/>
            </w:tcMar>
            <w:vAlign w:val="center"/>
          </w:tcPr>
          <w:p w14:paraId="41C1883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01E5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D7CC0C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61</w:t>
            </w:r>
          </w:p>
        </w:tc>
        <w:tc>
          <w:tcPr>
            <w:tcW w:w="3204" w:type="dxa"/>
            <w:shd w:val="clear" w:color="auto" w:fill="auto"/>
            <w:tcMar>
              <w:bottom w:w="0" w:type="dxa"/>
            </w:tcMar>
            <w:vAlign w:val="center"/>
          </w:tcPr>
          <w:p w14:paraId="1653E3D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非机动车道、行人路口守法率（%）</w:t>
            </w:r>
          </w:p>
        </w:tc>
        <w:tc>
          <w:tcPr>
            <w:tcW w:w="3187" w:type="dxa"/>
            <w:shd w:val="clear" w:color="auto" w:fill="auto"/>
            <w:tcMar>
              <w:bottom w:w="0" w:type="dxa"/>
            </w:tcMar>
            <w:vAlign w:val="center"/>
          </w:tcPr>
          <w:p w14:paraId="43D58DF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行人路口总通行数</w:t>
            </w:r>
          </w:p>
        </w:tc>
        <w:tc>
          <w:tcPr>
            <w:tcW w:w="3022" w:type="dxa"/>
            <w:shd w:val="clear" w:color="auto" w:fill="auto"/>
            <w:tcMar>
              <w:bottom w:w="0" w:type="dxa"/>
            </w:tcMar>
            <w:vAlign w:val="center"/>
          </w:tcPr>
          <w:p w14:paraId="1A8C20E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7B99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1B196C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62</w:t>
            </w:r>
          </w:p>
        </w:tc>
        <w:tc>
          <w:tcPr>
            <w:tcW w:w="3204" w:type="dxa"/>
            <w:shd w:val="clear" w:color="auto" w:fill="auto"/>
            <w:tcMar>
              <w:bottom w:w="0" w:type="dxa"/>
            </w:tcMar>
            <w:vAlign w:val="center"/>
          </w:tcPr>
          <w:p w14:paraId="29ADDAC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建成区人均信息点（POI）数（个/千人）</w:t>
            </w:r>
          </w:p>
        </w:tc>
        <w:tc>
          <w:tcPr>
            <w:tcW w:w="3187" w:type="dxa"/>
            <w:shd w:val="clear" w:color="auto" w:fill="auto"/>
            <w:tcMar>
              <w:bottom w:w="0" w:type="dxa"/>
            </w:tcMar>
            <w:vAlign w:val="center"/>
          </w:tcPr>
          <w:p w14:paraId="725ECBE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建成区信息点数（个）</w:t>
            </w:r>
          </w:p>
        </w:tc>
        <w:tc>
          <w:tcPr>
            <w:tcW w:w="3022" w:type="dxa"/>
            <w:shd w:val="clear" w:color="auto" w:fill="auto"/>
            <w:tcMar>
              <w:bottom w:w="0" w:type="dxa"/>
            </w:tcMar>
            <w:vAlign w:val="center"/>
          </w:tcPr>
          <w:p w14:paraId="3CD8EEA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高德地图</w:t>
            </w:r>
          </w:p>
        </w:tc>
      </w:tr>
      <w:tr w14:paraId="4140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FDC8EF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63</w:t>
            </w:r>
          </w:p>
        </w:tc>
        <w:tc>
          <w:tcPr>
            <w:tcW w:w="3204" w:type="dxa"/>
            <w:shd w:val="clear" w:color="auto" w:fill="auto"/>
            <w:tcMar>
              <w:bottom w:w="0" w:type="dxa"/>
            </w:tcMar>
            <w:vAlign w:val="center"/>
          </w:tcPr>
          <w:p w14:paraId="56928FE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建成区人均信息点（POI）数（个/千人）</w:t>
            </w:r>
          </w:p>
        </w:tc>
        <w:tc>
          <w:tcPr>
            <w:tcW w:w="3187" w:type="dxa"/>
            <w:shd w:val="clear" w:color="auto" w:fill="auto"/>
            <w:tcMar>
              <w:bottom w:w="0" w:type="dxa"/>
            </w:tcMar>
            <w:vAlign w:val="center"/>
          </w:tcPr>
          <w:p w14:paraId="5845C11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建成区常住人口（千人）</w:t>
            </w:r>
          </w:p>
        </w:tc>
        <w:tc>
          <w:tcPr>
            <w:tcW w:w="3022" w:type="dxa"/>
            <w:shd w:val="clear" w:color="auto" w:fill="auto"/>
            <w:tcMar>
              <w:bottom w:w="0" w:type="dxa"/>
            </w:tcMar>
            <w:vAlign w:val="center"/>
          </w:tcPr>
          <w:p w14:paraId="5E8A8A2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福州统计年鉴</w:t>
            </w:r>
          </w:p>
        </w:tc>
      </w:tr>
      <w:tr w14:paraId="3B02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1BCA14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64</w:t>
            </w:r>
          </w:p>
        </w:tc>
        <w:tc>
          <w:tcPr>
            <w:tcW w:w="3204" w:type="dxa"/>
            <w:shd w:val="clear" w:color="auto" w:fill="auto"/>
            <w:tcMar>
              <w:bottom w:w="0" w:type="dxa"/>
            </w:tcMar>
            <w:vAlign w:val="center"/>
          </w:tcPr>
          <w:p w14:paraId="403F244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便民摊点规范性</w:t>
            </w:r>
          </w:p>
        </w:tc>
        <w:tc>
          <w:tcPr>
            <w:tcW w:w="3187" w:type="dxa"/>
            <w:shd w:val="clear" w:color="auto" w:fill="auto"/>
            <w:tcMar>
              <w:bottom w:w="0" w:type="dxa"/>
            </w:tcMar>
            <w:vAlign w:val="center"/>
          </w:tcPr>
          <w:p w14:paraId="161393C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便民摊点规范性评分</w:t>
            </w:r>
          </w:p>
        </w:tc>
        <w:tc>
          <w:tcPr>
            <w:tcW w:w="3022" w:type="dxa"/>
            <w:shd w:val="clear" w:color="auto" w:fill="auto"/>
            <w:tcMar>
              <w:bottom w:w="0" w:type="dxa"/>
            </w:tcMar>
            <w:vAlign w:val="center"/>
          </w:tcPr>
          <w:p w14:paraId="2B2C6E6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7042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936373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65</w:t>
            </w:r>
          </w:p>
        </w:tc>
        <w:tc>
          <w:tcPr>
            <w:tcW w:w="3204" w:type="dxa"/>
            <w:shd w:val="clear" w:color="auto" w:fill="auto"/>
            <w:tcMar>
              <w:bottom w:w="0" w:type="dxa"/>
            </w:tcMar>
            <w:vAlign w:val="center"/>
          </w:tcPr>
          <w:p w14:paraId="04952B3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无乱搭乱建</w:t>
            </w:r>
          </w:p>
        </w:tc>
        <w:tc>
          <w:tcPr>
            <w:tcW w:w="3187" w:type="dxa"/>
            <w:shd w:val="clear" w:color="auto" w:fill="auto"/>
            <w:tcMar>
              <w:bottom w:w="0" w:type="dxa"/>
            </w:tcMar>
            <w:vAlign w:val="center"/>
          </w:tcPr>
          <w:p w14:paraId="075A604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无乱搭乱建评分</w:t>
            </w:r>
          </w:p>
        </w:tc>
        <w:tc>
          <w:tcPr>
            <w:tcW w:w="3022" w:type="dxa"/>
            <w:shd w:val="clear" w:color="auto" w:fill="auto"/>
            <w:tcMar>
              <w:bottom w:w="0" w:type="dxa"/>
            </w:tcMar>
            <w:vAlign w:val="center"/>
          </w:tcPr>
          <w:p w14:paraId="6878561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福州市城市管理委员会、福州市自然资源和规划局、福州市住房保障和房产管理局、福州市水利局、福州市园林中心</w:t>
            </w:r>
          </w:p>
        </w:tc>
      </w:tr>
      <w:tr w14:paraId="0F1B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7A2DDD2">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66</w:t>
            </w:r>
          </w:p>
        </w:tc>
        <w:tc>
          <w:tcPr>
            <w:tcW w:w="3204" w:type="dxa"/>
            <w:shd w:val="clear" w:color="auto" w:fill="auto"/>
            <w:tcMar>
              <w:bottom w:w="0" w:type="dxa"/>
            </w:tcMar>
            <w:vAlign w:val="center"/>
          </w:tcPr>
          <w:p w14:paraId="0C039E7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无沿街晾挂</w:t>
            </w:r>
          </w:p>
        </w:tc>
        <w:tc>
          <w:tcPr>
            <w:tcW w:w="3187" w:type="dxa"/>
            <w:shd w:val="clear" w:color="auto" w:fill="auto"/>
            <w:tcMar>
              <w:bottom w:w="0" w:type="dxa"/>
            </w:tcMar>
            <w:vAlign w:val="center"/>
          </w:tcPr>
          <w:p w14:paraId="24BB6BC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沿街晾挂评分</w:t>
            </w:r>
          </w:p>
        </w:tc>
        <w:tc>
          <w:tcPr>
            <w:tcW w:w="3022" w:type="dxa"/>
            <w:shd w:val="clear" w:color="auto" w:fill="auto"/>
            <w:tcMar>
              <w:bottom w:w="0" w:type="dxa"/>
            </w:tcMar>
            <w:vAlign w:val="center"/>
          </w:tcPr>
          <w:p w14:paraId="5C01209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w:t>
            </w:r>
          </w:p>
        </w:tc>
      </w:tr>
      <w:tr w14:paraId="7507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53C1F61">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67</w:t>
            </w:r>
          </w:p>
        </w:tc>
        <w:tc>
          <w:tcPr>
            <w:tcW w:w="3204" w:type="dxa"/>
            <w:shd w:val="clear" w:color="auto" w:fill="auto"/>
            <w:tcMar>
              <w:bottom w:w="0" w:type="dxa"/>
            </w:tcMar>
            <w:vAlign w:val="center"/>
          </w:tcPr>
          <w:p w14:paraId="3F7DDF4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车辆停放有序性</w:t>
            </w:r>
          </w:p>
        </w:tc>
        <w:tc>
          <w:tcPr>
            <w:tcW w:w="3187" w:type="dxa"/>
            <w:shd w:val="clear" w:color="auto" w:fill="auto"/>
            <w:tcMar>
              <w:bottom w:w="0" w:type="dxa"/>
            </w:tcMar>
            <w:vAlign w:val="center"/>
          </w:tcPr>
          <w:p w14:paraId="0B85BB0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主干道（800米路段）、次干道（500米路段）、街巷（300米路段）各1条，路段内的机动车、非机动车停放情况评分值</w:t>
            </w:r>
          </w:p>
        </w:tc>
        <w:tc>
          <w:tcPr>
            <w:tcW w:w="3022" w:type="dxa"/>
            <w:shd w:val="clear" w:color="auto" w:fill="auto"/>
            <w:tcMar>
              <w:bottom w:w="0" w:type="dxa"/>
            </w:tcMar>
            <w:vAlign w:val="center"/>
          </w:tcPr>
          <w:p w14:paraId="3DD9DF5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福州市城市管理委员会、福州市公安局交通警察支队</w:t>
            </w:r>
          </w:p>
        </w:tc>
      </w:tr>
      <w:tr w14:paraId="6538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FD7C21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68</w:t>
            </w:r>
          </w:p>
        </w:tc>
        <w:tc>
          <w:tcPr>
            <w:tcW w:w="3204" w:type="dxa"/>
            <w:shd w:val="clear" w:color="auto" w:fill="auto"/>
            <w:tcMar>
              <w:bottom w:w="0" w:type="dxa"/>
            </w:tcMar>
            <w:vAlign w:val="center"/>
          </w:tcPr>
          <w:p w14:paraId="690CCAF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夜景灯光照明有序评价</w:t>
            </w:r>
          </w:p>
        </w:tc>
        <w:tc>
          <w:tcPr>
            <w:tcW w:w="3187" w:type="dxa"/>
            <w:shd w:val="clear" w:color="auto" w:fill="auto"/>
            <w:tcMar>
              <w:bottom w:w="0" w:type="dxa"/>
            </w:tcMar>
            <w:vAlign w:val="center"/>
          </w:tcPr>
          <w:p w14:paraId="7D6D875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主要街道（500米路段），夜景照明状况评分值</w:t>
            </w:r>
          </w:p>
        </w:tc>
        <w:tc>
          <w:tcPr>
            <w:tcW w:w="3022" w:type="dxa"/>
            <w:shd w:val="clear" w:color="auto" w:fill="auto"/>
            <w:tcMar>
              <w:bottom w:w="0" w:type="dxa"/>
            </w:tcMar>
            <w:vAlign w:val="center"/>
          </w:tcPr>
          <w:p w14:paraId="3D90652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福州市城乡建设局、福州市城市管理委员会</w:t>
            </w:r>
          </w:p>
        </w:tc>
      </w:tr>
      <w:tr w14:paraId="4685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2C780B1">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69</w:t>
            </w:r>
          </w:p>
        </w:tc>
        <w:tc>
          <w:tcPr>
            <w:tcW w:w="3204" w:type="dxa"/>
            <w:shd w:val="clear" w:color="auto" w:fill="auto"/>
            <w:tcMar>
              <w:bottom w:w="0" w:type="dxa"/>
            </w:tcMar>
            <w:vAlign w:val="center"/>
          </w:tcPr>
          <w:p w14:paraId="5D2A2A5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用户龙头水合格率（%）</w:t>
            </w:r>
          </w:p>
        </w:tc>
        <w:tc>
          <w:tcPr>
            <w:tcW w:w="3187" w:type="dxa"/>
            <w:shd w:val="clear" w:color="auto" w:fill="auto"/>
            <w:tcMar>
              <w:bottom w:w="0" w:type="dxa"/>
            </w:tcMar>
            <w:vAlign w:val="center"/>
          </w:tcPr>
          <w:p w14:paraId="612A704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检测饮用水末梢水常规指标达标的水样数</w:t>
            </w:r>
          </w:p>
        </w:tc>
        <w:tc>
          <w:tcPr>
            <w:tcW w:w="3022" w:type="dxa"/>
            <w:shd w:val="clear" w:color="auto" w:fill="auto"/>
            <w:tcMar>
              <w:bottom w:w="0" w:type="dxa"/>
            </w:tcMar>
            <w:vAlign w:val="center"/>
          </w:tcPr>
          <w:p w14:paraId="017B1D6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2B65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C654426">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70</w:t>
            </w:r>
          </w:p>
        </w:tc>
        <w:tc>
          <w:tcPr>
            <w:tcW w:w="3204" w:type="dxa"/>
            <w:shd w:val="clear" w:color="auto" w:fill="auto"/>
            <w:tcMar>
              <w:bottom w:w="0" w:type="dxa"/>
            </w:tcMar>
            <w:vAlign w:val="center"/>
          </w:tcPr>
          <w:p w14:paraId="09578C8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用户龙头水合格率（%）</w:t>
            </w:r>
          </w:p>
        </w:tc>
        <w:tc>
          <w:tcPr>
            <w:tcW w:w="3187" w:type="dxa"/>
            <w:shd w:val="clear" w:color="auto" w:fill="auto"/>
            <w:tcMar>
              <w:bottom w:w="0" w:type="dxa"/>
            </w:tcMar>
            <w:vAlign w:val="center"/>
          </w:tcPr>
          <w:p w14:paraId="55C352A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检测饮用水末梢水总水样数</w:t>
            </w:r>
          </w:p>
        </w:tc>
        <w:tc>
          <w:tcPr>
            <w:tcW w:w="3022" w:type="dxa"/>
            <w:shd w:val="clear" w:color="auto" w:fill="auto"/>
            <w:tcMar>
              <w:bottom w:w="0" w:type="dxa"/>
            </w:tcMar>
            <w:vAlign w:val="center"/>
          </w:tcPr>
          <w:p w14:paraId="08E24D6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1F2C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5707C1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71</w:t>
            </w:r>
          </w:p>
        </w:tc>
        <w:tc>
          <w:tcPr>
            <w:tcW w:w="3204" w:type="dxa"/>
            <w:shd w:val="clear" w:color="auto" w:fill="auto"/>
            <w:tcMar>
              <w:bottom w:w="0" w:type="dxa"/>
            </w:tcMar>
            <w:vAlign w:val="center"/>
          </w:tcPr>
          <w:p w14:paraId="62C629F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供水管网末梢服务压力达标率（%）</w:t>
            </w:r>
          </w:p>
        </w:tc>
        <w:tc>
          <w:tcPr>
            <w:tcW w:w="3187" w:type="dxa"/>
            <w:shd w:val="clear" w:color="auto" w:fill="auto"/>
            <w:tcMar>
              <w:bottom w:w="0" w:type="dxa"/>
            </w:tcMar>
            <w:vAlign w:val="center"/>
          </w:tcPr>
          <w:p w14:paraId="2FFD569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供水管网末梢服务压力达标检验合格次数</w:t>
            </w:r>
          </w:p>
        </w:tc>
        <w:tc>
          <w:tcPr>
            <w:tcW w:w="3022" w:type="dxa"/>
            <w:shd w:val="clear" w:color="auto" w:fill="auto"/>
            <w:tcMar>
              <w:bottom w:w="0" w:type="dxa"/>
            </w:tcMar>
            <w:vAlign w:val="center"/>
          </w:tcPr>
          <w:p w14:paraId="6798473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6F9C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DE8A03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72</w:t>
            </w:r>
          </w:p>
        </w:tc>
        <w:tc>
          <w:tcPr>
            <w:tcW w:w="3204" w:type="dxa"/>
            <w:shd w:val="clear" w:color="auto" w:fill="auto"/>
            <w:tcMar>
              <w:bottom w:w="0" w:type="dxa"/>
            </w:tcMar>
            <w:vAlign w:val="center"/>
          </w:tcPr>
          <w:p w14:paraId="106FD08B">
            <w:pPr>
              <w:keepNext w:val="0"/>
              <w:keepLines w:val="0"/>
              <w:widowControl/>
              <w:suppressLineNumbers w:val="0"/>
              <w:jc w:val="left"/>
              <w:outlineLvl w:val="9"/>
              <w:rPr>
                <w:rFonts w:hint="eastAsia" w:ascii="宋体" w:hAnsi="宋体" w:eastAsia="宋体" w:cs="宋体"/>
                <w:color w:val="auto"/>
                <w:highlight w:val="none"/>
              </w:rPr>
            </w:pPr>
          </w:p>
        </w:tc>
        <w:tc>
          <w:tcPr>
            <w:tcW w:w="3187" w:type="dxa"/>
            <w:shd w:val="clear" w:color="auto" w:fill="auto"/>
            <w:tcMar>
              <w:bottom w:w="0" w:type="dxa"/>
            </w:tcMar>
            <w:vAlign w:val="center"/>
          </w:tcPr>
          <w:p w14:paraId="09C78F2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供水管网末梢服务压力达标检验总次数</w:t>
            </w:r>
          </w:p>
        </w:tc>
        <w:tc>
          <w:tcPr>
            <w:tcW w:w="3022" w:type="dxa"/>
            <w:shd w:val="clear" w:color="auto" w:fill="auto"/>
            <w:tcMar>
              <w:bottom w:w="0" w:type="dxa"/>
            </w:tcMar>
            <w:vAlign w:val="center"/>
          </w:tcPr>
          <w:p w14:paraId="53DC66A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4C0F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074C7EC">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73</w:t>
            </w:r>
          </w:p>
        </w:tc>
        <w:tc>
          <w:tcPr>
            <w:tcW w:w="3204" w:type="dxa"/>
            <w:shd w:val="clear" w:color="auto" w:fill="auto"/>
            <w:tcMar>
              <w:bottom w:w="0" w:type="dxa"/>
            </w:tcMar>
            <w:vAlign w:val="center"/>
          </w:tcPr>
          <w:p w14:paraId="56B8D19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生活污水集中收集率（%）</w:t>
            </w:r>
          </w:p>
        </w:tc>
        <w:tc>
          <w:tcPr>
            <w:tcW w:w="3187" w:type="dxa"/>
            <w:shd w:val="clear" w:color="auto" w:fill="auto"/>
            <w:tcMar>
              <w:bottom w:w="0" w:type="dxa"/>
            </w:tcMar>
            <w:vAlign w:val="center"/>
          </w:tcPr>
          <w:p w14:paraId="0641766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向污水处理厂排水的城区人口</w:t>
            </w:r>
          </w:p>
        </w:tc>
        <w:tc>
          <w:tcPr>
            <w:tcW w:w="3022" w:type="dxa"/>
            <w:shd w:val="clear" w:color="auto" w:fill="auto"/>
            <w:tcMar>
              <w:bottom w:w="0" w:type="dxa"/>
            </w:tcMar>
            <w:vAlign w:val="center"/>
          </w:tcPr>
          <w:p w14:paraId="3C0CF01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5C58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D480BA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74</w:t>
            </w:r>
          </w:p>
        </w:tc>
        <w:tc>
          <w:tcPr>
            <w:tcW w:w="3204" w:type="dxa"/>
            <w:shd w:val="clear" w:color="auto" w:fill="auto"/>
            <w:tcMar>
              <w:bottom w:w="0" w:type="dxa"/>
            </w:tcMar>
            <w:vAlign w:val="center"/>
          </w:tcPr>
          <w:p w14:paraId="0C6B5EC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生活污水集中收集率（%）</w:t>
            </w:r>
          </w:p>
        </w:tc>
        <w:tc>
          <w:tcPr>
            <w:tcW w:w="3187" w:type="dxa"/>
            <w:shd w:val="clear" w:color="auto" w:fill="auto"/>
            <w:tcMar>
              <w:bottom w:w="0" w:type="dxa"/>
            </w:tcMar>
            <w:vAlign w:val="center"/>
          </w:tcPr>
          <w:p w14:paraId="14A0818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城区用水总人口</w:t>
            </w:r>
          </w:p>
        </w:tc>
        <w:tc>
          <w:tcPr>
            <w:tcW w:w="3022" w:type="dxa"/>
            <w:shd w:val="clear" w:color="auto" w:fill="auto"/>
            <w:tcMar>
              <w:bottom w:w="0" w:type="dxa"/>
            </w:tcMar>
            <w:vAlign w:val="center"/>
          </w:tcPr>
          <w:p w14:paraId="65800A8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7F6A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FC455A0">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75</w:t>
            </w:r>
          </w:p>
        </w:tc>
        <w:tc>
          <w:tcPr>
            <w:tcW w:w="3204" w:type="dxa"/>
            <w:shd w:val="clear" w:color="auto" w:fill="auto"/>
            <w:tcMar>
              <w:bottom w:w="0" w:type="dxa"/>
            </w:tcMar>
            <w:vAlign w:val="center"/>
          </w:tcPr>
          <w:p w14:paraId="0DA2230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重要管网监测监控设备安装率（%）</w:t>
            </w:r>
          </w:p>
        </w:tc>
        <w:tc>
          <w:tcPr>
            <w:tcW w:w="3187" w:type="dxa"/>
            <w:shd w:val="clear" w:color="auto" w:fill="auto"/>
            <w:tcMar>
              <w:bottom w:w="0" w:type="dxa"/>
            </w:tcMar>
            <w:vAlign w:val="center"/>
          </w:tcPr>
          <w:p w14:paraId="0E6AE38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建城区内安装检测监控设备的供电、供水、供热管网数</w:t>
            </w:r>
          </w:p>
        </w:tc>
        <w:tc>
          <w:tcPr>
            <w:tcW w:w="3022" w:type="dxa"/>
            <w:shd w:val="clear" w:color="auto" w:fill="auto"/>
            <w:tcMar>
              <w:bottom w:w="0" w:type="dxa"/>
            </w:tcMar>
            <w:vAlign w:val="center"/>
          </w:tcPr>
          <w:p w14:paraId="775F280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46F6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3503B2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76</w:t>
            </w:r>
          </w:p>
        </w:tc>
        <w:tc>
          <w:tcPr>
            <w:tcW w:w="3204" w:type="dxa"/>
            <w:shd w:val="clear" w:color="auto" w:fill="auto"/>
            <w:tcMar>
              <w:bottom w:w="0" w:type="dxa"/>
            </w:tcMar>
            <w:vAlign w:val="center"/>
          </w:tcPr>
          <w:p w14:paraId="5B4D827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重要管网监测监控设备安装率（%）</w:t>
            </w:r>
          </w:p>
        </w:tc>
        <w:tc>
          <w:tcPr>
            <w:tcW w:w="3187" w:type="dxa"/>
            <w:shd w:val="clear" w:color="auto" w:fill="auto"/>
            <w:tcMar>
              <w:bottom w:w="0" w:type="dxa"/>
            </w:tcMar>
            <w:vAlign w:val="center"/>
          </w:tcPr>
          <w:p w14:paraId="419DCE7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建成区内供电、供水、供热管网总数</w:t>
            </w:r>
          </w:p>
        </w:tc>
        <w:tc>
          <w:tcPr>
            <w:tcW w:w="3022" w:type="dxa"/>
            <w:shd w:val="clear" w:color="auto" w:fill="auto"/>
            <w:tcMar>
              <w:bottom w:w="0" w:type="dxa"/>
            </w:tcMar>
            <w:vAlign w:val="center"/>
          </w:tcPr>
          <w:p w14:paraId="0049B4A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福州市城乡建设局</w:t>
            </w:r>
          </w:p>
        </w:tc>
      </w:tr>
      <w:tr w14:paraId="1351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FCF0F1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77</w:t>
            </w:r>
          </w:p>
        </w:tc>
        <w:tc>
          <w:tcPr>
            <w:tcW w:w="3204" w:type="dxa"/>
            <w:shd w:val="clear" w:color="auto" w:fill="auto"/>
            <w:tcMar>
              <w:bottom w:w="0" w:type="dxa"/>
            </w:tcMar>
            <w:vAlign w:val="center"/>
          </w:tcPr>
          <w:p w14:paraId="15D08DC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建成区人均避难场所面积（平方米/人）</w:t>
            </w:r>
          </w:p>
        </w:tc>
        <w:tc>
          <w:tcPr>
            <w:tcW w:w="3187" w:type="dxa"/>
            <w:shd w:val="clear" w:color="auto" w:fill="auto"/>
            <w:tcMar>
              <w:bottom w:w="0" w:type="dxa"/>
            </w:tcMar>
            <w:vAlign w:val="center"/>
          </w:tcPr>
          <w:p w14:paraId="12475E3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城市应急避难场所总面积</w:t>
            </w:r>
          </w:p>
        </w:tc>
        <w:tc>
          <w:tcPr>
            <w:tcW w:w="3022" w:type="dxa"/>
            <w:shd w:val="clear" w:color="auto" w:fill="auto"/>
            <w:tcMar>
              <w:bottom w:w="0" w:type="dxa"/>
            </w:tcMar>
            <w:vAlign w:val="center"/>
          </w:tcPr>
          <w:p w14:paraId="0F23A08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福州市防震减灾中心</w:t>
            </w:r>
          </w:p>
        </w:tc>
      </w:tr>
      <w:tr w14:paraId="5B88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9179BA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78</w:t>
            </w:r>
          </w:p>
        </w:tc>
        <w:tc>
          <w:tcPr>
            <w:tcW w:w="3204" w:type="dxa"/>
            <w:shd w:val="clear" w:color="auto" w:fill="auto"/>
            <w:tcMar>
              <w:bottom w:w="0" w:type="dxa"/>
            </w:tcMar>
            <w:vAlign w:val="center"/>
          </w:tcPr>
          <w:p w14:paraId="6630426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建成区人均避难场所面积（平方米/人）</w:t>
            </w:r>
          </w:p>
        </w:tc>
        <w:tc>
          <w:tcPr>
            <w:tcW w:w="3187" w:type="dxa"/>
            <w:shd w:val="clear" w:color="auto" w:fill="auto"/>
            <w:tcMar>
              <w:bottom w:w="0" w:type="dxa"/>
            </w:tcMar>
            <w:vAlign w:val="center"/>
          </w:tcPr>
          <w:p w14:paraId="6BCA875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城市常住人口数量</w:t>
            </w:r>
          </w:p>
        </w:tc>
        <w:tc>
          <w:tcPr>
            <w:tcW w:w="3022" w:type="dxa"/>
            <w:shd w:val="clear" w:color="auto" w:fill="auto"/>
            <w:tcMar>
              <w:bottom w:w="0" w:type="dxa"/>
            </w:tcMar>
            <w:vAlign w:val="center"/>
          </w:tcPr>
          <w:p w14:paraId="501EE5A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福州市统计年鉴</w:t>
            </w:r>
          </w:p>
        </w:tc>
      </w:tr>
      <w:tr w14:paraId="1147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C562E4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79</w:t>
            </w:r>
          </w:p>
        </w:tc>
        <w:tc>
          <w:tcPr>
            <w:tcW w:w="3204" w:type="dxa"/>
            <w:shd w:val="clear" w:color="auto" w:fill="auto"/>
            <w:tcMar>
              <w:bottom w:w="0" w:type="dxa"/>
            </w:tcMar>
            <w:vAlign w:val="center"/>
          </w:tcPr>
          <w:p w14:paraId="771B6C8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建成区常见内涝积水点密度（个/平方公里）</w:t>
            </w:r>
          </w:p>
        </w:tc>
        <w:tc>
          <w:tcPr>
            <w:tcW w:w="3187" w:type="dxa"/>
            <w:shd w:val="clear" w:color="auto" w:fill="auto"/>
            <w:tcMar>
              <w:bottom w:w="0" w:type="dxa"/>
            </w:tcMar>
            <w:vAlign w:val="center"/>
          </w:tcPr>
          <w:p w14:paraId="4176A62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建成区内常见内涝积水点数量（个）</w:t>
            </w:r>
          </w:p>
        </w:tc>
        <w:tc>
          <w:tcPr>
            <w:tcW w:w="3022" w:type="dxa"/>
            <w:shd w:val="clear" w:color="auto" w:fill="auto"/>
            <w:tcMar>
              <w:bottom w:w="0" w:type="dxa"/>
            </w:tcMar>
            <w:vAlign w:val="center"/>
          </w:tcPr>
          <w:p w14:paraId="5318320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福州市建设局、福州市水利局、福州市自来水公司</w:t>
            </w:r>
          </w:p>
        </w:tc>
      </w:tr>
      <w:tr w14:paraId="606D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835EEE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80</w:t>
            </w:r>
          </w:p>
        </w:tc>
        <w:tc>
          <w:tcPr>
            <w:tcW w:w="3204" w:type="dxa"/>
            <w:shd w:val="clear" w:color="auto" w:fill="auto"/>
            <w:tcMar>
              <w:bottom w:w="0" w:type="dxa"/>
            </w:tcMar>
            <w:vAlign w:val="center"/>
          </w:tcPr>
          <w:p w14:paraId="4614916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城市空气质量优良率（%）</w:t>
            </w:r>
          </w:p>
        </w:tc>
        <w:tc>
          <w:tcPr>
            <w:tcW w:w="3187" w:type="dxa"/>
            <w:shd w:val="clear" w:color="auto" w:fill="auto"/>
            <w:tcMar>
              <w:bottom w:w="0" w:type="dxa"/>
            </w:tcMar>
            <w:vAlign w:val="center"/>
          </w:tcPr>
          <w:p w14:paraId="32CB706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城市建成区全年空气质量指数（AQI指数）≤100的天数</w:t>
            </w:r>
          </w:p>
        </w:tc>
        <w:tc>
          <w:tcPr>
            <w:tcW w:w="3022" w:type="dxa"/>
            <w:shd w:val="clear" w:color="auto" w:fill="auto"/>
            <w:tcMar>
              <w:bottom w:w="0" w:type="dxa"/>
            </w:tcMar>
            <w:vAlign w:val="center"/>
          </w:tcPr>
          <w:p w14:paraId="1E131CD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福州市生态环境局</w:t>
            </w:r>
          </w:p>
        </w:tc>
      </w:tr>
      <w:tr w14:paraId="5761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DC58AEF">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81</w:t>
            </w:r>
          </w:p>
        </w:tc>
        <w:tc>
          <w:tcPr>
            <w:tcW w:w="3204" w:type="dxa"/>
            <w:shd w:val="clear" w:color="auto" w:fill="auto"/>
            <w:tcMar>
              <w:bottom w:w="0" w:type="dxa"/>
            </w:tcMar>
            <w:vAlign w:val="center"/>
          </w:tcPr>
          <w:p w14:paraId="4590219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城市空气质量优良率（%）</w:t>
            </w:r>
          </w:p>
        </w:tc>
        <w:tc>
          <w:tcPr>
            <w:tcW w:w="3187" w:type="dxa"/>
            <w:shd w:val="clear" w:color="auto" w:fill="auto"/>
            <w:tcMar>
              <w:bottom w:w="0" w:type="dxa"/>
            </w:tcMar>
            <w:vAlign w:val="center"/>
          </w:tcPr>
          <w:p w14:paraId="76211C3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城市建成区全年空气质量指数（AQI指数）监测天数</w:t>
            </w:r>
          </w:p>
        </w:tc>
        <w:tc>
          <w:tcPr>
            <w:tcW w:w="3022" w:type="dxa"/>
            <w:shd w:val="clear" w:color="auto" w:fill="auto"/>
            <w:tcMar>
              <w:bottom w:w="0" w:type="dxa"/>
            </w:tcMar>
            <w:vAlign w:val="center"/>
          </w:tcPr>
          <w:p w14:paraId="599C336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福州市生态环境局</w:t>
            </w:r>
          </w:p>
        </w:tc>
      </w:tr>
      <w:tr w14:paraId="6C30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519450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82</w:t>
            </w:r>
          </w:p>
        </w:tc>
        <w:tc>
          <w:tcPr>
            <w:tcW w:w="3204" w:type="dxa"/>
            <w:shd w:val="clear" w:color="auto" w:fill="auto"/>
            <w:tcMar>
              <w:bottom w:w="0" w:type="dxa"/>
            </w:tcMar>
            <w:vAlign w:val="center"/>
          </w:tcPr>
          <w:p w14:paraId="0023E60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好于Ⅴ类水体比例（%）</w:t>
            </w:r>
          </w:p>
        </w:tc>
        <w:tc>
          <w:tcPr>
            <w:tcW w:w="3187" w:type="dxa"/>
            <w:shd w:val="clear" w:color="auto" w:fill="auto"/>
            <w:tcMar>
              <w:bottom w:w="0" w:type="dxa"/>
            </w:tcMar>
            <w:vAlign w:val="center"/>
          </w:tcPr>
          <w:p w14:paraId="026A921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Ⅰ、Ⅱ、Ⅲ、Ⅳ类水体数</w:t>
            </w:r>
          </w:p>
        </w:tc>
        <w:tc>
          <w:tcPr>
            <w:tcW w:w="3022" w:type="dxa"/>
            <w:shd w:val="clear" w:color="auto" w:fill="auto"/>
            <w:tcMar>
              <w:bottom w:w="0" w:type="dxa"/>
            </w:tcMar>
            <w:vAlign w:val="center"/>
          </w:tcPr>
          <w:p w14:paraId="4B76928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福州市生态环境局、福州市水利局</w:t>
            </w:r>
          </w:p>
        </w:tc>
      </w:tr>
      <w:tr w14:paraId="1D3A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30AB316">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83</w:t>
            </w:r>
          </w:p>
        </w:tc>
        <w:tc>
          <w:tcPr>
            <w:tcW w:w="3204" w:type="dxa"/>
            <w:shd w:val="clear" w:color="auto" w:fill="auto"/>
            <w:tcMar>
              <w:bottom w:w="0" w:type="dxa"/>
            </w:tcMar>
            <w:vAlign w:val="center"/>
          </w:tcPr>
          <w:p w14:paraId="4CFAF47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好于Ⅴ类水体比例（%）</w:t>
            </w:r>
          </w:p>
        </w:tc>
        <w:tc>
          <w:tcPr>
            <w:tcW w:w="3187" w:type="dxa"/>
            <w:shd w:val="clear" w:color="auto" w:fill="auto"/>
            <w:tcMar>
              <w:bottom w:w="0" w:type="dxa"/>
            </w:tcMar>
            <w:vAlign w:val="center"/>
          </w:tcPr>
          <w:p w14:paraId="5D6E4F2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城市建成区水体数</w:t>
            </w:r>
          </w:p>
        </w:tc>
        <w:tc>
          <w:tcPr>
            <w:tcW w:w="3022" w:type="dxa"/>
            <w:shd w:val="clear" w:color="auto" w:fill="auto"/>
            <w:tcMar>
              <w:bottom w:w="0" w:type="dxa"/>
            </w:tcMar>
            <w:vAlign w:val="center"/>
          </w:tcPr>
          <w:p w14:paraId="3E2CD0A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福州市生态环境局、福州市水利局</w:t>
            </w:r>
          </w:p>
        </w:tc>
      </w:tr>
      <w:tr w14:paraId="35ED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CA6B49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84</w:t>
            </w:r>
          </w:p>
        </w:tc>
        <w:tc>
          <w:tcPr>
            <w:tcW w:w="3204" w:type="dxa"/>
            <w:shd w:val="clear" w:color="auto" w:fill="auto"/>
            <w:tcMar>
              <w:bottom w:w="0" w:type="dxa"/>
            </w:tcMar>
            <w:vAlign w:val="center"/>
          </w:tcPr>
          <w:p w14:paraId="1DF6E97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常住人口万人“八类”暴力案件发案率（%）</w:t>
            </w:r>
          </w:p>
        </w:tc>
        <w:tc>
          <w:tcPr>
            <w:tcW w:w="3187" w:type="dxa"/>
            <w:shd w:val="clear" w:color="auto" w:fill="auto"/>
            <w:tcMar>
              <w:bottom w:w="0" w:type="dxa"/>
            </w:tcMar>
            <w:vAlign w:val="center"/>
          </w:tcPr>
          <w:p w14:paraId="4D1B2D3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年度“八类”暴力案件数（件）</w:t>
            </w:r>
          </w:p>
        </w:tc>
        <w:tc>
          <w:tcPr>
            <w:tcW w:w="3022" w:type="dxa"/>
            <w:shd w:val="clear" w:color="auto" w:fill="auto"/>
            <w:tcMar>
              <w:bottom w:w="0" w:type="dxa"/>
            </w:tcMar>
            <w:vAlign w:val="center"/>
          </w:tcPr>
          <w:p w14:paraId="7A4D0DB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w:t>
            </w:r>
          </w:p>
        </w:tc>
      </w:tr>
      <w:tr w14:paraId="7A30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CF9F20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85</w:t>
            </w:r>
          </w:p>
        </w:tc>
        <w:tc>
          <w:tcPr>
            <w:tcW w:w="3204" w:type="dxa"/>
            <w:shd w:val="clear" w:color="auto" w:fill="auto"/>
            <w:tcMar>
              <w:bottom w:w="0" w:type="dxa"/>
            </w:tcMar>
            <w:vAlign w:val="center"/>
          </w:tcPr>
          <w:p w14:paraId="73630C5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常住人口万人“八类”暴力案件发案率（%）</w:t>
            </w:r>
          </w:p>
        </w:tc>
        <w:tc>
          <w:tcPr>
            <w:tcW w:w="3187" w:type="dxa"/>
            <w:shd w:val="clear" w:color="auto" w:fill="auto"/>
            <w:tcMar>
              <w:bottom w:w="0" w:type="dxa"/>
            </w:tcMar>
            <w:vAlign w:val="center"/>
          </w:tcPr>
          <w:p w14:paraId="1B074E2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福州市常住人口</w:t>
            </w:r>
          </w:p>
        </w:tc>
        <w:tc>
          <w:tcPr>
            <w:tcW w:w="3022" w:type="dxa"/>
            <w:shd w:val="clear" w:color="auto" w:fill="auto"/>
            <w:tcMar>
              <w:bottom w:w="0" w:type="dxa"/>
            </w:tcMar>
            <w:vAlign w:val="center"/>
          </w:tcPr>
          <w:p w14:paraId="1387D20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福州市统计年鉴</w:t>
            </w:r>
          </w:p>
        </w:tc>
      </w:tr>
      <w:tr w14:paraId="2702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EE79070">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86</w:t>
            </w:r>
          </w:p>
        </w:tc>
        <w:tc>
          <w:tcPr>
            <w:tcW w:w="3204" w:type="dxa"/>
            <w:shd w:val="clear" w:color="auto" w:fill="auto"/>
            <w:tcMar>
              <w:bottom w:w="0" w:type="dxa"/>
            </w:tcMar>
            <w:vAlign w:val="center"/>
          </w:tcPr>
          <w:p w14:paraId="61DB154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亿元国内生产总值生产安全事故死亡率</w:t>
            </w:r>
          </w:p>
        </w:tc>
        <w:tc>
          <w:tcPr>
            <w:tcW w:w="3187" w:type="dxa"/>
            <w:shd w:val="clear" w:color="auto" w:fill="auto"/>
            <w:tcMar>
              <w:bottom w:w="0" w:type="dxa"/>
            </w:tcMar>
            <w:vAlign w:val="center"/>
          </w:tcPr>
          <w:p w14:paraId="0397B70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年度当地生产安全事故死亡总人数</w:t>
            </w:r>
          </w:p>
        </w:tc>
        <w:tc>
          <w:tcPr>
            <w:tcW w:w="3022" w:type="dxa"/>
            <w:shd w:val="clear" w:color="auto" w:fill="auto"/>
            <w:tcMar>
              <w:bottom w:w="0" w:type="dxa"/>
            </w:tcMar>
            <w:vAlign w:val="center"/>
          </w:tcPr>
          <w:p w14:paraId="3126307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福州市应急管理局</w:t>
            </w:r>
          </w:p>
        </w:tc>
      </w:tr>
      <w:tr w14:paraId="3DBD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53B0A6A">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87</w:t>
            </w:r>
          </w:p>
        </w:tc>
        <w:tc>
          <w:tcPr>
            <w:tcW w:w="3204" w:type="dxa"/>
            <w:shd w:val="clear" w:color="auto" w:fill="auto"/>
            <w:tcMar>
              <w:bottom w:w="0" w:type="dxa"/>
            </w:tcMar>
            <w:vAlign w:val="center"/>
          </w:tcPr>
          <w:p w14:paraId="062465C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亿元国内生产总值生产安全事故死亡率</w:t>
            </w:r>
          </w:p>
        </w:tc>
        <w:tc>
          <w:tcPr>
            <w:tcW w:w="3187" w:type="dxa"/>
            <w:shd w:val="clear" w:color="auto" w:fill="auto"/>
            <w:tcMar>
              <w:bottom w:w="0" w:type="dxa"/>
            </w:tcMar>
            <w:vAlign w:val="center"/>
          </w:tcPr>
          <w:p w14:paraId="4E4F71A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年度当地亿元GDP（以亿元为单位）</w:t>
            </w:r>
          </w:p>
        </w:tc>
        <w:tc>
          <w:tcPr>
            <w:tcW w:w="3022" w:type="dxa"/>
            <w:shd w:val="clear" w:color="auto" w:fill="auto"/>
            <w:tcMar>
              <w:bottom w:w="0" w:type="dxa"/>
            </w:tcMar>
            <w:vAlign w:val="center"/>
          </w:tcPr>
          <w:p w14:paraId="692BB19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福州市统计年鉴</w:t>
            </w:r>
          </w:p>
        </w:tc>
      </w:tr>
      <w:tr w14:paraId="025A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09E2904">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88</w:t>
            </w:r>
          </w:p>
        </w:tc>
        <w:tc>
          <w:tcPr>
            <w:tcW w:w="3204" w:type="dxa"/>
            <w:shd w:val="clear" w:color="auto" w:fill="auto"/>
            <w:tcMar>
              <w:bottom w:w="0" w:type="dxa"/>
            </w:tcMar>
            <w:vAlign w:val="center"/>
          </w:tcPr>
          <w:p w14:paraId="7065AC1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万车死亡率（%）</w:t>
            </w:r>
          </w:p>
        </w:tc>
        <w:tc>
          <w:tcPr>
            <w:tcW w:w="3187" w:type="dxa"/>
            <w:shd w:val="clear" w:color="auto" w:fill="auto"/>
            <w:tcMar>
              <w:bottom w:w="0" w:type="dxa"/>
            </w:tcMar>
            <w:vAlign w:val="center"/>
          </w:tcPr>
          <w:p w14:paraId="35BC2E9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交通事故死亡人数</w:t>
            </w:r>
          </w:p>
        </w:tc>
        <w:tc>
          <w:tcPr>
            <w:tcW w:w="3022" w:type="dxa"/>
            <w:shd w:val="clear" w:color="auto" w:fill="auto"/>
            <w:tcMar>
              <w:bottom w:w="0" w:type="dxa"/>
            </w:tcMar>
            <w:vAlign w:val="center"/>
          </w:tcPr>
          <w:p w14:paraId="3B6BA46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04D5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36B7FDB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89</w:t>
            </w:r>
          </w:p>
        </w:tc>
        <w:tc>
          <w:tcPr>
            <w:tcW w:w="3204" w:type="dxa"/>
            <w:shd w:val="clear" w:color="auto" w:fill="auto"/>
            <w:tcMar>
              <w:bottom w:w="0" w:type="dxa"/>
            </w:tcMar>
            <w:vAlign w:val="center"/>
          </w:tcPr>
          <w:p w14:paraId="0713176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万车死亡率（%）</w:t>
            </w:r>
          </w:p>
        </w:tc>
        <w:tc>
          <w:tcPr>
            <w:tcW w:w="3187" w:type="dxa"/>
            <w:shd w:val="clear" w:color="auto" w:fill="auto"/>
            <w:tcMar>
              <w:bottom w:w="0" w:type="dxa"/>
            </w:tcMar>
            <w:vAlign w:val="center"/>
          </w:tcPr>
          <w:p w14:paraId="51F6AE7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机动车拥有量（万车）</w:t>
            </w:r>
          </w:p>
        </w:tc>
        <w:tc>
          <w:tcPr>
            <w:tcW w:w="3022" w:type="dxa"/>
            <w:shd w:val="clear" w:color="auto" w:fill="auto"/>
            <w:tcMar>
              <w:bottom w:w="0" w:type="dxa"/>
            </w:tcMar>
            <w:vAlign w:val="center"/>
          </w:tcPr>
          <w:p w14:paraId="33D3A08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福州市公安局交通警察支队</w:t>
            </w:r>
          </w:p>
        </w:tc>
      </w:tr>
      <w:tr w14:paraId="7A9F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3AEC44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90</w:t>
            </w:r>
          </w:p>
        </w:tc>
        <w:tc>
          <w:tcPr>
            <w:tcW w:w="3204" w:type="dxa"/>
            <w:shd w:val="clear" w:color="auto" w:fill="auto"/>
            <w:tcMar>
              <w:bottom w:w="0" w:type="dxa"/>
            </w:tcMar>
            <w:vAlign w:val="center"/>
          </w:tcPr>
          <w:p w14:paraId="0138F21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年度“生命线”事故数</w:t>
            </w:r>
          </w:p>
        </w:tc>
        <w:tc>
          <w:tcPr>
            <w:tcW w:w="3187" w:type="dxa"/>
            <w:shd w:val="clear" w:color="auto" w:fill="auto"/>
            <w:tcMar>
              <w:bottom w:w="0" w:type="dxa"/>
            </w:tcMar>
            <w:vAlign w:val="center"/>
          </w:tcPr>
          <w:p w14:paraId="2950A70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年度因城市“生命线”建设、管理、运行维护方面的问题，导致城市发生内涝、管线泄漏爆炸、路面塌陷等事故数</w:t>
            </w:r>
          </w:p>
        </w:tc>
        <w:tc>
          <w:tcPr>
            <w:tcW w:w="3022" w:type="dxa"/>
            <w:shd w:val="clear" w:color="auto" w:fill="auto"/>
            <w:tcMar>
              <w:bottom w:w="0" w:type="dxa"/>
            </w:tcMar>
            <w:vAlign w:val="center"/>
          </w:tcPr>
          <w:p w14:paraId="1A1DB1B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福州市应急管理局</w:t>
            </w:r>
          </w:p>
        </w:tc>
      </w:tr>
      <w:tr w14:paraId="131B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0AA1CDF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91</w:t>
            </w:r>
          </w:p>
        </w:tc>
        <w:tc>
          <w:tcPr>
            <w:tcW w:w="3204" w:type="dxa"/>
            <w:shd w:val="clear" w:color="auto" w:fill="auto"/>
            <w:tcMar>
              <w:bottom w:w="0" w:type="dxa"/>
            </w:tcMar>
            <w:vAlign w:val="center"/>
          </w:tcPr>
          <w:p w14:paraId="735271D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窨井盖完好率（%）</w:t>
            </w:r>
          </w:p>
        </w:tc>
        <w:tc>
          <w:tcPr>
            <w:tcW w:w="3187" w:type="dxa"/>
            <w:shd w:val="clear" w:color="auto" w:fill="auto"/>
            <w:tcMar>
              <w:bottom w:w="0" w:type="dxa"/>
            </w:tcMar>
            <w:vAlign w:val="center"/>
          </w:tcPr>
          <w:p w14:paraId="312B4E7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年度窨井盖问题数量</w:t>
            </w:r>
          </w:p>
        </w:tc>
        <w:tc>
          <w:tcPr>
            <w:tcW w:w="3022" w:type="dxa"/>
            <w:shd w:val="clear" w:color="auto" w:fill="auto"/>
            <w:tcMar>
              <w:bottom w:w="0" w:type="dxa"/>
            </w:tcMar>
            <w:vAlign w:val="center"/>
          </w:tcPr>
          <w:p w14:paraId="098983BA">
            <w:pPr>
              <w:keepNext w:val="0"/>
              <w:keepLines w:val="0"/>
              <w:widowControl/>
              <w:suppressLineNumbers w:val="0"/>
              <w:jc w:val="left"/>
              <w:outlineLvl w:val="9"/>
              <w:rPr>
                <w:rFonts w:hint="eastAsia" w:ascii="宋体" w:hAnsi="宋体" w:eastAsia="宋体" w:cs="宋体"/>
                <w:color w:val="auto"/>
                <w:highlight w:val="none"/>
              </w:rPr>
            </w:pPr>
          </w:p>
        </w:tc>
      </w:tr>
      <w:tr w14:paraId="1B3C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F05547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92</w:t>
            </w:r>
          </w:p>
        </w:tc>
        <w:tc>
          <w:tcPr>
            <w:tcW w:w="3204" w:type="dxa"/>
            <w:shd w:val="clear" w:color="auto" w:fill="auto"/>
            <w:tcMar>
              <w:bottom w:w="0" w:type="dxa"/>
            </w:tcMar>
            <w:vAlign w:val="center"/>
          </w:tcPr>
          <w:p w14:paraId="1F10CE1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窨井盖完好率（%）</w:t>
            </w:r>
          </w:p>
        </w:tc>
        <w:tc>
          <w:tcPr>
            <w:tcW w:w="3187" w:type="dxa"/>
            <w:shd w:val="clear" w:color="auto" w:fill="auto"/>
            <w:tcMar>
              <w:bottom w:w="0" w:type="dxa"/>
            </w:tcMar>
            <w:vAlign w:val="center"/>
          </w:tcPr>
          <w:p w14:paraId="16FACD0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窨井盖总数</w:t>
            </w:r>
          </w:p>
        </w:tc>
        <w:tc>
          <w:tcPr>
            <w:tcW w:w="3022" w:type="dxa"/>
            <w:shd w:val="clear" w:color="auto" w:fill="auto"/>
            <w:tcMar>
              <w:bottom w:w="0" w:type="dxa"/>
            </w:tcMar>
            <w:vAlign w:val="center"/>
          </w:tcPr>
          <w:p w14:paraId="0271DC5E">
            <w:pPr>
              <w:keepNext w:val="0"/>
              <w:keepLines w:val="0"/>
              <w:widowControl/>
              <w:suppressLineNumbers w:val="0"/>
              <w:jc w:val="left"/>
              <w:outlineLvl w:val="9"/>
              <w:rPr>
                <w:rFonts w:hint="eastAsia" w:ascii="宋体" w:hAnsi="宋体" w:eastAsia="宋体" w:cs="宋体"/>
                <w:color w:val="auto"/>
                <w:highlight w:val="none"/>
              </w:rPr>
            </w:pPr>
          </w:p>
        </w:tc>
      </w:tr>
      <w:tr w14:paraId="1728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6DD97D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93</w:t>
            </w:r>
          </w:p>
        </w:tc>
        <w:tc>
          <w:tcPr>
            <w:tcW w:w="3204" w:type="dxa"/>
            <w:shd w:val="clear" w:color="auto" w:fill="auto"/>
            <w:tcMar>
              <w:bottom w:w="0" w:type="dxa"/>
            </w:tcMar>
            <w:vAlign w:val="center"/>
          </w:tcPr>
          <w:p w14:paraId="10795BA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120平均到达时间</w:t>
            </w:r>
          </w:p>
        </w:tc>
        <w:tc>
          <w:tcPr>
            <w:tcW w:w="3187" w:type="dxa"/>
            <w:shd w:val="clear" w:color="auto" w:fill="auto"/>
            <w:tcMar>
              <w:bottom w:w="0" w:type="dxa"/>
            </w:tcMar>
            <w:vAlign w:val="center"/>
          </w:tcPr>
          <w:p w14:paraId="611B36E4">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120平均到达时间</w:t>
            </w:r>
          </w:p>
        </w:tc>
        <w:tc>
          <w:tcPr>
            <w:tcW w:w="3022" w:type="dxa"/>
            <w:shd w:val="clear" w:color="auto" w:fill="auto"/>
            <w:tcMar>
              <w:bottom w:w="0" w:type="dxa"/>
            </w:tcMar>
            <w:vAlign w:val="center"/>
          </w:tcPr>
          <w:p w14:paraId="0AB2180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福州市卫生健康委员会、福州市消防救援支队、福州市公安局</w:t>
            </w:r>
          </w:p>
        </w:tc>
      </w:tr>
      <w:tr w14:paraId="5B38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1B6BBB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94</w:t>
            </w:r>
          </w:p>
        </w:tc>
        <w:tc>
          <w:tcPr>
            <w:tcW w:w="3204" w:type="dxa"/>
            <w:shd w:val="clear" w:color="auto" w:fill="auto"/>
            <w:tcMar>
              <w:bottom w:w="0" w:type="dxa"/>
            </w:tcMar>
            <w:vAlign w:val="center"/>
          </w:tcPr>
          <w:p w14:paraId="031C40B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119平均到达时间</w:t>
            </w:r>
          </w:p>
        </w:tc>
        <w:tc>
          <w:tcPr>
            <w:tcW w:w="3187" w:type="dxa"/>
            <w:shd w:val="clear" w:color="auto" w:fill="auto"/>
            <w:tcMar>
              <w:bottom w:w="0" w:type="dxa"/>
            </w:tcMar>
            <w:vAlign w:val="center"/>
          </w:tcPr>
          <w:p w14:paraId="2C4E063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119平均到达时间</w:t>
            </w:r>
          </w:p>
        </w:tc>
        <w:tc>
          <w:tcPr>
            <w:tcW w:w="3022" w:type="dxa"/>
            <w:shd w:val="clear" w:color="auto" w:fill="auto"/>
            <w:tcMar>
              <w:bottom w:w="0" w:type="dxa"/>
            </w:tcMar>
            <w:vAlign w:val="center"/>
          </w:tcPr>
          <w:p w14:paraId="5C40D25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福州市卫生健康委员会、福州市消防救援支队、福州市公安局</w:t>
            </w:r>
          </w:p>
        </w:tc>
      </w:tr>
      <w:tr w14:paraId="4982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CC1A97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95</w:t>
            </w:r>
          </w:p>
        </w:tc>
        <w:tc>
          <w:tcPr>
            <w:tcW w:w="3204" w:type="dxa"/>
            <w:shd w:val="clear" w:color="auto" w:fill="auto"/>
            <w:tcMar>
              <w:bottom w:w="0" w:type="dxa"/>
            </w:tcMar>
            <w:vAlign w:val="center"/>
          </w:tcPr>
          <w:p w14:paraId="2C743C9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市区消防员占常住人口比例</w:t>
            </w:r>
          </w:p>
        </w:tc>
        <w:tc>
          <w:tcPr>
            <w:tcW w:w="3187" w:type="dxa"/>
            <w:shd w:val="clear" w:color="auto" w:fill="auto"/>
            <w:tcMar>
              <w:bottom w:w="0" w:type="dxa"/>
            </w:tcMar>
            <w:vAlign w:val="center"/>
          </w:tcPr>
          <w:p w14:paraId="73E1D68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市区总消防员数（人）</w:t>
            </w:r>
          </w:p>
        </w:tc>
        <w:tc>
          <w:tcPr>
            <w:tcW w:w="3022" w:type="dxa"/>
            <w:shd w:val="clear" w:color="auto" w:fill="auto"/>
            <w:tcMar>
              <w:bottom w:w="0" w:type="dxa"/>
            </w:tcMar>
            <w:vAlign w:val="center"/>
          </w:tcPr>
          <w:p w14:paraId="75DAD13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福州市消防救援支队</w:t>
            </w:r>
          </w:p>
        </w:tc>
      </w:tr>
      <w:tr w14:paraId="47B8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B9D2763">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96</w:t>
            </w:r>
          </w:p>
        </w:tc>
        <w:tc>
          <w:tcPr>
            <w:tcW w:w="3204" w:type="dxa"/>
            <w:shd w:val="clear" w:color="auto" w:fill="auto"/>
            <w:tcMar>
              <w:bottom w:w="0" w:type="dxa"/>
            </w:tcMar>
            <w:vAlign w:val="center"/>
          </w:tcPr>
          <w:p w14:paraId="1C68ACF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市区消防员占常住人口比例</w:t>
            </w:r>
          </w:p>
        </w:tc>
        <w:tc>
          <w:tcPr>
            <w:tcW w:w="3187" w:type="dxa"/>
            <w:shd w:val="clear" w:color="auto" w:fill="auto"/>
            <w:tcMar>
              <w:bottom w:w="0" w:type="dxa"/>
            </w:tcMar>
            <w:vAlign w:val="center"/>
          </w:tcPr>
          <w:p w14:paraId="4023E8B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城市常住人口数（万人）</w:t>
            </w:r>
          </w:p>
        </w:tc>
        <w:tc>
          <w:tcPr>
            <w:tcW w:w="3022" w:type="dxa"/>
            <w:shd w:val="clear" w:color="auto" w:fill="auto"/>
            <w:tcMar>
              <w:bottom w:w="0" w:type="dxa"/>
            </w:tcMar>
            <w:vAlign w:val="center"/>
          </w:tcPr>
          <w:p w14:paraId="08FCC267">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福州市统计年鉴</w:t>
            </w:r>
          </w:p>
        </w:tc>
      </w:tr>
      <w:tr w14:paraId="7B70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D0ADEC2">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97</w:t>
            </w:r>
          </w:p>
        </w:tc>
        <w:tc>
          <w:tcPr>
            <w:tcW w:w="3204" w:type="dxa"/>
            <w:shd w:val="clear" w:color="auto" w:fill="auto"/>
            <w:tcMar>
              <w:bottom w:w="0" w:type="dxa"/>
            </w:tcMar>
            <w:vAlign w:val="center"/>
          </w:tcPr>
          <w:p w14:paraId="18450AC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每万人医生数、每万人护士数（人/万人），每千人医疗机构床位数（张/千人）</w:t>
            </w:r>
          </w:p>
        </w:tc>
        <w:tc>
          <w:tcPr>
            <w:tcW w:w="3187" w:type="dxa"/>
            <w:shd w:val="clear" w:color="auto" w:fill="auto"/>
            <w:tcMar>
              <w:bottom w:w="0" w:type="dxa"/>
            </w:tcMar>
            <w:vAlign w:val="center"/>
          </w:tcPr>
          <w:p w14:paraId="3F62A31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医生数</w:t>
            </w:r>
          </w:p>
        </w:tc>
        <w:tc>
          <w:tcPr>
            <w:tcW w:w="3022" w:type="dxa"/>
            <w:shd w:val="clear" w:color="auto" w:fill="auto"/>
            <w:tcMar>
              <w:bottom w:w="0" w:type="dxa"/>
            </w:tcMar>
            <w:vAlign w:val="center"/>
          </w:tcPr>
          <w:p w14:paraId="3135563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福州市统计年鉴</w:t>
            </w:r>
          </w:p>
        </w:tc>
      </w:tr>
      <w:tr w14:paraId="60CE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6F5C9C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98</w:t>
            </w:r>
          </w:p>
        </w:tc>
        <w:tc>
          <w:tcPr>
            <w:tcW w:w="3204" w:type="dxa"/>
            <w:shd w:val="clear" w:color="auto" w:fill="auto"/>
            <w:tcMar>
              <w:bottom w:w="0" w:type="dxa"/>
            </w:tcMar>
            <w:vAlign w:val="center"/>
          </w:tcPr>
          <w:p w14:paraId="11262E8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每万人医生数、每万人护士数（人/万人），每千人医疗机构床位数（张/千人）</w:t>
            </w:r>
          </w:p>
        </w:tc>
        <w:tc>
          <w:tcPr>
            <w:tcW w:w="3187" w:type="dxa"/>
            <w:shd w:val="clear" w:color="auto" w:fill="auto"/>
            <w:tcMar>
              <w:bottom w:w="0" w:type="dxa"/>
            </w:tcMar>
            <w:vAlign w:val="center"/>
          </w:tcPr>
          <w:p w14:paraId="2213004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护士数</w:t>
            </w:r>
          </w:p>
        </w:tc>
        <w:tc>
          <w:tcPr>
            <w:tcW w:w="3022" w:type="dxa"/>
            <w:shd w:val="clear" w:color="auto" w:fill="auto"/>
            <w:tcMar>
              <w:bottom w:w="0" w:type="dxa"/>
            </w:tcMar>
            <w:vAlign w:val="center"/>
          </w:tcPr>
          <w:p w14:paraId="793E728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福州市统计年鉴</w:t>
            </w:r>
          </w:p>
        </w:tc>
      </w:tr>
      <w:tr w14:paraId="2198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D586FEC">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99</w:t>
            </w:r>
          </w:p>
        </w:tc>
        <w:tc>
          <w:tcPr>
            <w:tcW w:w="3204" w:type="dxa"/>
            <w:shd w:val="clear" w:color="auto" w:fill="auto"/>
            <w:tcMar>
              <w:bottom w:w="0" w:type="dxa"/>
            </w:tcMar>
            <w:vAlign w:val="center"/>
          </w:tcPr>
          <w:p w14:paraId="528639B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每万人医生数、每万人护士数（人/万人），每千人医疗机构床位数（张/千人）</w:t>
            </w:r>
          </w:p>
        </w:tc>
        <w:tc>
          <w:tcPr>
            <w:tcW w:w="3187" w:type="dxa"/>
            <w:shd w:val="clear" w:color="auto" w:fill="auto"/>
            <w:tcMar>
              <w:bottom w:w="0" w:type="dxa"/>
            </w:tcMar>
            <w:vAlign w:val="center"/>
          </w:tcPr>
          <w:p w14:paraId="0B98CBB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医疗机构床位数</w:t>
            </w:r>
          </w:p>
        </w:tc>
        <w:tc>
          <w:tcPr>
            <w:tcW w:w="3022" w:type="dxa"/>
            <w:shd w:val="clear" w:color="auto" w:fill="auto"/>
            <w:tcMar>
              <w:bottom w:w="0" w:type="dxa"/>
            </w:tcMar>
            <w:vAlign w:val="center"/>
          </w:tcPr>
          <w:p w14:paraId="031B7E4C">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福州市统计年鉴</w:t>
            </w:r>
          </w:p>
        </w:tc>
      </w:tr>
      <w:tr w14:paraId="6C76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5C24F3F">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100</w:t>
            </w:r>
          </w:p>
        </w:tc>
        <w:tc>
          <w:tcPr>
            <w:tcW w:w="3204" w:type="dxa"/>
            <w:shd w:val="clear" w:color="auto" w:fill="auto"/>
            <w:tcMar>
              <w:bottom w:w="0" w:type="dxa"/>
            </w:tcMar>
            <w:vAlign w:val="center"/>
          </w:tcPr>
          <w:p w14:paraId="5DB2014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城市管理信息化平台覆盖率（%）</w:t>
            </w:r>
          </w:p>
        </w:tc>
        <w:tc>
          <w:tcPr>
            <w:tcW w:w="3187" w:type="dxa"/>
            <w:shd w:val="clear" w:color="auto" w:fill="auto"/>
            <w:tcMar>
              <w:bottom w:w="0" w:type="dxa"/>
            </w:tcMar>
            <w:vAlign w:val="center"/>
          </w:tcPr>
          <w:p w14:paraId="3794F35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建成使用城市管理信息化平台的市辖区数量</w:t>
            </w:r>
          </w:p>
        </w:tc>
        <w:tc>
          <w:tcPr>
            <w:tcW w:w="3022" w:type="dxa"/>
            <w:shd w:val="clear" w:color="auto" w:fill="auto"/>
            <w:tcMar>
              <w:bottom w:w="0" w:type="dxa"/>
            </w:tcMar>
            <w:vAlign w:val="center"/>
          </w:tcPr>
          <w:p w14:paraId="6136B55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福州市智慧福州中心</w:t>
            </w:r>
          </w:p>
        </w:tc>
      </w:tr>
      <w:tr w14:paraId="1A31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1EC8E2C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101</w:t>
            </w:r>
          </w:p>
        </w:tc>
        <w:tc>
          <w:tcPr>
            <w:tcW w:w="3204" w:type="dxa"/>
            <w:shd w:val="clear" w:color="auto" w:fill="auto"/>
            <w:tcMar>
              <w:bottom w:w="0" w:type="dxa"/>
            </w:tcMar>
            <w:vAlign w:val="center"/>
          </w:tcPr>
          <w:p w14:paraId="34DDBA4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按期处置率（%）</w:t>
            </w:r>
          </w:p>
        </w:tc>
        <w:tc>
          <w:tcPr>
            <w:tcW w:w="3187" w:type="dxa"/>
            <w:shd w:val="clear" w:color="auto" w:fill="auto"/>
            <w:tcMar>
              <w:bottom w:w="0" w:type="dxa"/>
            </w:tcMar>
            <w:vAlign w:val="center"/>
          </w:tcPr>
          <w:p w14:paraId="0DCE63E5">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按期处置率</w:t>
            </w:r>
          </w:p>
        </w:tc>
        <w:tc>
          <w:tcPr>
            <w:tcW w:w="3022" w:type="dxa"/>
            <w:shd w:val="clear" w:color="auto" w:fill="auto"/>
            <w:tcMar>
              <w:bottom w:w="0" w:type="dxa"/>
            </w:tcMar>
            <w:vAlign w:val="center"/>
          </w:tcPr>
          <w:p w14:paraId="0C65634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福州市智慧福州中心</w:t>
            </w:r>
          </w:p>
        </w:tc>
      </w:tr>
      <w:tr w14:paraId="3903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2912F599">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102</w:t>
            </w:r>
          </w:p>
        </w:tc>
        <w:tc>
          <w:tcPr>
            <w:tcW w:w="3204" w:type="dxa"/>
            <w:shd w:val="clear" w:color="auto" w:fill="auto"/>
            <w:tcMar>
              <w:bottom w:w="0" w:type="dxa"/>
            </w:tcMar>
            <w:vAlign w:val="center"/>
          </w:tcPr>
          <w:p w14:paraId="412AC73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群众诉求处置回访满意度</w:t>
            </w:r>
          </w:p>
        </w:tc>
        <w:tc>
          <w:tcPr>
            <w:tcW w:w="3187" w:type="dxa"/>
            <w:shd w:val="clear" w:color="auto" w:fill="auto"/>
            <w:tcMar>
              <w:bottom w:w="0" w:type="dxa"/>
            </w:tcMar>
            <w:vAlign w:val="center"/>
          </w:tcPr>
          <w:p w14:paraId="1A5AA3C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群众诉求处置回访满意度</w:t>
            </w:r>
          </w:p>
        </w:tc>
        <w:tc>
          <w:tcPr>
            <w:tcW w:w="3022" w:type="dxa"/>
            <w:shd w:val="clear" w:color="auto" w:fill="auto"/>
            <w:tcMar>
              <w:bottom w:w="0" w:type="dxa"/>
            </w:tcMar>
            <w:vAlign w:val="center"/>
          </w:tcPr>
          <w:p w14:paraId="0E84235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福州市智慧福州中心</w:t>
            </w:r>
          </w:p>
        </w:tc>
      </w:tr>
      <w:tr w14:paraId="68DC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9C943CF">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103</w:t>
            </w:r>
          </w:p>
        </w:tc>
        <w:tc>
          <w:tcPr>
            <w:tcW w:w="3204" w:type="dxa"/>
            <w:shd w:val="clear" w:color="auto" w:fill="auto"/>
            <w:tcMar>
              <w:bottom w:w="0" w:type="dxa"/>
            </w:tcMar>
            <w:vAlign w:val="center"/>
          </w:tcPr>
          <w:p w14:paraId="1E28689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志愿者参与度</w:t>
            </w:r>
          </w:p>
        </w:tc>
        <w:tc>
          <w:tcPr>
            <w:tcW w:w="3187" w:type="dxa"/>
            <w:shd w:val="clear" w:color="auto" w:fill="auto"/>
            <w:tcMar>
              <w:bottom w:w="0" w:type="dxa"/>
            </w:tcMar>
            <w:vAlign w:val="center"/>
          </w:tcPr>
          <w:p w14:paraId="6718A3B9">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注册志愿者人数</w:t>
            </w:r>
          </w:p>
        </w:tc>
        <w:tc>
          <w:tcPr>
            <w:tcW w:w="3022" w:type="dxa"/>
            <w:shd w:val="clear" w:color="auto" w:fill="auto"/>
            <w:tcMar>
              <w:bottom w:w="0" w:type="dxa"/>
            </w:tcMar>
            <w:vAlign w:val="center"/>
          </w:tcPr>
          <w:p w14:paraId="43C6E11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中共福州市委精神文明建设办公室</w:t>
            </w:r>
          </w:p>
        </w:tc>
      </w:tr>
      <w:tr w14:paraId="7B4D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440B8ADD">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104</w:t>
            </w:r>
          </w:p>
        </w:tc>
        <w:tc>
          <w:tcPr>
            <w:tcW w:w="3204" w:type="dxa"/>
            <w:shd w:val="clear" w:color="auto" w:fill="auto"/>
            <w:tcMar>
              <w:bottom w:w="0" w:type="dxa"/>
            </w:tcMar>
            <w:vAlign w:val="center"/>
          </w:tcPr>
          <w:p w14:paraId="77A2C96E">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志愿者参与度</w:t>
            </w:r>
          </w:p>
        </w:tc>
        <w:tc>
          <w:tcPr>
            <w:tcW w:w="3187" w:type="dxa"/>
            <w:shd w:val="clear" w:color="auto" w:fill="auto"/>
            <w:tcMar>
              <w:bottom w:w="0" w:type="dxa"/>
            </w:tcMar>
            <w:vAlign w:val="center"/>
          </w:tcPr>
          <w:p w14:paraId="0793303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有志愿服务时间记录的志愿者人数</w:t>
            </w:r>
          </w:p>
        </w:tc>
        <w:tc>
          <w:tcPr>
            <w:tcW w:w="3022" w:type="dxa"/>
            <w:shd w:val="clear" w:color="auto" w:fill="auto"/>
            <w:tcMar>
              <w:bottom w:w="0" w:type="dxa"/>
            </w:tcMar>
            <w:vAlign w:val="center"/>
          </w:tcPr>
          <w:p w14:paraId="698708F3">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中共福州市委精神文明建设办公室</w:t>
            </w:r>
          </w:p>
        </w:tc>
      </w:tr>
      <w:tr w14:paraId="0278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66DF8297">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105</w:t>
            </w:r>
          </w:p>
        </w:tc>
        <w:tc>
          <w:tcPr>
            <w:tcW w:w="3204" w:type="dxa"/>
            <w:shd w:val="clear" w:color="auto" w:fill="auto"/>
            <w:tcMar>
              <w:bottom w:w="0" w:type="dxa"/>
            </w:tcMar>
            <w:vAlign w:val="center"/>
          </w:tcPr>
          <w:p w14:paraId="7814B87A">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规章制度、标准体系、统筹协调机制、年度绩效考核等</w:t>
            </w:r>
          </w:p>
        </w:tc>
        <w:tc>
          <w:tcPr>
            <w:tcW w:w="3187" w:type="dxa"/>
            <w:shd w:val="clear" w:color="auto" w:fill="auto"/>
            <w:tcMar>
              <w:bottom w:w="0" w:type="dxa"/>
            </w:tcMar>
            <w:vAlign w:val="center"/>
          </w:tcPr>
          <w:p w14:paraId="05BD4AC2">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规章制度、标准体系、统筹协调机制、年度绩效考核建立情况</w:t>
            </w:r>
          </w:p>
        </w:tc>
        <w:tc>
          <w:tcPr>
            <w:tcW w:w="3022" w:type="dxa"/>
            <w:shd w:val="clear" w:color="auto" w:fill="auto"/>
            <w:tcMar>
              <w:bottom w:w="0" w:type="dxa"/>
            </w:tcMar>
            <w:vAlign w:val="center"/>
          </w:tcPr>
          <w:p w14:paraId="3193876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福州市政府办公室、福州市城市管理委员会、福州市司法局、福州市效能办、福州市应急管理局、福州市财政局</w:t>
            </w:r>
          </w:p>
        </w:tc>
      </w:tr>
      <w:tr w14:paraId="43A7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AE5E65B">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106</w:t>
            </w:r>
          </w:p>
        </w:tc>
        <w:tc>
          <w:tcPr>
            <w:tcW w:w="3204" w:type="dxa"/>
            <w:shd w:val="clear" w:color="auto" w:fill="auto"/>
            <w:tcMar>
              <w:bottom w:w="0" w:type="dxa"/>
            </w:tcMar>
            <w:vAlign w:val="center"/>
          </w:tcPr>
          <w:p w14:paraId="35C426DF">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社会媒体大数据分析</w:t>
            </w:r>
          </w:p>
        </w:tc>
        <w:tc>
          <w:tcPr>
            <w:tcW w:w="3187" w:type="dxa"/>
            <w:shd w:val="clear" w:color="auto" w:fill="auto"/>
            <w:tcMar>
              <w:bottom w:w="0" w:type="dxa"/>
            </w:tcMar>
            <w:vAlign w:val="center"/>
          </w:tcPr>
          <w:p w14:paraId="2AE3CFC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社会媒体大数据结果</w:t>
            </w:r>
          </w:p>
        </w:tc>
        <w:tc>
          <w:tcPr>
            <w:tcW w:w="3022" w:type="dxa"/>
            <w:shd w:val="clear" w:color="auto" w:fill="auto"/>
            <w:tcMar>
              <w:bottom w:w="0" w:type="dxa"/>
            </w:tcMar>
            <w:vAlign w:val="center"/>
          </w:tcPr>
          <w:p w14:paraId="24AB8EF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互联网</w:t>
            </w:r>
          </w:p>
        </w:tc>
      </w:tr>
      <w:tr w14:paraId="2340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72CE24DE">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107</w:t>
            </w:r>
          </w:p>
        </w:tc>
        <w:tc>
          <w:tcPr>
            <w:tcW w:w="3204" w:type="dxa"/>
            <w:shd w:val="clear" w:color="auto" w:fill="auto"/>
            <w:tcMar>
              <w:bottom w:w="0" w:type="dxa"/>
            </w:tcMar>
            <w:vAlign w:val="center"/>
          </w:tcPr>
          <w:p w14:paraId="441330A0">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城市综合管理服务满意度测评</w:t>
            </w:r>
          </w:p>
        </w:tc>
        <w:tc>
          <w:tcPr>
            <w:tcW w:w="3187" w:type="dxa"/>
            <w:shd w:val="clear" w:color="auto" w:fill="auto"/>
            <w:tcMar>
              <w:bottom w:w="0" w:type="dxa"/>
            </w:tcMar>
            <w:vAlign w:val="center"/>
          </w:tcPr>
          <w:p w14:paraId="666394CD">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城市综合管理服务满意度测评结果</w:t>
            </w:r>
          </w:p>
        </w:tc>
        <w:tc>
          <w:tcPr>
            <w:tcW w:w="3022" w:type="dxa"/>
            <w:shd w:val="clear" w:color="auto" w:fill="auto"/>
            <w:tcMar>
              <w:bottom w:w="0" w:type="dxa"/>
            </w:tcMar>
            <w:vAlign w:val="center"/>
          </w:tcPr>
          <w:p w14:paraId="63C5FE5B">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福州市“智慧福州”管理服务中心</w:t>
            </w:r>
          </w:p>
        </w:tc>
      </w:tr>
      <w:tr w14:paraId="7BE5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blCellSpacing w:w="15" w:type="dxa"/>
          <w:jc w:val="center"/>
        </w:trPr>
        <w:tc>
          <w:tcPr>
            <w:tcW w:w="727" w:type="dxa"/>
            <w:shd w:val="clear" w:color="auto" w:fill="auto"/>
            <w:tcMar>
              <w:bottom w:w="0" w:type="dxa"/>
            </w:tcMar>
            <w:vAlign w:val="center"/>
          </w:tcPr>
          <w:p w14:paraId="53F69CA8">
            <w:pPr>
              <w:pStyle w:val="14"/>
              <w:keepNext w:val="0"/>
              <w:keepLines w:val="0"/>
              <w:widowControl/>
              <w:suppressLineNumbers w:val="0"/>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108</w:t>
            </w:r>
          </w:p>
        </w:tc>
        <w:tc>
          <w:tcPr>
            <w:tcW w:w="3204" w:type="dxa"/>
            <w:shd w:val="clear" w:color="auto" w:fill="auto"/>
            <w:tcMar>
              <w:bottom w:w="0" w:type="dxa"/>
            </w:tcMar>
            <w:vAlign w:val="center"/>
          </w:tcPr>
          <w:p w14:paraId="3B451511">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城市人居环境满意度测评</w:t>
            </w:r>
          </w:p>
        </w:tc>
        <w:tc>
          <w:tcPr>
            <w:tcW w:w="3187" w:type="dxa"/>
            <w:shd w:val="clear" w:color="auto" w:fill="auto"/>
            <w:tcMar>
              <w:bottom w:w="0" w:type="dxa"/>
            </w:tcMar>
            <w:vAlign w:val="center"/>
          </w:tcPr>
          <w:p w14:paraId="2A48E006">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城市人居环境满意度测评结果</w:t>
            </w:r>
          </w:p>
        </w:tc>
        <w:tc>
          <w:tcPr>
            <w:tcW w:w="3022" w:type="dxa"/>
            <w:shd w:val="clear" w:color="auto" w:fill="auto"/>
            <w:tcMar>
              <w:bottom w:w="0" w:type="dxa"/>
            </w:tcMar>
            <w:vAlign w:val="center"/>
          </w:tcPr>
          <w:p w14:paraId="46EADD98">
            <w:pPr>
              <w:pStyle w:val="14"/>
              <w:keepNext w:val="0"/>
              <w:keepLines w:val="0"/>
              <w:widowControl/>
              <w:suppressLineNumbers w:val="0"/>
              <w:textAlignment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福州市“智慧福州”管理服务中心</w:t>
            </w:r>
          </w:p>
        </w:tc>
      </w:tr>
    </w:tbl>
    <w:p w14:paraId="6405501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73CCE45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1.1.7.5 </w:t>
      </w:r>
      <w:r>
        <w:rPr>
          <w:rFonts w:hint="eastAsia" w:ascii="宋体" w:hAnsi="宋体" w:eastAsia="宋体" w:cs="宋体"/>
          <w:color w:val="auto"/>
          <w:sz w:val="28"/>
          <w:szCs w:val="28"/>
          <w:highlight w:val="none"/>
        </w:rPr>
        <w:t>评价任务管理</w:t>
      </w:r>
    </w:p>
    <w:p w14:paraId="4E5C47C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1.1.7.5.1 </w:t>
      </w:r>
      <w:r>
        <w:rPr>
          <w:rFonts w:hint="eastAsia" w:ascii="宋体" w:hAnsi="宋体" w:eastAsia="宋体" w:cs="宋体"/>
          <w:color w:val="auto"/>
          <w:sz w:val="28"/>
          <w:szCs w:val="28"/>
          <w:highlight w:val="none"/>
        </w:rPr>
        <w:t>下发任务</w:t>
      </w:r>
    </w:p>
    <w:p w14:paraId="550BF736">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根据被考核城市和参与考核人员进行相应现场检查任务的下发。</w:t>
      </w:r>
    </w:p>
    <w:p w14:paraId="2430160A">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（1）选择考评对象。</w:t>
      </w:r>
    </w:p>
    <w:p w14:paraId="77F7E393">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（2）抽取考核样本点，支持根据不同类型的样本点，</w:t>
      </w:r>
      <w:r>
        <w:rPr>
          <w:rStyle w:val="17"/>
          <w:rFonts w:hint="eastAsia" w:ascii="宋体" w:hAnsi="宋体" w:eastAsia="宋体" w:cs="宋体"/>
          <w:color w:val="auto"/>
          <w:sz w:val="24"/>
          <w:szCs w:val="24"/>
          <w:highlight w:val="none"/>
        </w:rPr>
        <w:t>按照数量比例抽取</w:t>
      </w:r>
      <w:r>
        <w:rPr>
          <w:rFonts w:hint="eastAsia" w:ascii="宋体" w:hAnsi="宋体" w:eastAsia="宋体" w:cs="宋体"/>
          <w:color w:val="auto"/>
          <w:sz w:val="24"/>
          <w:szCs w:val="24"/>
          <w:highlight w:val="none"/>
        </w:rPr>
        <w:t>。支持根据样本点的属性，</w:t>
      </w:r>
      <w:r>
        <w:rPr>
          <w:rStyle w:val="17"/>
          <w:rFonts w:hint="eastAsia" w:ascii="宋体" w:hAnsi="宋体" w:eastAsia="宋体" w:cs="宋体"/>
          <w:color w:val="auto"/>
          <w:sz w:val="24"/>
          <w:szCs w:val="24"/>
          <w:highlight w:val="none"/>
        </w:rPr>
        <w:t>按照属性比例抽取</w:t>
      </w:r>
      <w:r>
        <w:rPr>
          <w:rFonts w:hint="eastAsia" w:ascii="宋体" w:hAnsi="宋体" w:eastAsia="宋体" w:cs="宋体"/>
          <w:color w:val="auto"/>
          <w:sz w:val="24"/>
          <w:szCs w:val="24"/>
          <w:highlight w:val="none"/>
        </w:rPr>
        <w:t>。</w:t>
      </w:r>
    </w:p>
    <w:p w14:paraId="39718C23">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（3）设置考评组及人员。</w:t>
      </w:r>
    </w:p>
    <w:p w14:paraId="1FF38920">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（4）设置考评人员和抽取的考评样本点关联。</w:t>
      </w:r>
    </w:p>
    <w:p w14:paraId="6DC28BC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1.1.7.5.2 </w:t>
      </w:r>
      <w:r>
        <w:rPr>
          <w:rFonts w:hint="eastAsia" w:ascii="宋体" w:hAnsi="宋体" w:eastAsia="宋体" w:cs="宋体"/>
          <w:color w:val="auto"/>
          <w:sz w:val="28"/>
          <w:szCs w:val="28"/>
          <w:highlight w:val="none"/>
        </w:rPr>
        <w:t>现场考核</w:t>
      </w:r>
    </w:p>
    <w:p w14:paraId="0014C3AE">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专家组成员到达考评城市现场，根据考评任务中分配的考评样本点和检查项进行现场考核，发现检查项中的问题进行上报。</w:t>
      </w:r>
    </w:p>
    <w:p w14:paraId="3FA2DF1F">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（1）选择城市，根据现场定位，自动获取考核城市。</w:t>
      </w:r>
    </w:p>
    <w:p w14:paraId="539C8F99">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（2）选择考核点，道路、公共场所、环卫设施、水体等。</w:t>
      </w:r>
    </w:p>
    <w:p w14:paraId="0C1B1081">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（3）选择现场检查类型，对应考核点的检查类型。</w:t>
      </w:r>
    </w:p>
    <w:p w14:paraId="57673DA1">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（4）针对现场检查项上报检查问题，拍照、自动定位上传平台。</w:t>
      </w:r>
    </w:p>
    <w:p w14:paraId="7CAB482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1.1.7.6 </w:t>
      </w:r>
      <w:r>
        <w:rPr>
          <w:rFonts w:hint="eastAsia" w:ascii="宋体" w:hAnsi="宋体" w:eastAsia="宋体" w:cs="宋体"/>
          <w:color w:val="auto"/>
          <w:sz w:val="28"/>
          <w:szCs w:val="28"/>
          <w:highlight w:val="none"/>
        </w:rPr>
        <w:t>评价数据审核</w:t>
      </w:r>
    </w:p>
    <w:p w14:paraId="55F55A9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1.1.7.6.1 </w:t>
      </w:r>
      <w:r>
        <w:rPr>
          <w:rFonts w:hint="eastAsia" w:ascii="宋体" w:hAnsi="宋体" w:eastAsia="宋体" w:cs="宋体"/>
          <w:color w:val="auto"/>
          <w:sz w:val="28"/>
          <w:szCs w:val="28"/>
          <w:highlight w:val="none"/>
        </w:rPr>
        <w:t>填报审核</w:t>
      </w:r>
    </w:p>
    <w:p w14:paraId="2D9AC8B9">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对于核查上报的填报项和计算的指标进行审核。发现填报的内容有明显异常的，系统做审核标记，并能查看审核记录；检查无疑义后，列表中和指标上显示通过标记。</w:t>
      </w:r>
    </w:p>
    <w:p w14:paraId="6B7B6D7E">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（1）现场考评上报列表：列表展示城市现场考评上报的所有问题。</w:t>
      </w:r>
    </w:p>
    <w:p w14:paraId="592B9B68">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（2）考评信息查看：查看考评上报的详细信息。</w:t>
      </w:r>
    </w:p>
    <w:p w14:paraId="15D532E2">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（3）考评上报审核：通过或不通过，并给出理由。</w:t>
      </w:r>
    </w:p>
    <w:p w14:paraId="3D1E21D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1.1.7.6.2 </w:t>
      </w:r>
      <w:r>
        <w:rPr>
          <w:rFonts w:hint="eastAsia" w:ascii="宋体" w:hAnsi="宋体" w:eastAsia="宋体" w:cs="宋体"/>
          <w:color w:val="auto"/>
          <w:sz w:val="28"/>
          <w:szCs w:val="28"/>
          <w:highlight w:val="none"/>
        </w:rPr>
        <w:t>考评审核</w:t>
      </w:r>
    </w:p>
    <w:p w14:paraId="4B09BDC3">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对于现场考评上报的检查问题，进行审核。现场检查发现有问题的，需要进行扣分，审核是否合适；现场检查发现没问题的，根据现场上报的照片和其他聚到获取的信息，认定是否合理。</w:t>
      </w:r>
    </w:p>
    <w:p w14:paraId="0EE1E8F1">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（1）现场考评上报列表：列表展示城市现场考评上报的所有问题。</w:t>
      </w:r>
    </w:p>
    <w:p w14:paraId="26C75BB8">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（2）考评信息查看：查看考评上报的详细信息。</w:t>
      </w:r>
    </w:p>
    <w:p w14:paraId="0CF05910">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（3）考评上报审核：通过或不通过，并给出理由。</w:t>
      </w:r>
    </w:p>
    <w:p w14:paraId="159DCD9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1.1.7.7 </w:t>
      </w:r>
      <w:r>
        <w:rPr>
          <w:rFonts w:hint="eastAsia" w:ascii="宋体" w:hAnsi="宋体" w:eastAsia="宋体" w:cs="宋体"/>
          <w:color w:val="auto"/>
          <w:sz w:val="28"/>
          <w:szCs w:val="28"/>
          <w:highlight w:val="none"/>
        </w:rPr>
        <w:t>评价结果生成</w:t>
      </w:r>
    </w:p>
    <w:p w14:paraId="065B8983">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评价结果生成模块应具备基于评价指标数据和评价任务完成情况，按规定的评价周期生成评价结果的功能，评价结果可采用文字、图表等可视化方式表达。</w:t>
      </w:r>
    </w:p>
    <w:p w14:paraId="66D3C5A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1.1.7.7.1 </w:t>
      </w:r>
      <w:r>
        <w:rPr>
          <w:rFonts w:hint="eastAsia" w:ascii="宋体" w:hAnsi="宋体" w:eastAsia="宋体" w:cs="宋体"/>
          <w:color w:val="auto"/>
          <w:sz w:val="28"/>
          <w:szCs w:val="28"/>
          <w:highlight w:val="none"/>
        </w:rPr>
        <w:t>分类评价统计</w:t>
      </w:r>
    </w:p>
    <w:p w14:paraId="0A56E38F">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围绕“干净、整洁、有序、安全、群众满意”等方面，提供考核时间、参与考核城市、检查类型（填报、现场）等统计条件，按照分类考核展示各个城市的分数，查看各类指标的得分详情；对于填报指标可以查看详细填报信息，对于现场考评可以查看现场上报的扣分详情。</w:t>
      </w:r>
    </w:p>
    <w:p w14:paraId="0655B84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082A18C4">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drawing>
          <wp:inline distT="0" distB="0" distL="114300" distR="114300">
            <wp:extent cx="5581650" cy="857250"/>
            <wp:effectExtent l="0" t="0" r="0" b="0"/>
            <wp:docPr id="4" name="图片 48" descr="1649314471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8" descr="1649314471800.png"/>
                    <pic:cNvPicPr>
                      <a:picLocks noChangeAspect="1"/>
                    </pic:cNvPicPr>
                  </pic:nvPicPr>
                  <pic:blipFill>
                    <a:blip r:embed="rId12"/>
                    <a:stretch>
                      <a:fillRect/>
                    </a:stretch>
                  </pic:blipFill>
                  <pic:spPr>
                    <a:xfrm>
                      <a:off x="0" y="0"/>
                      <a:ext cx="5581650" cy="857250"/>
                    </a:xfrm>
                    <a:prstGeom prst="rect">
                      <a:avLst/>
                    </a:prstGeom>
                    <a:noFill/>
                    <a:ln w="9525">
                      <a:noFill/>
                    </a:ln>
                  </pic:spPr>
                </pic:pic>
              </a:graphicData>
            </a:graphic>
          </wp:inline>
        </w:drawing>
      </w:r>
      <w:r>
        <w:rPr>
          <w:rFonts w:hint="eastAsia" w:ascii="宋体" w:hAnsi="宋体" w:eastAsia="宋体" w:cs="宋体"/>
          <w:color w:val="auto"/>
          <w:sz w:val="24"/>
          <w:szCs w:val="24"/>
          <w:highlight w:val="none"/>
        </w:rPr>
        <w:t> 现场检查类指标评价结果示意图</w:t>
      </w:r>
    </w:p>
    <w:p w14:paraId="46F60A0E">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drawing>
          <wp:inline distT="0" distB="0" distL="114300" distR="114300">
            <wp:extent cx="5581650" cy="1428750"/>
            <wp:effectExtent l="0" t="0" r="0" b="0"/>
            <wp:docPr id="31" name="图片 49" descr="1649314484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9" descr="1649314484233.png"/>
                    <pic:cNvPicPr>
                      <a:picLocks noChangeAspect="1"/>
                    </pic:cNvPicPr>
                  </pic:nvPicPr>
                  <pic:blipFill>
                    <a:blip r:embed="rId13"/>
                    <a:stretch>
                      <a:fillRect/>
                    </a:stretch>
                  </pic:blipFill>
                  <pic:spPr>
                    <a:xfrm>
                      <a:off x="0" y="0"/>
                      <a:ext cx="5581650" cy="1428750"/>
                    </a:xfrm>
                    <a:prstGeom prst="rect">
                      <a:avLst/>
                    </a:prstGeom>
                    <a:noFill/>
                    <a:ln w="9525">
                      <a:noFill/>
                    </a:ln>
                  </pic:spPr>
                </pic:pic>
              </a:graphicData>
            </a:graphic>
          </wp:inline>
        </w:drawing>
      </w:r>
      <w:r>
        <w:rPr>
          <w:rFonts w:hint="eastAsia" w:ascii="宋体" w:hAnsi="宋体" w:eastAsia="宋体" w:cs="宋体"/>
          <w:color w:val="auto"/>
          <w:sz w:val="24"/>
          <w:szCs w:val="24"/>
          <w:highlight w:val="none"/>
        </w:rPr>
        <w:t>  填报类指标评价结果示意图</w:t>
      </w:r>
    </w:p>
    <w:p w14:paraId="17F7F2C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1.1.7.7.2 </w:t>
      </w:r>
      <w:r>
        <w:rPr>
          <w:rFonts w:hint="eastAsia" w:ascii="宋体" w:hAnsi="宋体" w:eastAsia="宋体" w:cs="宋体"/>
          <w:color w:val="auto"/>
          <w:sz w:val="28"/>
          <w:szCs w:val="28"/>
          <w:highlight w:val="none"/>
        </w:rPr>
        <w:t>综合评价统计</w:t>
      </w:r>
    </w:p>
    <w:p w14:paraId="099DD044">
      <w:pPr>
        <w:pStyle w:val="14"/>
        <w:keepNext w:val="0"/>
        <w:keepLines w:val="0"/>
        <w:widowControl/>
        <w:suppressLineNumbers w:val="0"/>
        <w:spacing w:before="120" w:beforeAutospacing="0" w:after="120"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根据城市综合管理服务评价指标体系，选择考核时间、参与考核城市，可提供按照一级、二级、三级、四级指标分类展示各个区县的分数和综合得分。</w:t>
      </w:r>
    </w:p>
    <w:p w14:paraId="2A927DA5">
      <w:pPr>
        <w:pStyle w:val="14"/>
        <w:keepNext w:val="0"/>
        <w:keepLines w:val="0"/>
        <w:widowControl/>
        <w:suppressLineNumbers w:val="0"/>
        <w:ind w:left="0" w:firstLine="480"/>
        <w:jc w:val="center"/>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 考核综合评价统计表</w:t>
      </w:r>
    </w:p>
    <w:tbl>
      <w:tblPr>
        <w:tblStyle w:val="15"/>
        <w:tblW w:w="8925"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126"/>
        <w:gridCol w:w="1369"/>
        <w:gridCol w:w="1699"/>
        <w:gridCol w:w="1369"/>
        <w:gridCol w:w="1369"/>
        <w:gridCol w:w="1025"/>
        <w:gridCol w:w="968"/>
      </w:tblGrid>
      <w:tr w14:paraId="5134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1081" w:type="dxa"/>
            <w:shd w:val="clear" w:color="auto" w:fill="FEF2CC"/>
            <w:tcMar>
              <w:top w:w="0" w:type="dxa"/>
              <w:left w:w="105" w:type="dxa"/>
              <w:bottom w:w="0" w:type="dxa"/>
              <w:right w:w="105" w:type="dxa"/>
            </w:tcMar>
            <w:vAlign w:val="top"/>
          </w:tcPr>
          <w:p w14:paraId="030D1ED9">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参评区县</w:t>
            </w:r>
          </w:p>
        </w:tc>
        <w:tc>
          <w:tcPr>
            <w:tcW w:w="1339" w:type="dxa"/>
            <w:shd w:val="clear" w:color="auto" w:fill="FEF2CC"/>
            <w:tcMar>
              <w:top w:w="0" w:type="dxa"/>
              <w:left w:w="105" w:type="dxa"/>
              <w:bottom w:w="0" w:type="dxa"/>
              <w:right w:w="105" w:type="dxa"/>
            </w:tcMar>
            <w:vAlign w:val="top"/>
          </w:tcPr>
          <w:p w14:paraId="29FFED7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城市形象</w:t>
            </w:r>
          </w:p>
        </w:tc>
        <w:tc>
          <w:tcPr>
            <w:tcW w:w="1669" w:type="dxa"/>
            <w:shd w:val="clear" w:color="auto" w:fill="FEF2CC"/>
            <w:tcMar>
              <w:top w:w="0" w:type="dxa"/>
              <w:left w:w="105" w:type="dxa"/>
              <w:bottom w:w="0" w:type="dxa"/>
              <w:right w:w="105" w:type="dxa"/>
            </w:tcMar>
            <w:vAlign w:val="top"/>
          </w:tcPr>
          <w:p w14:paraId="53B12EB2">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城市管理保底线</w:t>
            </w:r>
          </w:p>
        </w:tc>
        <w:tc>
          <w:tcPr>
            <w:tcW w:w="1339" w:type="dxa"/>
            <w:shd w:val="clear" w:color="auto" w:fill="FEF2CC"/>
            <w:tcMar>
              <w:top w:w="0" w:type="dxa"/>
              <w:left w:w="105" w:type="dxa"/>
              <w:bottom w:w="0" w:type="dxa"/>
              <w:right w:w="105" w:type="dxa"/>
            </w:tcMar>
            <w:vAlign w:val="top"/>
          </w:tcPr>
          <w:p w14:paraId="1FEA764A">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群众满意</w:t>
            </w:r>
          </w:p>
        </w:tc>
        <w:tc>
          <w:tcPr>
            <w:tcW w:w="1339" w:type="dxa"/>
            <w:shd w:val="clear" w:color="auto" w:fill="FEF2CC"/>
            <w:tcMar>
              <w:top w:w="0" w:type="dxa"/>
              <w:left w:w="105" w:type="dxa"/>
              <w:bottom w:w="0" w:type="dxa"/>
              <w:right w:w="105" w:type="dxa"/>
            </w:tcMar>
            <w:vAlign w:val="top"/>
          </w:tcPr>
          <w:p w14:paraId="5E9E0C6B">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综合得分</w:t>
            </w:r>
          </w:p>
        </w:tc>
        <w:tc>
          <w:tcPr>
            <w:tcW w:w="995" w:type="dxa"/>
            <w:shd w:val="clear" w:color="auto" w:fill="FEF2CC"/>
            <w:tcMar>
              <w:top w:w="0" w:type="dxa"/>
              <w:left w:w="105" w:type="dxa"/>
              <w:bottom w:w="0" w:type="dxa"/>
              <w:right w:w="105" w:type="dxa"/>
            </w:tcMar>
            <w:vAlign w:val="top"/>
          </w:tcPr>
          <w:p w14:paraId="034926DE">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排名</w:t>
            </w:r>
          </w:p>
        </w:tc>
        <w:tc>
          <w:tcPr>
            <w:tcW w:w="923" w:type="dxa"/>
            <w:shd w:val="clear" w:color="auto" w:fill="FEF2CC"/>
            <w:tcMar>
              <w:top w:w="0" w:type="dxa"/>
              <w:left w:w="105" w:type="dxa"/>
              <w:bottom w:w="0" w:type="dxa"/>
              <w:right w:w="105" w:type="dxa"/>
            </w:tcMar>
            <w:vAlign w:val="top"/>
          </w:tcPr>
          <w:p w14:paraId="56FFC47F">
            <w:pPr>
              <w:pStyle w:val="14"/>
              <w:keepNext w:val="0"/>
              <w:keepLines w:val="0"/>
              <w:widowControl/>
              <w:suppressLineNumbers w:val="0"/>
              <w:jc w:val="center"/>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等级</w:t>
            </w:r>
          </w:p>
        </w:tc>
      </w:tr>
      <w:tr w14:paraId="1468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CellSpacing w:w="15" w:type="dxa"/>
          <w:jc w:val="center"/>
        </w:trPr>
        <w:tc>
          <w:tcPr>
            <w:tcW w:w="1081" w:type="dxa"/>
            <w:shd w:val="clear" w:color="auto" w:fill="auto"/>
            <w:tcMar>
              <w:top w:w="0" w:type="dxa"/>
              <w:left w:w="105" w:type="dxa"/>
              <w:bottom w:w="0" w:type="dxa"/>
              <w:right w:w="105" w:type="dxa"/>
            </w:tcMar>
            <w:vAlign w:val="top"/>
          </w:tcPr>
          <w:p w14:paraId="1764CFB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鼓楼</w:t>
            </w:r>
          </w:p>
        </w:tc>
        <w:tc>
          <w:tcPr>
            <w:tcW w:w="1339" w:type="dxa"/>
            <w:shd w:val="clear" w:color="auto" w:fill="auto"/>
            <w:tcMar>
              <w:top w:w="0" w:type="dxa"/>
              <w:left w:w="105" w:type="dxa"/>
              <w:bottom w:w="0" w:type="dxa"/>
              <w:right w:w="105" w:type="dxa"/>
            </w:tcMar>
            <w:vAlign w:val="top"/>
          </w:tcPr>
          <w:p w14:paraId="4622C6B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58</w:t>
            </w:r>
          </w:p>
        </w:tc>
        <w:tc>
          <w:tcPr>
            <w:tcW w:w="1669" w:type="dxa"/>
            <w:shd w:val="clear" w:color="auto" w:fill="auto"/>
            <w:tcMar>
              <w:top w:w="0" w:type="dxa"/>
              <w:left w:w="105" w:type="dxa"/>
              <w:bottom w:w="0" w:type="dxa"/>
              <w:right w:w="105" w:type="dxa"/>
            </w:tcMar>
            <w:vAlign w:val="top"/>
          </w:tcPr>
          <w:p w14:paraId="359B1C6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18</w:t>
            </w:r>
          </w:p>
        </w:tc>
        <w:tc>
          <w:tcPr>
            <w:tcW w:w="1339" w:type="dxa"/>
            <w:shd w:val="clear" w:color="auto" w:fill="auto"/>
            <w:tcMar>
              <w:top w:w="0" w:type="dxa"/>
              <w:left w:w="105" w:type="dxa"/>
              <w:bottom w:w="0" w:type="dxa"/>
              <w:right w:w="105" w:type="dxa"/>
            </w:tcMar>
            <w:vAlign w:val="top"/>
          </w:tcPr>
          <w:p w14:paraId="540CCC6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18</w:t>
            </w:r>
          </w:p>
        </w:tc>
        <w:tc>
          <w:tcPr>
            <w:tcW w:w="1339" w:type="dxa"/>
            <w:shd w:val="clear" w:color="auto" w:fill="auto"/>
            <w:tcMar>
              <w:top w:w="0" w:type="dxa"/>
              <w:left w:w="105" w:type="dxa"/>
              <w:bottom w:w="0" w:type="dxa"/>
              <w:right w:w="105" w:type="dxa"/>
            </w:tcMar>
            <w:vAlign w:val="top"/>
          </w:tcPr>
          <w:p w14:paraId="5641F4C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94</w:t>
            </w:r>
          </w:p>
        </w:tc>
        <w:tc>
          <w:tcPr>
            <w:tcW w:w="995" w:type="dxa"/>
            <w:shd w:val="clear" w:color="auto" w:fill="auto"/>
            <w:tcMar>
              <w:top w:w="0" w:type="dxa"/>
              <w:left w:w="105" w:type="dxa"/>
              <w:bottom w:w="0" w:type="dxa"/>
              <w:right w:w="105" w:type="dxa"/>
            </w:tcMar>
            <w:vAlign w:val="top"/>
          </w:tcPr>
          <w:p w14:paraId="4FB4BC3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923" w:type="dxa"/>
            <w:shd w:val="clear" w:color="auto" w:fill="auto"/>
            <w:tcMar>
              <w:top w:w="0" w:type="dxa"/>
              <w:left w:w="105" w:type="dxa"/>
              <w:bottom w:w="0" w:type="dxa"/>
              <w:right w:w="105" w:type="dxa"/>
            </w:tcMar>
            <w:vAlign w:val="top"/>
          </w:tcPr>
          <w:p w14:paraId="4BFBEA8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A</w:t>
            </w:r>
          </w:p>
        </w:tc>
      </w:tr>
      <w:tr w14:paraId="4A44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1081" w:type="dxa"/>
            <w:shd w:val="clear" w:color="auto" w:fill="auto"/>
            <w:tcMar>
              <w:top w:w="0" w:type="dxa"/>
              <w:left w:w="105" w:type="dxa"/>
              <w:bottom w:w="0" w:type="dxa"/>
              <w:right w:w="105" w:type="dxa"/>
            </w:tcMar>
            <w:vAlign w:val="top"/>
          </w:tcPr>
          <w:p w14:paraId="3A5BCAC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长乐</w:t>
            </w:r>
          </w:p>
        </w:tc>
        <w:tc>
          <w:tcPr>
            <w:tcW w:w="1339" w:type="dxa"/>
            <w:shd w:val="clear" w:color="auto" w:fill="auto"/>
            <w:tcMar>
              <w:top w:w="0" w:type="dxa"/>
              <w:left w:w="105" w:type="dxa"/>
              <w:bottom w:w="0" w:type="dxa"/>
              <w:right w:w="105" w:type="dxa"/>
            </w:tcMar>
            <w:vAlign w:val="top"/>
          </w:tcPr>
          <w:p w14:paraId="05F29FB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57</w:t>
            </w:r>
          </w:p>
        </w:tc>
        <w:tc>
          <w:tcPr>
            <w:tcW w:w="1669" w:type="dxa"/>
            <w:shd w:val="clear" w:color="auto" w:fill="auto"/>
            <w:tcMar>
              <w:top w:w="0" w:type="dxa"/>
              <w:left w:w="105" w:type="dxa"/>
              <w:bottom w:w="0" w:type="dxa"/>
              <w:right w:w="105" w:type="dxa"/>
            </w:tcMar>
            <w:vAlign w:val="top"/>
          </w:tcPr>
          <w:p w14:paraId="4B2C2BF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17</w:t>
            </w:r>
          </w:p>
        </w:tc>
        <w:tc>
          <w:tcPr>
            <w:tcW w:w="1339" w:type="dxa"/>
            <w:shd w:val="clear" w:color="auto" w:fill="auto"/>
            <w:tcMar>
              <w:top w:w="0" w:type="dxa"/>
              <w:left w:w="105" w:type="dxa"/>
              <w:bottom w:w="0" w:type="dxa"/>
              <w:right w:w="105" w:type="dxa"/>
            </w:tcMar>
            <w:vAlign w:val="top"/>
          </w:tcPr>
          <w:p w14:paraId="58F2A86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16</w:t>
            </w:r>
          </w:p>
        </w:tc>
        <w:tc>
          <w:tcPr>
            <w:tcW w:w="1339" w:type="dxa"/>
            <w:shd w:val="clear" w:color="auto" w:fill="auto"/>
            <w:tcMar>
              <w:top w:w="0" w:type="dxa"/>
              <w:left w:w="105" w:type="dxa"/>
              <w:bottom w:w="0" w:type="dxa"/>
              <w:right w:w="105" w:type="dxa"/>
            </w:tcMar>
            <w:vAlign w:val="top"/>
          </w:tcPr>
          <w:p w14:paraId="3B6F28E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90</w:t>
            </w:r>
          </w:p>
        </w:tc>
        <w:tc>
          <w:tcPr>
            <w:tcW w:w="995" w:type="dxa"/>
            <w:shd w:val="clear" w:color="auto" w:fill="auto"/>
            <w:tcMar>
              <w:top w:w="0" w:type="dxa"/>
              <w:left w:w="105" w:type="dxa"/>
              <w:bottom w:w="0" w:type="dxa"/>
              <w:right w:w="105" w:type="dxa"/>
            </w:tcMar>
            <w:vAlign w:val="top"/>
          </w:tcPr>
          <w:p w14:paraId="55688C7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p>
        </w:tc>
        <w:tc>
          <w:tcPr>
            <w:tcW w:w="923" w:type="dxa"/>
            <w:shd w:val="clear" w:color="auto" w:fill="auto"/>
            <w:tcMar>
              <w:top w:w="0" w:type="dxa"/>
              <w:left w:w="105" w:type="dxa"/>
              <w:bottom w:w="0" w:type="dxa"/>
              <w:right w:w="105" w:type="dxa"/>
            </w:tcMar>
            <w:vAlign w:val="top"/>
          </w:tcPr>
          <w:p w14:paraId="27FC413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A</w:t>
            </w:r>
          </w:p>
        </w:tc>
      </w:tr>
      <w:tr w14:paraId="3C89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1081" w:type="dxa"/>
            <w:shd w:val="clear" w:color="auto" w:fill="auto"/>
            <w:tcMar>
              <w:top w:w="0" w:type="dxa"/>
              <w:left w:w="105" w:type="dxa"/>
              <w:bottom w:w="0" w:type="dxa"/>
              <w:right w:w="105" w:type="dxa"/>
            </w:tcMar>
            <w:vAlign w:val="top"/>
          </w:tcPr>
          <w:p w14:paraId="6959B9A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仓山</w:t>
            </w:r>
          </w:p>
        </w:tc>
        <w:tc>
          <w:tcPr>
            <w:tcW w:w="1339" w:type="dxa"/>
            <w:shd w:val="clear" w:color="auto" w:fill="auto"/>
            <w:tcMar>
              <w:top w:w="0" w:type="dxa"/>
              <w:left w:w="105" w:type="dxa"/>
              <w:bottom w:w="0" w:type="dxa"/>
              <w:right w:w="105" w:type="dxa"/>
            </w:tcMar>
            <w:vAlign w:val="top"/>
          </w:tcPr>
          <w:p w14:paraId="772640B4">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55</w:t>
            </w:r>
          </w:p>
        </w:tc>
        <w:tc>
          <w:tcPr>
            <w:tcW w:w="1669" w:type="dxa"/>
            <w:shd w:val="clear" w:color="auto" w:fill="auto"/>
            <w:tcMar>
              <w:top w:w="0" w:type="dxa"/>
              <w:left w:w="105" w:type="dxa"/>
              <w:bottom w:w="0" w:type="dxa"/>
              <w:right w:w="105" w:type="dxa"/>
            </w:tcMar>
            <w:vAlign w:val="top"/>
          </w:tcPr>
          <w:p w14:paraId="730BD005">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17</w:t>
            </w:r>
          </w:p>
        </w:tc>
        <w:tc>
          <w:tcPr>
            <w:tcW w:w="1339" w:type="dxa"/>
            <w:shd w:val="clear" w:color="auto" w:fill="auto"/>
            <w:tcMar>
              <w:top w:w="0" w:type="dxa"/>
              <w:left w:w="105" w:type="dxa"/>
              <w:bottom w:w="0" w:type="dxa"/>
              <w:right w:w="105" w:type="dxa"/>
            </w:tcMar>
            <w:vAlign w:val="top"/>
          </w:tcPr>
          <w:p w14:paraId="309FC41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17</w:t>
            </w:r>
          </w:p>
        </w:tc>
        <w:tc>
          <w:tcPr>
            <w:tcW w:w="1339" w:type="dxa"/>
            <w:shd w:val="clear" w:color="auto" w:fill="auto"/>
            <w:tcMar>
              <w:top w:w="0" w:type="dxa"/>
              <w:left w:w="105" w:type="dxa"/>
              <w:bottom w:w="0" w:type="dxa"/>
              <w:right w:w="105" w:type="dxa"/>
            </w:tcMar>
            <w:vAlign w:val="top"/>
          </w:tcPr>
          <w:p w14:paraId="1895AFC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89</w:t>
            </w:r>
          </w:p>
        </w:tc>
        <w:tc>
          <w:tcPr>
            <w:tcW w:w="995" w:type="dxa"/>
            <w:shd w:val="clear" w:color="auto" w:fill="auto"/>
            <w:tcMar>
              <w:top w:w="0" w:type="dxa"/>
              <w:left w:w="105" w:type="dxa"/>
              <w:bottom w:w="0" w:type="dxa"/>
              <w:right w:w="105" w:type="dxa"/>
            </w:tcMar>
            <w:vAlign w:val="top"/>
          </w:tcPr>
          <w:p w14:paraId="489A28A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w:t>
            </w:r>
          </w:p>
        </w:tc>
        <w:tc>
          <w:tcPr>
            <w:tcW w:w="923" w:type="dxa"/>
            <w:shd w:val="clear" w:color="auto" w:fill="auto"/>
            <w:tcMar>
              <w:top w:w="0" w:type="dxa"/>
              <w:left w:w="105" w:type="dxa"/>
              <w:bottom w:w="0" w:type="dxa"/>
              <w:right w:w="105" w:type="dxa"/>
            </w:tcMar>
            <w:vAlign w:val="top"/>
          </w:tcPr>
          <w:p w14:paraId="5B6CB2E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B</w:t>
            </w:r>
          </w:p>
        </w:tc>
      </w:tr>
    </w:tbl>
    <w:p w14:paraId="6683F622">
      <w:pPr>
        <w:outlineLvl w:val="9"/>
        <w:rPr>
          <w:rFonts w:hint="eastAsia" w:ascii="宋体" w:hAnsi="宋体" w:eastAsia="宋体" w:cs="宋体"/>
          <w:vanish/>
          <w:color w:val="auto"/>
          <w:sz w:val="24"/>
          <w:szCs w:val="24"/>
          <w:highlight w:val="none"/>
        </w:rPr>
      </w:pPr>
    </w:p>
    <w:tbl>
      <w:tblPr>
        <w:tblStyle w:val="15"/>
        <w:tblW w:w="8925"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196"/>
        <w:gridCol w:w="887"/>
        <w:gridCol w:w="901"/>
        <w:gridCol w:w="845"/>
        <w:gridCol w:w="1084"/>
        <w:gridCol w:w="1027"/>
        <w:gridCol w:w="1210"/>
        <w:gridCol w:w="915"/>
        <w:gridCol w:w="860"/>
      </w:tblGrid>
      <w:tr w14:paraId="604E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jc w:val="center"/>
        </w:trPr>
        <w:tc>
          <w:tcPr>
            <w:tcW w:w="1151" w:type="dxa"/>
            <w:shd w:val="clear" w:color="auto" w:fill="FEF2CC"/>
            <w:tcMar>
              <w:top w:w="0" w:type="dxa"/>
              <w:left w:w="105" w:type="dxa"/>
              <w:bottom w:w="0" w:type="dxa"/>
              <w:right w:w="105" w:type="dxa"/>
            </w:tcMar>
            <w:vAlign w:val="top"/>
          </w:tcPr>
          <w:p w14:paraId="6AE8AB3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参评区县</w:t>
            </w:r>
          </w:p>
        </w:tc>
        <w:tc>
          <w:tcPr>
            <w:tcW w:w="857" w:type="dxa"/>
            <w:shd w:val="clear" w:color="auto" w:fill="FEF2CC"/>
            <w:tcMar>
              <w:top w:w="0" w:type="dxa"/>
              <w:left w:w="105" w:type="dxa"/>
              <w:bottom w:w="0" w:type="dxa"/>
              <w:right w:w="105" w:type="dxa"/>
            </w:tcMar>
            <w:vAlign w:val="top"/>
          </w:tcPr>
          <w:p w14:paraId="522988E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干净</w:t>
            </w:r>
          </w:p>
        </w:tc>
        <w:tc>
          <w:tcPr>
            <w:tcW w:w="871" w:type="dxa"/>
            <w:shd w:val="clear" w:color="auto" w:fill="FEF2CC"/>
            <w:tcMar>
              <w:top w:w="0" w:type="dxa"/>
              <w:left w:w="105" w:type="dxa"/>
              <w:bottom w:w="0" w:type="dxa"/>
              <w:right w:w="105" w:type="dxa"/>
            </w:tcMar>
            <w:vAlign w:val="top"/>
          </w:tcPr>
          <w:p w14:paraId="1FB4A6C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整洁</w:t>
            </w:r>
          </w:p>
        </w:tc>
        <w:tc>
          <w:tcPr>
            <w:tcW w:w="815" w:type="dxa"/>
            <w:shd w:val="clear" w:color="auto" w:fill="FEF2CC"/>
            <w:tcMar>
              <w:top w:w="0" w:type="dxa"/>
              <w:left w:w="105" w:type="dxa"/>
              <w:bottom w:w="0" w:type="dxa"/>
              <w:right w:w="105" w:type="dxa"/>
            </w:tcMar>
            <w:vAlign w:val="top"/>
          </w:tcPr>
          <w:p w14:paraId="6099C17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有序</w:t>
            </w:r>
          </w:p>
        </w:tc>
        <w:tc>
          <w:tcPr>
            <w:tcW w:w="1054" w:type="dxa"/>
            <w:shd w:val="clear" w:color="auto" w:fill="FEF2CC"/>
            <w:tcMar>
              <w:top w:w="0" w:type="dxa"/>
              <w:left w:w="105" w:type="dxa"/>
              <w:bottom w:w="0" w:type="dxa"/>
              <w:right w:w="105" w:type="dxa"/>
            </w:tcMar>
            <w:vAlign w:val="top"/>
          </w:tcPr>
          <w:p w14:paraId="15DCE11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安全</w:t>
            </w:r>
          </w:p>
        </w:tc>
        <w:tc>
          <w:tcPr>
            <w:tcW w:w="997" w:type="dxa"/>
            <w:shd w:val="clear" w:color="auto" w:fill="FEF2CC"/>
            <w:tcMar>
              <w:top w:w="0" w:type="dxa"/>
              <w:left w:w="105" w:type="dxa"/>
              <w:bottom w:w="0" w:type="dxa"/>
              <w:right w:w="105" w:type="dxa"/>
            </w:tcMar>
            <w:vAlign w:val="top"/>
          </w:tcPr>
          <w:p w14:paraId="758CD96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满意</w:t>
            </w:r>
          </w:p>
        </w:tc>
        <w:tc>
          <w:tcPr>
            <w:tcW w:w="1180" w:type="dxa"/>
            <w:shd w:val="clear" w:color="auto" w:fill="FEF2CC"/>
            <w:tcMar>
              <w:top w:w="0" w:type="dxa"/>
              <w:left w:w="105" w:type="dxa"/>
              <w:bottom w:w="0" w:type="dxa"/>
              <w:right w:w="105" w:type="dxa"/>
            </w:tcMar>
            <w:vAlign w:val="top"/>
          </w:tcPr>
          <w:p w14:paraId="7D2D158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综合得分</w:t>
            </w:r>
          </w:p>
        </w:tc>
        <w:tc>
          <w:tcPr>
            <w:tcW w:w="885" w:type="dxa"/>
            <w:shd w:val="clear" w:color="auto" w:fill="FEF2CC"/>
            <w:tcMar>
              <w:top w:w="0" w:type="dxa"/>
              <w:left w:w="105" w:type="dxa"/>
              <w:bottom w:w="0" w:type="dxa"/>
              <w:right w:w="105" w:type="dxa"/>
            </w:tcMar>
            <w:vAlign w:val="top"/>
          </w:tcPr>
          <w:p w14:paraId="2FFE3872">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排名</w:t>
            </w:r>
          </w:p>
        </w:tc>
        <w:tc>
          <w:tcPr>
            <w:tcW w:w="815" w:type="dxa"/>
            <w:shd w:val="clear" w:color="auto" w:fill="FEF2CC"/>
            <w:tcMar>
              <w:top w:w="0" w:type="dxa"/>
              <w:left w:w="105" w:type="dxa"/>
              <w:bottom w:w="0" w:type="dxa"/>
              <w:right w:w="105" w:type="dxa"/>
            </w:tcMar>
            <w:vAlign w:val="top"/>
          </w:tcPr>
          <w:p w14:paraId="68AF859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等级</w:t>
            </w:r>
          </w:p>
        </w:tc>
      </w:tr>
      <w:tr w14:paraId="40D9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5" w:hRule="atLeast"/>
          <w:tblCellSpacing w:w="15" w:type="dxa"/>
          <w:jc w:val="center"/>
        </w:trPr>
        <w:tc>
          <w:tcPr>
            <w:tcW w:w="1151" w:type="dxa"/>
            <w:shd w:val="clear" w:color="auto" w:fill="auto"/>
            <w:tcMar>
              <w:top w:w="0" w:type="dxa"/>
              <w:left w:w="105" w:type="dxa"/>
              <w:bottom w:w="0" w:type="dxa"/>
              <w:right w:w="105" w:type="dxa"/>
            </w:tcMar>
            <w:vAlign w:val="top"/>
          </w:tcPr>
          <w:p w14:paraId="5985274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鼓楼</w:t>
            </w:r>
          </w:p>
        </w:tc>
        <w:tc>
          <w:tcPr>
            <w:tcW w:w="857" w:type="dxa"/>
            <w:shd w:val="clear" w:color="auto" w:fill="auto"/>
            <w:tcMar>
              <w:top w:w="0" w:type="dxa"/>
              <w:left w:w="105" w:type="dxa"/>
              <w:bottom w:w="0" w:type="dxa"/>
              <w:right w:w="105" w:type="dxa"/>
            </w:tcMar>
            <w:vAlign w:val="top"/>
          </w:tcPr>
          <w:p w14:paraId="0BAE52E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19</w:t>
            </w:r>
          </w:p>
        </w:tc>
        <w:tc>
          <w:tcPr>
            <w:tcW w:w="871" w:type="dxa"/>
            <w:shd w:val="clear" w:color="auto" w:fill="auto"/>
            <w:tcMar>
              <w:top w:w="0" w:type="dxa"/>
              <w:left w:w="105" w:type="dxa"/>
              <w:bottom w:w="0" w:type="dxa"/>
              <w:right w:w="105" w:type="dxa"/>
            </w:tcMar>
            <w:vAlign w:val="top"/>
          </w:tcPr>
          <w:p w14:paraId="03A7707D">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19</w:t>
            </w:r>
          </w:p>
        </w:tc>
        <w:tc>
          <w:tcPr>
            <w:tcW w:w="815" w:type="dxa"/>
            <w:shd w:val="clear" w:color="auto" w:fill="auto"/>
            <w:tcMar>
              <w:top w:w="0" w:type="dxa"/>
              <w:left w:w="105" w:type="dxa"/>
              <w:bottom w:w="0" w:type="dxa"/>
              <w:right w:w="105" w:type="dxa"/>
            </w:tcMar>
            <w:vAlign w:val="top"/>
          </w:tcPr>
          <w:p w14:paraId="4EC74E6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20</w:t>
            </w:r>
          </w:p>
        </w:tc>
        <w:tc>
          <w:tcPr>
            <w:tcW w:w="1054" w:type="dxa"/>
            <w:shd w:val="clear" w:color="auto" w:fill="auto"/>
            <w:tcMar>
              <w:top w:w="0" w:type="dxa"/>
              <w:left w:w="105" w:type="dxa"/>
              <w:bottom w:w="0" w:type="dxa"/>
              <w:right w:w="105" w:type="dxa"/>
            </w:tcMar>
            <w:vAlign w:val="top"/>
          </w:tcPr>
          <w:p w14:paraId="47331E3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18</w:t>
            </w:r>
          </w:p>
        </w:tc>
        <w:tc>
          <w:tcPr>
            <w:tcW w:w="997" w:type="dxa"/>
            <w:shd w:val="clear" w:color="auto" w:fill="auto"/>
            <w:tcMar>
              <w:top w:w="0" w:type="dxa"/>
              <w:left w:w="105" w:type="dxa"/>
              <w:bottom w:w="0" w:type="dxa"/>
              <w:right w:w="105" w:type="dxa"/>
            </w:tcMar>
            <w:vAlign w:val="top"/>
          </w:tcPr>
          <w:p w14:paraId="49C9FD1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18</w:t>
            </w:r>
          </w:p>
        </w:tc>
        <w:tc>
          <w:tcPr>
            <w:tcW w:w="1180" w:type="dxa"/>
            <w:shd w:val="clear" w:color="auto" w:fill="auto"/>
            <w:tcMar>
              <w:top w:w="0" w:type="dxa"/>
              <w:left w:w="105" w:type="dxa"/>
              <w:bottom w:w="0" w:type="dxa"/>
              <w:right w:w="105" w:type="dxa"/>
            </w:tcMar>
            <w:vAlign w:val="top"/>
          </w:tcPr>
          <w:p w14:paraId="4DDC504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94</w:t>
            </w:r>
          </w:p>
        </w:tc>
        <w:tc>
          <w:tcPr>
            <w:tcW w:w="885" w:type="dxa"/>
            <w:shd w:val="clear" w:color="auto" w:fill="auto"/>
            <w:tcMar>
              <w:top w:w="0" w:type="dxa"/>
              <w:left w:w="105" w:type="dxa"/>
              <w:bottom w:w="0" w:type="dxa"/>
              <w:right w:w="105" w:type="dxa"/>
            </w:tcMar>
            <w:vAlign w:val="top"/>
          </w:tcPr>
          <w:p w14:paraId="7E37ED01">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815" w:type="dxa"/>
            <w:shd w:val="clear" w:color="auto" w:fill="auto"/>
            <w:tcMar>
              <w:top w:w="0" w:type="dxa"/>
              <w:left w:w="105" w:type="dxa"/>
              <w:bottom w:w="0" w:type="dxa"/>
              <w:right w:w="105" w:type="dxa"/>
            </w:tcMar>
            <w:vAlign w:val="top"/>
          </w:tcPr>
          <w:p w14:paraId="5780B66C">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A</w:t>
            </w:r>
          </w:p>
        </w:tc>
      </w:tr>
      <w:tr w14:paraId="2225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1151" w:type="dxa"/>
            <w:shd w:val="clear" w:color="auto" w:fill="auto"/>
            <w:tcMar>
              <w:top w:w="0" w:type="dxa"/>
              <w:left w:w="105" w:type="dxa"/>
              <w:bottom w:w="0" w:type="dxa"/>
              <w:right w:w="105" w:type="dxa"/>
            </w:tcMar>
            <w:vAlign w:val="top"/>
          </w:tcPr>
          <w:p w14:paraId="45E0754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长乐</w:t>
            </w:r>
          </w:p>
        </w:tc>
        <w:tc>
          <w:tcPr>
            <w:tcW w:w="857" w:type="dxa"/>
            <w:shd w:val="clear" w:color="auto" w:fill="auto"/>
            <w:tcMar>
              <w:top w:w="0" w:type="dxa"/>
              <w:left w:w="105" w:type="dxa"/>
              <w:bottom w:w="0" w:type="dxa"/>
              <w:right w:w="105" w:type="dxa"/>
            </w:tcMar>
            <w:vAlign w:val="top"/>
          </w:tcPr>
          <w:p w14:paraId="65C6B19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19</w:t>
            </w:r>
          </w:p>
        </w:tc>
        <w:tc>
          <w:tcPr>
            <w:tcW w:w="871" w:type="dxa"/>
            <w:shd w:val="clear" w:color="auto" w:fill="auto"/>
            <w:tcMar>
              <w:top w:w="0" w:type="dxa"/>
              <w:left w:w="105" w:type="dxa"/>
              <w:bottom w:w="0" w:type="dxa"/>
              <w:right w:w="105" w:type="dxa"/>
            </w:tcMar>
            <w:vAlign w:val="top"/>
          </w:tcPr>
          <w:p w14:paraId="1DD54BC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19</w:t>
            </w:r>
          </w:p>
        </w:tc>
        <w:tc>
          <w:tcPr>
            <w:tcW w:w="815" w:type="dxa"/>
            <w:shd w:val="clear" w:color="auto" w:fill="auto"/>
            <w:tcMar>
              <w:top w:w="0" w:type="dxa"/>
              <w:left w:w="105" w:type="dxa"/>
              <w:bottom w:w="0" w:type="dxa"/>
              <w:right w:w="105" w:type="dxa"/>
            </w:tcMar>
            <w:vAlign w:val="top"/>
          </w:tcPr>
          <w:p w14:paraId="49963A4B">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19</w:t>
            </w:r>
          </w:p>
        </w:tc>
        <w:tc>
          <w:tcPr>
            <w:tcW w:w="1054" w:type="dxa"/>
            <w:shd w:val="clear" w:color="auto" w:fill="auto"/>
            <w:tcMar>
              <w:top w:w="0" w:type="dxa"/>
              <w:left w:w="105" w:type="dxa"/>
              <w:bottom w:w="0" w:type="dxa"/>
              <w:right w:w="105" w:type="dxa"/>
            </w:tcMar>
            <w:vAlign w:val="top"/>
          </w:tcPr>
          <w:p w14:paraId="3D384E6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17</w:t>
            </w:r>
          </w:p>
        </w:tc>
        <w:tc>
          <w:tcPr>
            <w:tcW w:w="997" w:type="dxa"/>
            <w:shd w:val="clear" w:color="auto" w:fill="auto"/>
            <w:tcMar>
              <w:top w:w="0" w:type="dxa"/>
              <w:left w:w="105" w:type="dxa"/>
              <w:bottom w:w="0" w:type="dxa"/>
              <w:right w:w="105" w:type="dxa"/>
            </w:tcMar>
            <w:vAlign w:val="top"/>
          </w:tcPr>
          <w:p w14:paraId="303E5873">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16</w:t>
            </w:r>
          </w:p>
        </w:tc>
        <w:tc>
          <w:tcPr>
            <w:tcW w:w="1180" w:type="dxa"/>
            <w:shd w:val="clear" w:color="auto" w:fill="auto"/>
            <w:tcMar>
              <w:top w:w="0" w:type="dxa"/>
              <w:left w:w="105" w:type="dxa"/>
              <w:bottom w:w="0" w:type="dxa"/>
              <w:right w:w="105" w:type="dxa"/>
            </w:tcMar>
            <w:vAlign w:val="top"/>
          </w:tcPr>
          <w:p w14:paraId="74F3AB8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90</w:t>
            </w:r>
          </w:p>
        </w:tc>
        <w:tc>
          <w:tcPr>
            <w:tcW w:w="885" w:type="dxa"/>
            <w:shd w:val="clear" w:color="auto" w:fill="auto"/>
            <w:tcMar>
              <w:top w:w="0" w:type="dxa"/>
              <w:left w:w="105" w:type="dxa"/>
              <w:bottom w:w="0" w:type="dxa"/>
              <w:right w:w="105" w:type="dxa"/>
            </w:tcMar>
            <w:vAlign w:val="top"/>
          </w:tcPr>
          <w:p w14:paraId="4C2751B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p>
        </w:tc>
        <w:tc>
          <w:tcPr>
            <w:tcW w:w="815" w:type="dxa"/>
            <w:shd w:val="clear" w:color="auto" w:fill="auto"/>
            <w:tcMar>
              <w:top w:w="0" w:type="dxa"/>
              <w:left w:w="105" w:type="dxa"/>
              <w:bottom w:w="0" w:type="dxa"/>
              <w:right w:w="105" w:type="dxa"/>
            </w:tcMar>
            <w:vAlign w:val="top"/>
          </w:tcPr>
          <w:p w14:paraId="620A527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A</w:t>
            </w:r>
          </w:p>
        </w:tc>
      </w:tr>
      <w:tr w14:paraId="559D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1151" w:type="dxa"/>
            <w:shd w:val="clear" w:color="auto" w:fill="auto"/>
            <w:tcMar>
              <w:top w:w="0" w:type="dxa"/>
              <w:left w:w="105" w:type="dxa"/>
              <w:bottom w:w="0" w:type="dxa"/>
              <w:right w:w="105" w:type="dxa"/>
            </w:tcMar>
            <w:vAlign w:val="top"/>
          </w:tcPr>
          <w:p w14:paraId="2D79CF2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仓山</w:t>
            </w:r>
          </w:p>
        </w:tc>
        <w:tc>
          <w:tcPr>
            <w:tcW w:w="857" w:type="dxa"/>
            <w:shd w:val="clear" w:color="auto" w:fill="auto"/>
            <w:tcMar>
              <w:top w:w="0" w:type="dxa"/>
              <w:left w:w="105" w:type="dxa"/>
              <w:bottom w:w="0" w:type="dxa"/>
              <w:right w:w="105" w:type="dxa"/>
            </w:tcMar>
            <w:vAlign w:val="top"/>
          </w:tcPr>
          <w:p w14:paraId="4ECA1F5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18</w:t>
            </w:r>
          </w:p>
        </w:tc>
        <w:tc>
          <w:tcPr>
            <w:tcW w:w="871" w:type="dxa"/>
            <w:shd w:val="clear" w:color="auto" w:fill="auto"/>
            <w:tcMar>
              <w:top w:w="0" w:type="dxa"/>
              <w:left w:w="105" w:type="dxa"/>
              <w:bottom w:w="0" w:type="dxa"/>
              <w:right w:w="105" w:type="dxa"/>
            </w:tcMar>
            <w:vAlign w:val="top"/>
          </w:tcPr>
          <w:p w14:paraId="6AEA4F1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18</w:t>
            </w:r>
          </w:p>
        </w:tc>
        <w:tc>
          <w:tcPr>
            <w:tcW w:w="815" w:type="dxa"/>
            <w:shd w:val="clear" w:color="auto" w:fill="auto"/>
            <w:tcMar>
              <w:top w:w="0" w:type="dxa"/>
              <w:left w:w="105" w:type="dxa"/>
              <w:bottom w:w="0" w:type="dxa"/>
              <w:right w:w="105" w:type="dxa"/>
            </w:tcMar>
            <w:vAlign w:val="top"/>
          </w:tcPr>
          <w:p w14:paraId="74B9213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19</w:t>
            </w:r>
          </w:p>
        </w:tc>
        <w:tc>
          <w:tcPr>
            <w:tcW w:w="1054" w:type="dxa"/>
            <w:shd w:val="clear" w:color="auto" w:fill="auto"/>
            <w:tcMar>
              <w:top w:w="0" w:type="dxa"/>
              <w:left w:w="105" w:type="dxa"/>
              <w:bottom w:w="0" w:type="dxa"/>
              <w:right w:w="105" w:type="dxa"/>
            </w:tcMar>
            <w:vAlign w:val="top"/>
          </w:tcPr>
          <w:p w14:paraId="16A58238">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17</w:t>
            </w:r>
          </w:p>
        </w:tc>
        <w:tc>
          <w:tcPr>
            <w:tcW w:w="997" w:type="dxa"/>
            <w:shd w:val="clear" w:color="auto" w:fill="auto"/>
            <w:tcMar>
              <w:top w:w="0" w:type="dxa"/>
              <w:left w:w="105" w:type="dxa"/>
              <w:bottom w:w="0" w:type="dxa"/>
              <w:right w:w="105" w:type="dxa"/>
            </w:tcMar>
            <w:vAlign w:val="top"/>
          </w:tcPr>
          <w:p w14:paraId="1D19E45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17</w:t>
            </w:r>
          </w:p>
        </w:tc>
        <w:tc>
          <w:tcPr>
            <w:tcW w:w="1180" w:type="dxa"/>
            <w:shd w:val="clear" w:color="auto" w:fill="auto"/>
            <w:tcMar>
              <w:top w:w="0" w:type="dxa"/>
              <w:left w:w="105" w:type="dxa"/>
              <w:bottom w:w="0" w:type="dxa"/>
              <w:right w:w="105" w:type="dxa"/>
            </w:tcMar>
            <w:vAlign w:val="top"/>
          </w:tcPr>
          <w:p w14:paraId="2A115EB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89</w:t>
            </w:r>
          </w:p>
        </w:tc>
        <w:tc>
          <w:tcPr>
            <w:tcW w:w="885" w:type="dxa"/>
            <w:shd w:val="clear" w:color="auto" w:fill="auto"/>
            <w:tcMar>
              <w:top w:w="0" w:type="dxa"/>
              <w:left w:w="105" w:type="dxa"/>
              <w:bottom w:w="0" w:type="dxa"/>
              <w:right w:w="105" w:type="dxa"/>
            </w:tcMar>
            <w:vAlign w:val="top"/>
          </w:tcPr>
          <w:p w14:paraId="3ABF0D20">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3</w:t>
            </w:r>
          </w:p>
        </w:tc>
        <w:tc>
          <w:tcPr>
            <w:tcW w:w="815" w:type="dxa"/>
            <w:shd w:val="clear" w:color="auto" w:fill="auto"/>
            <w:tcMar>
              <w:top w:w="0" w:type="dxa"/>
              <w:left w:w="105" w:type="dxa"/>
              <w:bottom w:w="0" w:type="dxa"/>
              <w:right w:w="105" w:type="dxa"/>
            </w:tcMar>
            <w:vAlign w:val="top"/>
          </w:tcPr>
          <w:p w14:paraId="3AD1857A">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B</w:t>
            </w:r>
          </w:p>
        </w:tc>
      </w:tr>
    </w:tbl>
    <w:p w14:paraId="03B970E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 </w:t>
      </w:r>
    </w:p>
    <w:p w14:paraId="30F6B118">
      <w:pPr>
        <w:pStyle w:val="14"/>
        <w:keepNext w:val="0"/>
        <w:keepLines w:val="0"/>
        <w:widowControl/>
        <w:suppressLineNumbers w:val="0"/>
        <w:ind w:left="0" w:firstLine="0"/>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1.1.8 </w:t>
      </w:r>
      <w:r>
        <w:rPr>
          <w:rFonts w:hint="eastAsia" w:ascii="宋体" w:hAnsi="宋体" w:eastAsia="宋体" w:cs="宋体"/>
          <w:color w:val="auto"/>
          <w:sz w:val="28"/>
          <w:szCs w:val="28"/>
          <w:highlight w:val="none"/>
        </w:rPr>
        <w:t>辅助决策中心</w:t>
      </w:r>
    </w:p>
    <w:p w14:paraId="7B257DF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了让城市管理者、企业、个人方便快速地找到自身想要的城市运行信息，为个体决策提供数据支撑。城市管理驾驶舱基于市政公用、市容环卫、园林绿化、城市执法等城市管理行业领域的建设，感知更全面的城市运行态势，目标是让区领导及管理人员方便快速地掌握城市运行信息，为各级领导提供统揽全局的数据支撑。</w:t>
      </w:r>
    </w:p>
    <w:p w14:paraId="73F95C0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城市管理驾驶舱作为城市综合管理服务平台项目的一部分，充分利用现有的平台和技术能力，在现有的平台基础之上定制开发驾驶舱应用，并实现与现有平台的集成和数据融合。</w:t>
      </w:r>
    </w:p>
    <w:p w14:paraId="7DB6675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驾驶舱的建设要综合考虑以下几个核心目标：</w:t>
      </w:r>
    </w:p>
    <w:p w14:paraId="386FC47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一、全区域</w:t>
      </w:r>
    </w:p>
    <w:p w14:paraId="0B3A2FC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管理驾驶舱的使用用户针对市、区、街道办及社区等部门领导，便于领导随时随地掌控全区运行态势，洞悉全区安全隐患，了解区内发生的重大事件，随时随地利用领导驾驶舱进行沟通协调、指挥调度。</w:t>
      </w:r>
    </w:p>
    <w:p w14:paraId="34209FB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二、宏观指标</w:t>
      </w:r>
    </w:p>
    <w:p w14:paraId="482D28C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领导驾驶舱重点呈现领导关注的宏观层面的指标数据。根据现有建设专题的业务指标，通过提取与抽象再设计，派生形成领导关注的指标，整理并形成领导关注的指标体系清单，作为本期指挥驾驶舱的建设内容和范围。系统设计中考虑业务深度交互的支撑能力，满足指标数据关联查询、挖掘查询、钻取查询、业务穿透查询等。指标数据采用丰富的图形化方式直观呈现数值特点，可以通过行政区划体现数据的组织属性，实现宏观指标数据钻取分析微观数据，满足多维度关联查询等。</w:t>
      </w:r>
    </w:p>
    <w:p w14:paraId="150B484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三、随需而变</w:t>
      </w:r>
    </w:p>
    <w:p w14:paraId="5A9F8077">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领导在使用领导驾驶舱的过程中，关注的指标需求会随着城市综合管理数据中心的数据持续积累与专题应用建设的发展而不断改变，因此本领导驾驶舱的指标建设需要根据领导需求的变化，而实时的进行变化。</w:t>
      </w:r>
    </w:p>
    <w:p w14:paraId="2A03D6D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四、丰富直观的数值展现</w:t>
      </w:r>
    </w:p>
    <w:p w14:paraId="1CB4FBD6">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领导驾驶舱必须满足指标数据采用丰富的图形方式直观呈现数值特点，可以通过行政区划体现数据的组织属性。通过宏观指标数据可以钻取分析微观指标数据构成。通过指标数据可以进行多个维度的关联查询。</w:t>
      </w:r>
    </w:p>
    <w:p w14:paraId="2AA1B73E">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具备城市运行管理服务决策支持子系统功能，满足城市安全运行态势的综合分析、历史统计数据的同比环比分析和生产综合运行态势分析报告等业务需求。</w:t>
      </w:r>
    </w:p>
    <w:p w14:paraId="1C5894A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1.1.8.1 </w:t>
      </w:r>
      <w:r>
        <w:rPr>
          <w:rFonts w:hint="eastAsia" w:ascii="宋体" w:hAnsi="宋体" w:eastAsia="宋体" w:cs="宋体"/>
          <w:color w:val="auto"/>
          <w:sz w:val="28"/>
          <w:szCs w:val="28"/>
          <w:highlight w:val="none"/>
        </w:rPr>
        <w:t>城市体征专题</w:t>
      </w:r>
    </w:p>
    <w:p w14:paraId="75E31A3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城市运行管理“一张图”，整合城市日常市管理相关数据，对城市日常管理状态进行全方位的监控，并进行可视化管理和展示。通过城市体征专题（日常管理），为城市运行提供前瞻分析，方便城市管理者可以一目了然的掌控城市运行的总体运行状态。</w:t>
      </w:r>
    </w:p>
    <w:p w14:paraId="0A5ED09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城市体征专题包含的专题卡片如下：管理体系、城市运行体征、智能发现告警情况、智能发现全流程管理、市民热线问题情况、紧急突发问题、重点管控区域情况、视频一键轮训等。</w:t>
      </w:r>
    </w:p>
    <w:p w14:paraId="409DA2D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1.1.8.1.1 </w:t>
      </w:r>
      <w:r>
        <w:rPr>
          <w:rFonts w:hint="eastAsia" w:ascii="宋体" w:hAnsi="宋体" w:eastAsia="宋体" w:cs="宋体"/>
          <w:color w:val="auto"/>
          <w:sz w:val="28"/>
          <w:szCs w:val="28"/>
          <w:highlight w:val="none"/>
        </w:rPr>
        <w:t>管理体系</w:t>
      </w:r>
    </w:p>
    <w:p w14:paraId="387706F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直观展示支撑全市城市大脑建设和运行的多级管理体系，支持根据管理重点动态调整更新管理体系相关数据。管理体系专题卡片建设内容主要包括市中心、区分中心、接入的市属部门、街道分中心、村居工作站等多级管理体系。</w:t>
      </w:r>
    </w:p>
    <w:p w14:paraId="4B1FDDA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1.1.8.1.1.1 </w:t>
      </w:r>
      <w:r>
        <w:rPr>
          <w:rFonts w:hint="eastAsia" w:ascii="宋体" w:hAnsi="宋体" w:eastAsia="宋体" w:cs="宋体"/>
          <w:color w:val="auto"/>
          <w:sz w:val="28"/>
          <w:szCs w:val="28"/>
          <w:highlight w:val="none"/>
        </w:rPr>
        <w:t>市中心</w:t>
      </w:r>
    </w:p>
    <w:p w14:paraId="284A308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展示市级城市大脑主体机构（市级监督指挥中心）核心管理体系，包括中心主任、科室负责人、在岗坐席人员在岗情况、市级监督员数量等。</w:t>
      </w:r>
    </w:p>
    <w:p w14:paraId="7A93B31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1.1.8.1.1.2 </w:t>
      </w:r>
      <w:r>
        <w:rPr>
          <w:rFonts w:hint="eastAsia" w:ascii="宋体" w:hAnsi="宋体" w:eastAsia="宋体" w:cs="宋体"/>
          <w:color w:val="auto"/>
          <w:sz w:val="28"/>
          <w:szCs w:val="28"/>
          <w:highlight w:val="none"/>
        </w:rPr>
        <w:t>区分中心</w:t>
      </w:r>
    </w:p>
    <w:p w14:paraId="1F4DE9A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展示各区区级监督指挥中心核心管理体系，包括区指挥中心主任、值班长、区级监督员数量、监督员在岗数量、区分中心案件发现数量、区分中心案件处置数量等。</w:t>
      </w:r>
    </w:p>
    <w:p w14:paraId="60A8802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1.1.8.1.1.3 </w:t>
      </w:r>
      <w:r>
        <w:rPr>
          <w:rFonts w:hint="eastAsia" w:ascii="宋体" w:hAnsi="宋体" w:eastAsia="宋体" w:cs="宋体"/>
          <w:color w:val="auto"/>
          <w:sz w:val="28"/>
          <w:szCs w:val="28"/>
          <w:highlight w:val="none"/>
        </w:rPr>
        <w:t>接入的市属部门</w:t>
      </w:r>
    </w:p>
    <w:p w14:paraId="4EB38B2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展示城市大脑接入的市属管理部门情况，包括接入的市属管理部门数量、接入的市属管理部门名称、市属管理部门当月案件处置数等。</w:t>
      </w:r>
    </w:p>
    <w:p w14:paraId="334EDE4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1.1.8.1.1.4 </w:t>
      </w:r>
      <w:r>
        <w:rPr>
          <w:rFonts w:hint="eastAsia" w:ascii="宋体" w:hAnsi="宋体" w:eastAsia="宋体" w:cs="宋体"/>
          <w:color w:val="auto"/>
          <w:sz w:val="28"/>
          <w:szCs w:val="28"/>
          <w:highlight w:val="none"/>
        </w:rPr>
        <w:t>街道分中心</w:t>
      </w:r>
    </w:p>
    <w:p w14:paraId="1B21706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展示城市大脑接入的街道分中心情况，包括接入的街道分中心数量、街道分中心名称、街道驻派机构数量、街道驻派执法人员数量等。</w:t>
      </w:r>
    </w:p>
    <w:p w14:paraId="7E43995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1.1.8.1.1.5 </w:t>
      </w:r>
      <w:r>
        <w:rPr>
          <w:rFonts w:hint="eastAsia" w:ascii="宋体" w:hAnsi="宋体" w:eastAsia="宋体" w:cs="宋体"/>
          <w:color w:val="auto"/>
          <w:sz w:val="28"/>
          <w:szCs w:val="28"/>
          <w:highlight w:val="none"/>
        </w:rPr>
        <w:t>村居工作站</w:t>
      </w:r>
    </w:p>
    <w:p w14:paraId="66A7958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展示城市大脑接入的村居工作站情况，包括接入的村居工作站数量、村居工作站名称等。</w:t>
      </w:r>
    </w:p>
    <w:p w14:paraId="1D823A2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1.1.8.1.2 </w:t>
      </w:r>
      <w:r>
        <w:rPr>
          <w:rFonts w:hint="eastAsia" w:ascii="宋体" w:hAnsi="宋体" w:eastAsia="宋体" w:cs="宋体"/>
          <w:color w:val="auto"/>
          <w:sz w:val="28"/>
          <w:szCs w:val="28"/>
          <w:highlight w:val="none"/>
        </w:rPr>
        <w:t>城市运行体征</w:t>
      </w:r>
    </w:p>
    <w:p w14:paraId="7D60724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管理运行基本数据情况，支持根据城市管理重点以及城市日常运行数据的变化情况，动态调整更新城市运行体征相关数据。城市运行体征专题卡片建设内容主要包括城市基础数据、城市家具、案件来源情况、案件处置情况、案件结案情况等。</w:t>
      </w:r>
    </w:p>
    <w:p w14:paraId="515B2B1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1.1.8.1.2.1 </w:t>
      </w:r>
      <w:r>
        <w:rPr>
          <w:rFonts w:hint="eastAsia" w:ascii="宋体" w:hAnsi="宋体" w:eastAsia="宋体" w:cs="宋体"/>
          <w:color w:val="auto"/>
          <w:sz w:val="28"/>
          <w:szCs w:val="28"/>
          <w:highlight w:val="none"/>
        </w:rPr>
        <w:t>城市基础数据</w:t>
      </w:r>
    </w:p>
    <w:p w14:paraId="6C6F362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展示城市基础数据情况，包括城市建成区面积情况、城市实有人口数量、城市流动人口数量、城镇化率、城市基本经济数据、城市社区数量、城市重点场所数量等。</w:t>
      </w:r>
    </w:p>
    <w:p w14:paraId="2CAC606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1.1.8.1.2.2 </w:t>
      </w:r>
      <w:r>
        <w:rPr>
          <w:rFonts w:hint="eastAsia" w:ascii="宋体" w:hAnsi="宋体" w:eastAsia="宋体" w:cs="宋体"/>
          <w:color w:val="auto"/>
          <w:sz w:val="28"/>
          <w:szCs w:val="28"/>
          <w:highlight w:val="none"/>
        </w:rPr>
        <w:t>城市家具（部件）</w:t>
      </w:r>
    </w:p>
    <w:p w14:paraId="3B0B291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展示城市家具（部件），即城市管理公共区域内的各项市政工程设施与市政公用设施的基本情况，包括城市家具数量、城市家具类型、城市家具完好率、城市家具易损坏类型等，展示数据支持实时动态更新。</w:t>
      </w:r>
    </w:p>
    <w:p w14:paraId="0910788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1.1.8.1.2.3 </w:t>
      </w:r>
      <w:r>
        <w:rPr>
          <w:rFonts w:hint="eastAsia" w:ascii="宋体" w:hAnsi="宋体" w:eastAsia="宋体" w:cs="宋体"/>
          <w:color w:val="auto"/>
          <w:sz w:val="28"/>
          <w:szCs w:val="28"/>
          <w:highlight w:val="none"/>
        </w:rPr>
        <w:t>案件来源情况</w:t>
      </w:r>
    </w:p>
    <w:p w14:paraId="2900094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展示（默认展示今日）城市管理相关案件来源数量情况，包括市级监督员上报案件数量、区级监督员上报案件数量、物联网告警数量、热线投诉举报案件数量等，展示数据支持实时动态更新。</w:t>
      </w:r>
    </w:p>
    <w:p w14:paraId="37523D9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1.1.8.1.2.4 </w:t>
      </w:r>
      <w:r>
        <w:rPr>
          <w:rFonts w:hint="eastAsia" w:ascii="宋体" w:hAnsi="宋体" w:eastAsia="宋体" w:cs="宋体"/>
          <w:color w:val="auto"/>
          <w:sz w:val="28"/>
          <w:szCs w:val="28"/>
          <w:highlight w:val="none"/>
        </w:rPr>
        <w:t>案件处置情况</w:t>
      </w:r>
    </w:p>
    <w:p w14:paraId="082FCC5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展示（默认展示今日）城市管理相关案件的处置情况，包括市属部门正在处置的案件数量、转派区级部门正在处置的案件数量、正在处置的部件数量、正在处置的事件数量等，展示数据支持实时动态更新。</w:t>
      </w:r>
    </w:p>
    <w:p w14:paraId="6581951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1.1.8.1.2.5 </w:t>
      </w:r>
      <w:r>
        <w:rPr>
          <w:rFonts w:hint="eastAsia" w:ascii="宋体" w:hAnsi="宋体" w:eastAsia="宋体" w:cs="宋体"/>
          <w:color w:val="auto"/>
          <w:sz w:val="28"/>
          <w:szCs w:val="28"/>
          <w:highlight w:val="none"/>
        </w:rPr>
        <w:t>案件结案情况</w:t>
      </w:r>
    </w:p>
    <w:p w14:paraId="70A5C39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展示（默认展示今日）城市管理相关案件的处置完成情况，包括市结案数量、超期未处置数量等，展示数据支持实时动态更新，展示数据支持实时动态更新。</w:t>
      </w:r>
    </w:p>
    <w:p w14:paraId="25D4A2E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1.1.8.1.3 </w:t>
      </w:r>
      <w:r>
        <w:rPr>
          <w:rFonts w:hint="eastAsia" w:ascii="宋体" w:hAnsi="宋体" w:eastAsia="宋体" w:cs="宋体"/>
          <w:color w:val="auto"/>
          <w:sz w:val="28"/>
          <w:szCs w:val="28"/>
          <w:highlight w:val="none"/>
        </w:rPr>
        <w:t>智能发现告警情况</w:t>
      </w:r>
    </w:p>
    <w:p w14:paraId="279A8E2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管理通过智能化手段智能发现告警情况，支持根据城市管理重点以及城市日常运行数据的变化情况，动态调整更新智能发现告警数据。城市管理智能发现告警专题卡片建设内容主要包括智能发现告警数量、智能发现告警类型等。</w:t>
      </w:r>
    </w:p>
    <w:p w14:paraId="4E6E46D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1.1.8.1.3.1 </w:t>
      </w:r>
      <w:r>
        <w:rPr>
          <w:rFonts w:hint="eastAsia" w:ascii="宋体" w:hAnsi="宋体" w:eastAsia="宋体" w:cs="宋体"/>
          <w:color w:val="auto"/>
          <w:sz w:val="28"/>
          <w:szCs w:val="28"/>
          <w:highlight w:val="none"/>
        </w:rPr>
        <w:t>智能发现告警数量</w:t>
      </w:r>
    </w:p>
    <w:p w14:paraId="1B87CFB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展示（默认展示今日）城市管理所有接入到城市大脑的智能设备所有的智能告警总数量等，展示数据支持实时动态更新。</w:t>
      </w:r>
    </w:p>
    <w:p w14:paraId="60B3C51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1.1.8.1.3.2 </w:t>
      </w:r>
      <w:r>
        <w:rPr>
          <w:rFonts w:hint="eastAsia" w:ascii="宋体" w:hAnsi="宋体" w:eastAsia="宋体" w:cs="宋体"/>
          <w:color w:val="auto"/>
          <w:sz w:val="28"/>
          <w:szCs w:val="28"/>
          <w:highlight w:val="none"/>
        </w:rPr>
        <w:t>智能发现告警类型</w:t>
      </w:r>
    </w:p>
    <w:p w14:paraId="5071B28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默认展示今日）城市管理所有接入到城市大脑的智能设备不同的设备类型告警数量，包括市政设施物联网感知告警数量、城市管理视频智能识别告警数量、渣土车违规告警数量、餐饮油烟告警数量等，展示数据支持实时动态更新。</w:t>
      </w:r>
    </w:p>
    <w:p w14:paraId="48CD483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1.1.8.1.4 </w:t>
      </w:r>
      <w:r>
        <w:rPr>
          <w:rFonts w:hint="eastAsia" w:ascii="宋体" w:hAnsi="宋体" w:eastAsia="宋体" w:cs="宋体"/>
          <w:color w:val="auto"/>
          <w:sz w:val="28"/>
          <w:szCs w:val="28"/>
          <w:highlight w:val="none"/>
        </w:rPr>
        <w:t>全流程闭环管理模式</w:t>
      </w:r>
    </w:p>
    <w:p w14:paraId="0300970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展示通过物联网、视频监控等智能发现设备发现城市管理问题后，案件流转主要的核心闭环管理流程，方便中心在接待汇报时，能够直观展示案件流转全过程及创新的闭环管理模式。</w:t>
      </w:r>
    </w:p>
    <w:p w14:paraId="3C7D702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1.1.8.1.4.1 </w:t>
      </w:r>
      <w:r>
        <w:rPr>
          <w:rFonts w:hint="eastAsia" w:ascii="宋体" w:hAnsi="宋体" w:eastAsia="宋体" w:cs="宋体"/>
          <w:color w:val="auto"/>
          <w:sz w:val="28"/>
          <w:szCs w:val="28"/>
          <w:highlight w:val="none"/>
        </w:rPr>
        <w:t>网格化闭环管理流程</w:t>
      </w:r>
    </w:p>
    <w:p w14:paraId="461D2EC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展示常规问题通过网格化管理平台处置的七步闭环管理流程，以近期发生的两个案件为例，展示案件的办理经过，已完成的关键节点用绿色展示，为完成的节点用红色展示。</w:t>
      </w:r>
    </w:p>
    <w:p w14:paraId="577C4DD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1.1.8.1.4.2 </w:t>
      </w:r>
      <w:r>
        <w:rPr>
          <w:rFonts w:hint="eastAsia" w:ascii="宋体" w:hAnsi="宋体" w:eastAsia="宋体" w:cs="宋体"/>
          <w:color w:val="auto"/>
          <w:sz w:val="28"/>
          <w:szCs w:val="28"/>
          <w:highlight w:val="none"/>
        </w:rPr>
        <w:t>扁平化处置管理流程</w:t>
      </w:r>
    </w:p>
    <w:p w14:paraId="6FC3346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展示权责明晰问题通过扁平化处置的管理流程，这类权责明晰的问题上报后，可以不通过监督指挥中心的坐席员派遣，就能通过平台直接立案并派遣到相应的处置部门或者一线处置人员。</w:t>
      </w:r>
    </w:p>
    <w:p w14:paraId="399CB2D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支持展示经过扁平化处置管理流程的案件总数、案件总类别等；并支持以近期发生的两个案件为例，展示案件的办理经过，已完成的关键节点用绿色展示，为完成的节点用红色展示。</w:t>
      </w:r>
    </w:p>
    <w:p w14:paraId="46F7F45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1.1.8.1.4.3 </w:t>
      </w:r>
      <w:r>
        <w:rPr>
          <w:rFonts w:hint="eastAsia" w:ascii="宋体" w:hAnsi="宋体" w:eastAsia="宋体" w:cs="宋体"/>
          <w:color w:val="auto"/>
          <w:sz w:val="28"/>
          <w:szCs w:val="28"/>
          <w:highlight w:val="none"/>
        </w:rPr>
        <w:t>智能化预警管理流程</w:t>
      </w:r>
    </w:p>
    <w:p w14:paraId="33FE209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展示视频智能识别问题的案件详细信息（发现时间、问题类型、照片信息）及办理过程，以近期发生的两个案件为例，展示案件的办理经过，已完成的关键节点用绿色展示，为完成的节点用红色展示；</w:t>
      </w:r>
    </w:p>
    <w:p w14:paraId="0655D84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展示城市运行中心接入的各类监测设备发现的预警问题的案件及办理过程，以近期发生的两个案件为例，展示案件的办理经过，已完成的关键节点用绿色展示，为完成的节点用红色展示。</w:t>
      </w:r>
    </w:p>
    <w:p w14:paraId="5E44113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1.1.8.1.5 </w:t>
      </w:r>
      <w:r>
        <w:rPr>
          <w:rFonts w:hint="eastAsia" w:ascii="宋体" w:hAnsi="宋体" w:eastAsia="宋体" w:cs="宋体"/>
          <w:color w:val="auto"/>
          <w:sz w:val="28"/>
          <w:szCs w:val="28"/>
          <w:highlight w:val="none"/>
        </w:rPr>
        <w:t>市民举报问题情况</w:t>
      </w:r>
    </w:p>
    <w:p w14:paraId="5B4F9C0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展示市民通过各种方式针对城市管理问题提出的建议和意见情况，以及城市管理部门的相应程度和市民的满意度情况。市民参与城市治理的方式主要包括：热线、微信公众号、e福州APP等。</w:t>
      </w:r>
    </w:p>
    <w:p w14:paraId="7D7732A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1.1.8.1.5.1 </w:t>
      </w:r>
      <w:r>
        <w:rPr>
          <w:rFonts w:hint="eastAsia" w:ascii="宋体" w:hAnsi="宋体" w:eastAsia="宋体" w:cs="宋体"/>
          <w:color w:val="auto"/>
          <w:sz w:val="28"/>
          <w:szCs w:val="28"/>
          <w:highlight w:val="none"/>
        </w:rPr>
        <w:t>热线举报</w:t>
      </w:r>
    </w:p>
    <w:p w14:paraId="775A397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展示市民通过热线方式上报案卷的情况，包括上报总量、已处置量、待处置量以及市民满意比例等内容。</w:t>
      </w:r>
    </w:p>
    <w:p w14:paraId="29A93D0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1.1.8.1.5.2 </w:t>
      </w:r>
      <w:r>
        <w:rPr>
          <w:rFonts w:hint="eastAsia" w:ascii="宋体" w:hAnsi="宋体" w:eastAsia="宋体" w:cs="宋体"/>
          <w:color w:val="auto"/>
          <w:sz w:val="28"/>
          <w:szCs w:val="28"/>
          <w:highlight w:val="none"/>
        </w:rPr>
        <w:t>微信公众号举报</w:t>
      </w:r>
    </w:p>
    <w:p w14:paraId="7660E94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展示市民通过微信公众号方式上报案卷的情况，包括上报总量、已处置量、待处置量以及市民满意比例等内容。</w:t>
      </w:r>
    </w:p>
    <w:p w14:paraId="609DBAC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1.1.8.1.5.3 </w:t>
      </w:r>
      <w:r>
        <w:rPr>
          <w:rFonts w:hint="eastAsia" w:ascii="宋体" w:hAnsi="宋体" w:eastAsia="宋体" w:cs="宋体"/>
          <w:color w:val="auto"/>
          <w:sz w:val="28"/>
          <w:szCs w:val="28"/>
          <w:highlight w:val="none"/>
        </w:rPr>
        <w:t>e福州APP举报</w:t>
      </w:r>
    </w:p>
    <w:p w14:paraId="2A31E9A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展示市民通过e福州APP方式上报案卷的情况，包括上报总量、已处置量、待处置量以及市民满意比例等内容。</w:t>
      </w:r>
    </w:p>
    <w:p w14:paraId="15CD1EA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1.1.8.1.5.4 </w:t>
      </w:r>
      <w:r>
        <w:rPr>
          <w:rFonts w:hint="eastAsia" w:ascii="宋体" w:hAnsi="宋体" w:eastAsia="宋体" w:cs="宋体"/>
          <w:color w:val="auto"/>
          <w:sz w:val="28"/>
          <w:szCs w:val="28"/>
          <w:highlight w:val="none"/>
        </w:rPr>
        <w:t>紧急突发问题</w:t>
      </w:r>
    </w:p>
    <w:p w14:paraId="2EB84E9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展示城市管理紧急突发问题的实时进展情况，实时了解突发事件的详细信息、地图定位、上报人、处置部门、处置人员、处置进度以及处置前后对比照片等。</w:t>
      </w:r>
    </w:p>
    <w:p w14:paraId="620EA70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1.1.8.1.5.5 </w:t>
      </w:r>
      <w:r>
        <w:rPr>
          <w:rFonts w:hint="eastAsia" w:ascii="宋体" w:hAnsi="宋体" w:eastAsia="宋体" w:cs="宋体"/>
          <w:color w:val="auto"/>
          <w:sz w:val="28"/>
          <w:szCs w:val="28"/>
          <w:highlight w:val="none"/>
        </w:rPr>
        <w:t>气象天气情况</w:t>
      </w:r>
    </w:p>
    <w:p w14:paraId="58ACAB1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展示今日气象数据，如天气状况、温度（最高温度、最低温度）、风向、风速、空气质量等。</w:t>
      </w:r>
    </w:p>
    <w:p w14:paraId="09ABC6B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1.1.8.1.5.6 </w:t>
      </w:r>
      <w:r>
        <w:rPr>
          <w:rFonts w:hint="eastAsia" w:ascii="宋体" w:hAnsi="宋体" w:eastAsia="宋体" w:cs="宋体"/>
          <w:color w:val="auto"/>
          <w:sz w:val="28"/>
          <w:szCs w:val="28"/>
          <w:highlight w:val="none"/>
        </w:rPr>
        <w:t>国家授时中心标准时间</w:t>
      </w:r>
    </w:p>
    <w:p w14:paraId="2AE0F3E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对接国家授时中心的标准时间，实时显示北京时间（时、分、秒）以及星期和日历（农历、节日）等。</w:t>
      </w:r>
    </w:p>
    <w:p w14:paraId="6665A6C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1.1.8.2 </w:t>
      </w:r>
      <w:r>
        <w:rPr>
          <w:rFonts w:hint="eastAsia" w:ascii="宋体" w:hAnsi="宋体" w:eastAsia="宋体" w:cs="宋体"/>
          <w:color w:val="auto"/>
          <w:sz w:val="28"/>
          <w:szCs w:val="28"/>
          <w:highlight w:val="none"/>
        </w:rPr>
        <w:t>基本要素地图</w:t>
      </w:r>
    </w:p>
    <w:p w14:paraId="3D25380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用二三维地图模拟仿真技术，充分优化三维模型组织格式、调度以及三维绘制性能，集成矢量地图，实现跨平台二三维地图仿真展示。以数据服务的形式为城市运行中心提供地图服务，并与城运中心专题数据联动，实现三维仿真效果。</w:t>
      </w:r>
    </w:p>
    <w:p w14:paraId="52F5792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1.1.8.2.1 </w:t>
      </w:r>
      <w:r>
        <w:rPr>
          <w:rFonts w:hint="eastAsia" w:ascii="宋体" w:hAnsi="宋体" w:eastAsia="宋体" w:cs="宋体"/>
          <w:color w:val="auto"/>
          <w:sz w:val="28"/>
          <w:szCs w:val="28"/>
          <w:highlight w:val="none"/>
        </w:rPr>
        <w:t>二维地图</w:t>
      </w:r>
    </w:p>
    <w:p w14:paraId="793C775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支持以二维地图的形式，联动展示案件发生位置、人员车辆轨迹等。</w:t>
      </w:r>
    </w:p>
    <w:p w14:paraId="1EF848B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1.1.8.2.2 </w:t>
      </w:r>
      <w:r>
        <w:rPr>
          <w:rFonts w:hint="eastAsia" w:ascii="宋体" w:hAnsi="宋体" w:eastAsia="宋体" w:cs="宋体"/>
          <w:color w:val="auto"/>
          <w:sz w:val="28"/>
          <w:szCs w:val="28"/>
          <w:highlight w:val="none"/>
        </w:rPr>
        <w:t>三维地图</w:t>
      </w:r>
    </w:p>
    <w:p w14:paraId="7B1D35B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支持以三维地图的形式（灰模三维地图），联动展示案件发生位置、人员车辆轨迹等。</w:t>
      </w:r>
    </w:p>
    <w:p w14:paraId="698E272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1.1.8.2.3 </w:t>
      </w:r>
      <w:r>
        <w:rPr>
          <w:rFonts w:hint="eastAsia" w:ascii="宋体" w:hAnsi="宋体" w:eastAsia="宋体" w:cs="宋体"/>
          <w:color w:val="auto"/>
          <w:sz w:val="28"/>
          <w:szCs w:val="28"/>
          <w:highlight w:val="none"/>
        </w:rPr>
        <w:t>二三维切换</w:t>
      </w:r>
    </w:p>
    <w:p w14:paraId="7FF97B7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支持根据管理和数据展示需要，在二三维地图之间切换。</w:t>
      </w:r>
    </w:p>
    <w:p w14:paraId="18966EE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1.1.8.2.4 </w:t>
      </w:r>
      <w:r>
        <w:rPr>
          <w:rFonts w:hint="eastAsia" w:ascii="宋体" w:hAnsi="宋体" w:eastAsia="宋体" w:cs="宋体"/>
          <w:color w:val="auto"/>
          <w:sz w:val="28"/>
          <w:szCs w:val="28"/>
          <w:highlight w:val="none"/>
        </w:rPr>
        <w:t>网格一张图</w:t>
      </w:r>
    </w:p>
    <w:p w14:paraId="6E97F20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支持以二维或三维地图的形式展示城市各级管理网格，包括市级网格、区级网格、街镇级网格、村社级网格、万米单元网格以及各级责任网格等。</w:t>
      </w:r>
    </w:p>
    <w:p w14:paraId="1E23FE7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1.1.8.2.5 </w:t>
      </w:r>
      <w:r>
        <w:rPr>
          <w:rFonts w:hint="eastAsia" w:ascii="宋体" w:hAnsi="宋体" w:eastAsia="宋体" w:cs="宋体"/>
          <w:color w:val="auto"/>
          <w:sz w:val="28"/>
          <w:szCs w:val="28"/>
          <w:highlight w:val="none"/>
        </w:rPr>
        <w:t>部件一张图</w:t>
      </w:r>
    </w:p>
    <w:p w14:paraId="330BA8B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支持以二维或三维地图的形式展示城市管理部件图层，包括市容环境设施类、园林绿化设施类、公用设施类等部件的位置信息，支持以不同颜色展示部件状态信息。</w:t>
      </w:r>
    </w:p>
    <w:p w14:paraId="48097FE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1.1.8.2.6 </w:t>
      </w:r>
      <w:r>
        <w:rPr>
          <w:rFonts w:hint="eastAsia" w:ascii="宋体" w:hAnsi="宋体" w:eastAsia="宋体" w:cs="宋体"/>
          <w:color w:val="auto"/>
          <w:sz w:val="28"/>
          <w:szCs w:val="28"/>
          <w:highlight w:val="none"/>
        </w:rPr>
        <w:t>环卫一张图</w:t>
      </w:r>
    </w:p>
    <w:p w14:paraId="617D80B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支持以二维或三维地图的形式展示城市管理市容环卫图层，包括环卫车辆（洒水车、机扫车、垃圾收运车、吸污车等）位置信息、环卫设施（垃圾箱、垃圾站、厕所、填埋场等）位置信息、环卫人员位置信息等。</w:t>
      </w:r>
    </w:p>
    <w:p w14:paraId="533D00F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1.1.8.2.7 </w:t>
      </w:r>
      <w:r>
        <w:rPr>
          <w:rFonts w:hint="eastAsia" w:ascii="宋体" w:hAnsi="宋体" w:eastAsia="宋体" w:cs="宋体"/>
          <w:color w:val="auto"/>
          <w:sz w:val="28"/>
          <w:szCs w:val="28"/>
          <w:highlight w:val="none"/>
        </w:rPr>
        <w:t>渣土一张图</w:t>
      </w:r>
    </w:p>
    <w:p w14:paraId="60E718A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支持以二维或三维地图的形式展示城市渣土监管图层，包括渣土车辆位置信息、商砼车位置信息、工地位置信息、消纳场位置信息等。</w:t>
      </w:r>
    </w:p>
    <w:p w14:paraId="255AE0C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1.1.8.2.8 </w:t>
      </w:r>
      <w:r>
        <w:rPr>
          <w:rFonts w:hint="eastAsia" w:ascii="宋体" w:hAnsi="宋体" w:eastAsia="宋体" w:cs="宋体"/>
          <w:color w:val="auto"/>
          <w:sz w:val="28"/>
          <w:szCs w:val="28"/>
          <w:highlight w:val="none"/>
        </w:rPr>
        <w:t>道桥一张图</w:t>
      </w:r>
    </w:p>
    <w:p w14:paraId="3457BBD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支持以二维或三维地图的形式展示城市道路、桥梁信息，包括道路桥梁名称、路段名称、路段位置、桥梁位置等，支持以不同颜色展示道桥健康状况信息。</w:t>
      </w:r>
    </w:p>
    <w:p w14:paraId="23615C7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1.1.8.2.9 </w:t>
      </w:r>
      <w:r>
        <w:rPr>
          <w:rFonts w:hint="eastAsia" w:ascii="宋体" w:hAnsi="宋体" w:eastAsia="宋体" w:cs="宋体"/>
          <w:color w:val="auto"/>
          <w:sz w:val="28"/>
          <w:szCs w:val="28"/>
          <w:highlight w:val="none"/>
        </w:rPr>
        <w:t>路灯一张图</w:t>
      </w:r>
    </w:p>
    <w:p w14:paraId="24D4FE9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支持以二维或三维地图的形式展示城市路灯信息，包括路灯位置等，支持以不同颜色展示路灯状况信息。</w:t>
      </w:r>
    </w:p>
    <w:p w14:paraId="4151A58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1.1.8.2.10 </w:t>
      </w:r>
      <w:r>
        <w:rPr>
          <w:rFonts w:hint="eastAsia" w:ascii="宋体" w:hAnsi="宋体" w:eastAsia="宋体" w:cs="宋体"/>
          <w:color w:val="auto"/>
          <w:sz w:val="28"/>
          <w:szCs w:val="28"/>
          <w:highlight w:val="none"/>
        </w:rPr>
        <w:t>井盖一张图</w:t>
      </w:r>
    </w:p>
    <w:p w14:paraId="1418114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支持以二维或三维地图的形式展示城市不同种类井盖信息，包括井盖位置、井盖种类等，支持以不同颜色展示井盖状况信息。</w:t>
      </w:r>
    </w:p>
    <w:p w14:paraId="3B0217C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1.1.8.2.11 </w:t>
      </w:r>
      <w:r>
        <w:rPr>
          <w:rFonts w:hint="eastAsia" w:ascii="宋体" w:hAnsi="宋体" w:eastAsia="宋体" w:cs="宋体"/>
          <w:color w:val="auto"/>
          <w:sz w:val="28"/>
          <w:szCs w:val="28"/>
          <w:highlight w:val="none"/>
        </w:rPr>
        <w:t>人员一张图</w:t>
      </w:r>
    </w:p>
    <w:p w14:paraId="4A8E787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支持以二维或三维地图的形式展示城市管理监督员位置信息，包括监督员位置、监督员轨迹等。</w:t>
      </w:r>
    </w:p>
    <w:p w14:paraId="033E6F9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1.1.8.2.12 </w:t>
      </w:r>
      <w:r>
        <w:rPr>
          <w:rFonts w:hint="eastAsia" w:ascii="宋体" w:hAnsi="宋体" w:eastAsia="宋体" w:cs="宋体"/>
          <w:color w:val="auto"/>
          <w:sz w:val="28"/>
          <w:szCs w:val="28"/>
          <w:highlight w:val="none"/>
        </w:rPr>
        <w:t>案件一张图</w:t>
      </w:r>
    </w:p>
    <w:p w14:paraId="78B137A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支持以二维或三维地图的形式展示城市管理案件位置信息，支持以多种方式展示不同比例尺下的地图案件。</w:t>
      </w:r>
    </w:p>
    <w:p w14:paraId="389A36C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1.1.8.3 </w:t>
      </w:r>
      <w:r>
        <w:rPr>
          <w:rFonts w:hint="eastAsia" w:ascii="宋体" w:hAnsi="宋体" w:eastAsia="宋体" w:cs="宋体"/>
          <w:color w:val="auto"/>
          <w:sz w:val="28"/>
          <w:szCs w:val="28"/>
          <w:highlight w:val="none"/>
        </w:rPr>
        <w:t>市政公用专题</w:t>
      </w:r>
    </w:p>
    <w:p w14:paraId="2E797BB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系统依托与时空信息公共服务等平台的对接，实现城市管网、消防设施、供水及道路交通等基础设施的运行监测管理功能，提供统一的城市综合运行状态视图。</w:t>
      </w:r>
    </w:p>
    <w:p w14:paraId="2432EEB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平台实现物联网数据接入，实现能源供应（电力、天然气）、供水排水（自来水厂、供水管网、排水、污水处理等）、交通运输（道路、桥梁、隧道、路灯等）基础设施的位置显示、实时状态查看及圈选查询。全面感知和监测基础设施状态，为基础设施安全管理、养护管理、预防性维护提供支持，提升城市基础设施服务能力。</w:t>
      </w:r>
    </w:p>
    <w:p w14:paraId="449C5BA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基础设施数据种类多，数量大，分散存储在各部门和各下属单位中，基础设施资源数据散落在各处，无法共享，很难发挥信息资源的作用。通过统一数据对接支撑服务，基于时空信息公共服务GIS平台，整合汇总各类城市基础设施资源，包括道路及相关设施、桥梁、路灯、水系、排水设施等，建设城市资源数据库，实现对城市基础设施资源的查询、统计、分析等功能，为政府进行城市基础设施资源的综合管理提供了有效手段，使城市管理者能够对城市的安全生产、综合业务、监督巡查等工作进行全方位的监管。</w:t>
      </w:r>
    </w:p>
    <w:p w14:paraId="5839D85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1.1.8.3.1 </w:t>
      </w:r>
      <w:r>
        <w:rPr>
          <w:rFonts w:hint="eastAsia" w:ascii="宋体" w:hAnsi="宋体" w:eastAsia="宋体" w:cs="宋体"/>
          <w:color w:val="auto"/>
          <w:sz w:val="28"/>
          <w:szCs w:val="28"/>
          <w:highlight w:val="none"/>
        </w:rPr>
        <w:t>市政地图</w:t>
      </w:r>
    </w:p>
    <w:p w14:paraId="0073D6F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集中在地图上展示市政各专题图层，包括道路、桥梁、隧道、排水、井盖、积水点、视频、车辆、人员等专题。</w:t>
      </w:r>
    </w:p>
    <w:p w14:paraId="6B90767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1.1.8.3.2 </w:t>
      </w:r>
      <w:r>
        <w:rPr>
          <w:rFonts w:hint="eastAsia" w:ascii="宋体" w:hAnsi="宋体" w:eastAsia="宋体" w:cs="宋体"/>
          <w:color w:val="auto"/>
          <w:sz w:val="28"/>
          <w:szCs w:val="28"/>
          <w:highlight w:val="none"/>
        </w:rPr>
        <w:t>运行指标</w:t>
      </w:r>
    </w:p>
    <w:p w14:paraId="0B678DB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综合展示各市政设施的运行情况，包括路灯亮灯率、在修道路数量、道路养护里程数、施工问题数、在建工程数、隐患点等。</w:t>
      </w:r>
    </w:p>
    <w:p w14:paraId="078AC2F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1.1.8.3.3 </w:t>
      </w:r>
      <w:r>
        <w:rPr>
          <w:rFonts w:hint="eastAsia" w:ascii="宋体" w:hAnsi="宋体" w:eastAsia="宋体" w:cs="宋体"/>
          <w:color w:val="auto"/>
          <w:sz w:val="28"/>
          <w:szCs w:val="28"/>
          <w:highlight w:val="none"/>
        </w:rPr>
        <w:t>物联设备</w:t>
      </w:r>
    </w:p>
    <w:p w14:paraId="42D31BB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综合展示市政物联设备总体概况，包括物联设备总数和告警数。</w:t>
      </w:r>
    </w:p>
    <w:p w14:paraId="327C694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排水：展示排水液位监测仪数量/存在问题设备数，水质检测仪数量/存在问题设备数；</w:t>
      </w:r>
    </w:p>
    <w:p w14:paraId="2FB1E8B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井盖：展示井盖集控器数量/存在问题设备数，井盖监测器数量/存在问题设备数；</w:t>
      </w:r>
    </w:p>
    <w:p w14:paraId="55B508D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道桥：展示位移监测仪数量/存在问题设备数，振幅监测仪数量/存在问题设备数，湿度计数量/存在问题设备数；</w:t>
      </w:r>
    </w:p>
    <w:p w14:paraId="19924A6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隧道：展示沉降监测仪数量/存在问题设备数，结构应力监测仪数量/存在问题设备数。</w:t>
      </w:r>
    </w:p>
    <w:p w14:paraId="05EF713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1.1.8.3.4 </w:t>
      </w:r>
      <w:r>
        <w:rPr>
          <w:rFonts w:hint="eastAsia" w:ascii="宋体" w:hAnsi="宋体" w:eastAsia="宋体" w:cs="宋体"/>
          <w:color w:val="auto"/>
          <w:sz w:val="28"/>
          <w:szCs w:val="28"/>
          <w:highlight w:val="none"/>
        </w:rPr>
        <w:t>市政概况</w:t>
      </w:r>
    </w:p>
    <w:p w14:paraId="425925F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该模块展示市政设施的总体情况,主要包括以下内容:</w:t>
      </w:r>
    </w:p>
    <w:p w14:paraId="31B0C72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道路：条数、总长度；</w:t>
      </w:r>
    </w:p>
    <w:p w14:paraId="35B65E4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排水沟渠：管道长度、管渠长度；</w:t>
      </w:r>
    </w:p>
    <w:p w14:paraId="0D1ED99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桥梁：总数量（高架桥、特大桥、大桥、中小桥数量）；</w:t>
      </w:r>
    </w:p>
    <w:p w14:paraId="78235AC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隧道：隧道、地下通道等数量。</w:t>
      </w:r>
    </w:p>
    <w:p w14:paraId="585F04E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1.1.8.3.5 </w:t>
      </w:r>
      <w:r>
        <w:rPr>
          <w:rFonts w:hint="eastAsia" w:ascii="宋体" w:hAnsi="宋体" w:eastAsia="宋体" w:cs="宋体"/>
          <w:color w:val="auto"/>
          <w:sz w:val="28"/>
          <w:szCs w:val="28"/>
          <w:highlight w:val="none"/>
        </w:rPr>
        <w:t>物联网监测</w:t>
      </w:r>
    </w:p>
    <w:p w14:paraId="19F94FC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列表形式展示各物联设备（自来水监测点、路灯、井盖监测点、排水监测点）监测值，包括实时监测值、设备正常值范围、最新更新时间等。不同类型设备和不同监测点均可快速切换，支持关联地图查看各物联设备详细信息。</w:t>
      </w:r>
    </w:p>
    <w:p w14:paraId="587234B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1.1.8.3.6 </w:t>
      </w:r>
      <w:r>
        <w:rPr>
          <w:rFonts w:hint="eastAsia" w:ascii="宋体" w:hAnsi="宋体" w:eastAsia="宋体" w:cs="宋体"/>
          <w:color w:val="auto"/>
          <w:sz w:val="28"/>
          <w:szCs w:val="28"/>
          <w:highlight w:val="none"/>
        </w:rPr>
        <w:t>最新通告</w:t>
      </w:r>
    </w:p>
    <w:p w14:paraId="7D1D876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以列表形式展示各市政物联设备最新告警情况，通告内容包括位置信息、设备编号、告警信息、推送情况等。</w:t>
      </w:r>
    </w:p>
    <w:p w14:paraId="6FD5DF6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1.1.8.3.7 </w:t>
      </w:r>
      <w:r>
        <w:rPr>
          <w:rFonts w:hint="eastAsia" w:ascii="宋体" w:hAnsi="宋体" w:eastAsia="宋体" w:cs="宋体"/>
          <w:color w:val="auto"/>
          <w:sz w:val="28"/>
          <w:szCs w:val="28"/>
          <w:highlight w:val="none"/>
        </w:rPr>
        <w:t>养护统计</w:t>
      </w:r>
    </w:p>
    <w:p w14:paraId="3CAF93F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统计各类市政设施（道路、桥梁、隧道、排水）的养护情况，以柱状图展示各类市政设施的养护统计数。</w:t>
      </w:r>
    </w:p>
    <w:p w14:paraId="48623B8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1.1.8.3.8 </w:t>
      </w:r>
      <w:r>
        <w:rPr>
          <w:rFonts w:hint="eastAsia" w:ascii="宋体" w:hAnsi="宋体" w:eastAsia="宋体" w:cs="宋体"/>
          <w:color w:val="auto"/>
          <w:sz w:val="28"/>
          <w:szCs w:val="28"/>
          <w:highlight w:val="none"/>
        </w:rPr>
        <w:t>高发问题</w:t>
      </w:r>
    </w:p>
    <w:p w14:paraId="2F4EAD1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展示市政问题发生的空间、类型的规律分析结果，主要包括以下内容：</w:t>
      </w:r>
    </w:p>
    <w:p w14:paraId="5A3F5B1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高发类型分析：展示当天上报市政类案件的类别高发统计结果；</w:t>
      </w:r>
    </w:p>
    <w:p w14:paraId="5FE255B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高发道路分析：展示当天上报案件的道路高发统计结果。</w:t>
      </w:r>
    </w:p>
    <w:p w14:paraId="43C5C7A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1.1.8.3.9 </w:t>
      </w:r>
      <w:r>
        <w:rPr>
          <w:rFonts w:hint="eastAsia" w:ascii="宋体" w:hAnsi="宋体" w:eastAsia="宋体" w:cs="宋体"/>
          <w:color w:val="auto"/>
          <w:sz w:val="28"/>
          <w:szCs w:val="28"/>
          <w:highlight w:val="none"/>
        </w:rPr>
        <w:t>设施概况</w:t>
      </w:r>
    </w:p>
    <w:p w14:paraId="02DE9B1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描述清楚有哪些设施，各类设施数量有多少？这些数据通过设施图层获取或者从其他系统对接而来。</w:t>
      </w:r>
    </w:p>
    <w:p w14:paraId="0872282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1.1.8.3.10 </w:t>
      </w:r>
      <w:r>
        <w:rPr>
          <w:rFonts w:hint="eastAsia" w:ascii="宋体" w:hAnsi="宋体" w:eastAsia="宋体" w:cs="宋体"/>
          <w:color w:val="auto"/>
          <w:sz w:val="28"/>
          <w:szCs w:val="28"/>
          <w:highlight w:val="none"/>
        </w:rPr>
        <w:t>物联网设备一张图</w:t>
      </w:r>
    </w:p>
    <w:p w14:paraId="232D036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列举各类物联网监测设备的总数量，同时将在线的设备都列出来。地图上能显示各类设备分布情况，点击查看详细信息和监测信息。</w:t>
      </w:r>
    </w:p>
    <w:p w14:paraId="34FEFEC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1.1.8.3.11 </w:t>
      </w:r>
      <w:r>
        <w:rPr>
          <w:rFonts w:hint="eastAsia" w:ascii="宋体" w:hAnsi="宋体" w:eastAsia="宋体" w:cs="宋体"/>
          <w:color w:val="auto"/>
          <w:sz w:val="28"/>
          <w:szCs w:val="28"/>
          <w:highlight w:val="none"/>
        </w:rPr>
        <w:t>实时监测</w:t>
      </w:r>
    </w:p>
    <w:p w14:paraId="2902B6E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以列表形式显示数值类型监测值，对于各监测点有比较宏观的认识。对于报警的设备，有限排前前面。不同类型设备和不同监测点均可快速切换，双击在地图上定位，查看详细信息。</w:t>
      </w:r>
    </w:p>
    <w:p w14:paraId="51179A9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1.1.8.3.12 </w:t>
      </w:r>
      <w:r>
        <w:rPr>
          <w:rFonts w:hint="eastAsia" w:ascii="宋体" w:hAnsi="宋体" w:eastAsia="宋体" w:cs="宋体"/>
          <w:color w:val="auto"/>
          <w:sz w:val="28"/>
          <w:szCs w:val="28"/>
          <w:highlight w:val="none"/>
        </w:rPr>
        <w:t>报警信息</w:t>
      </w:r>
    </w:p>
    <w:p w14:paraId="6F7827B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对于发生掉线、没电等报警情况的设备，及时将报警信息推送出来，在页面中显示报警设备ID、名称、地址、报警类型、详情等信息，可以对报警信息进行处理，以决定是否生成案件进行处置派单。</w:t>
      </w:r>
    </w:p>
    <w:p w14:paraId="4868172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1.1.8.3.13 </w:t>
      </w:r>
      <w:r>
        <w:rPr>
          <w:rFonts w:hint="eastAsia" w:ascii="宋体" w:hAnsi="宋体" w:eastAsia="宋体" w:cs="宋体"/>
          <w:color w:val="auto"/>
          <w:sz w:val="28"/>
          <w:szCs w:val="28"/>
          <w:highlight w:val="none"/>
        </w:rPr>
        <w:t>设施运行情况</w:t>
      </w:r>
    </w:p>
    <w:p w14:paraId="5150D76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从问题总量、问题完成量、按时完成率三个方面来衡量各类设施健康运行情况，对于反馈的问题，通过问题来源进行区分。以柱状图和折线图结合方式来表现，动态变化，能更好的展示效果。</w:t>
      </w:r>
    </w:p>
    <w:p w14:paraId="68D305C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1.1.8.4 </w:t>
      </w:r>
      <w:r>
        <w:rPr>
          <w:rFonts w:hint="eastAsia" w:ascii="宋体" w:hAnsi="宋体" w:eastAsia="宋体" w:cs="宋体"/>
          <w:color w:val="auto"/>
          <w:sz w:val="28"/>
          <w:szCs w:val="28"/>
          <w:highlight w:val="none"/>
        </w:rPr>
        <w:t>市容环卫专题</w:t>
      </w:r>
    </w:p>
    <w:p w14:paraId="3125EBD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园林绿化一张图监管系统在全面准确摸清城市园林绿化家底的基础上，开展深入的数据挖掘与分析应用。科学测算绿化覆盖率、绿地率。公园服务半径覆盖率等核心指标，提升城市绿地规划建设的合理性，实时监控当前各种问题的处置进度和状态，为用户提供实时的环卫管理运行状态，方便用户及时进行指挥调度和紧急事件处理。实现城市园林绿化服务质量和服务能力的优化与提升。</w:t>
      </w:r>
    </w:p>
    <w:p w14:paraId="22AFC0C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1.1.8.4.1 </w:t>
      </w:r>
      <w:r>
        <w:rPr>
          <w:rFonts w:hint="eastAsia" w:ascii="宋体" w:hAnsi="宋体" w:eastAsia="宋体" w:cs="宋体"/>
          <w:color w:val="auto"/>
          <w:sz w:val="28"/>
          <w:szCs w:val="28"/>
          <w:highlight w:val="none"/>
        </w:rPr>
        <w:t>地图定位</w:t>
      </w:r>
    </w:p>
    <w:p w14:paraId="6B3394B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点击设施概览中每类设施的统计数字，系统自动切换到地图，并且显示当前设施在地图上的具体位置信息和分布情况。</w:t>
      </w:r>
    </w:p>
    <w:p w14:paraId="2B2787D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1.1.8.4.2 </w:t>
      </w:r>
      <w:r>
        <w:rPr>
          <w:rFonts w:hint="eastAsia" w:ascii="宋体" w:hAnsi="宋体" w:eastAsia="宋体" w:cs="宋体"/>
          <w:color w:val="auto"/>
          <w:sz w:val="28"/>
          <w:szCs w:val="28"/>
          <w:highlight w:val="none"/>
        </w:rPr>
        <w:t>设施概览</w:t>
      </w:r>
    </w:p>
    <w:p w14:paraId="5CC4386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对环卫的基础设施等数据进行实时展示，包括中转站数量、公厕数量、当前在线的摄像头数量、消纳场数量、当前在线渣土车和洒水车数量、当前在岗的环卫工人数量等。</w:t>
      </w:r>
    </w:p>
    <w:p w14:paraId="45D68F3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通过配置表获取可显示环卫设施项，默认显示6项，当超过时，采用左右切换分页的方式。</w:t>
      </w:r>
    </w:p>
    <w:p w14:paraId="1B637B3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1.1.8.4.3 </w:t>
      </w:r>
      <w:r>
        <w:rPr>
          <w:rFonts w:hint="eastAsia" w:ascii="宋体" w:hAnsi="宋体" w:eastAsia="宋体" w:cs="宋体"/>
          <w:color w:val="auto"/>
          <w:sz w:val="28"/>
          <w:szCs w:val="28"/>
          <w:highlight w:val="none"/>
        </w:rPr>
        <w:t>作业状态</w:t>
      </w:r>
    </w:p>
    <w:p w14:paraId="4EE9B28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在作业监控中显示当前环卫作业的整体情况，包括：在线车辆、在线人员、车辆报警、人员报警的数量，根据作业结果汇总计算得出道路作业完成率、垃圾清运完成率。</w:t>
      </w:r>
    </w:p>
    <w:p w14:paraId="00181E3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1.1.8.4.4 </w:t>
      </w:r>
      <w:r>
        <w:rPr>
          <w:rFonts w:hint="eastAsia" w:ascii="宋体" w:hAnsi="宋体" w:eastAsia="宋体" w:cs="宋体"/>
          <w:color w:val="auto"/>
          <w:sz w:val="28"/>
          <w:szCs w:val="28"/>
          <w:highlight w:val="none"/>
        </w:rPr>
        <w:t>作业台账</w:t>
      </w:r>
    </w:p>
    <w:p w14:paraId="15D590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显示环卫所涉及的基础台账数据汇总，包括道路作业、环卫车辆、人工保洁、洒水降尘等，以列表横排显示所包含的分项及统计数字。</w:t>
      </w:r>
    </w:p>
    <w:p w14:paraId="66B2560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具体的显示内容包括：</w:t>
      </w:r>
    </w:p>
    <w:p w14:paraId="765C656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道路作业：标段数、道路数、总里程数；</w:t>
      </w:r>
    </w:p>
    <w:p w14:paraId="12EB985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环卫车辆：作业车辆；</w:t>
      </w:r>
    </w:p>
    <w:p w14:paraId="7DBAE11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人工保洁：环卫人员、区域网格、作业面积；</w:t>
      </w:r>
    </w:p>
    <w:p w14:paraId="5F4C0A1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洒水降尘：洒水车、作业道路。</w:t>
      </w:r>
    </w:p>
    <w:p w14:paraId="27000C4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1.1.8.4.5 </w:t>
      </w:r>
      <w:r>
        <w:rPr>
          <w:rFonts w:hint="eastAsia" w:ascii="宋体" w:hAnsi="宋体" w:eastAsia="宋体" w:cs="宋体"/>
          <w:color w:val="auto"/>
          <w:sz w:val="28"/>
          <w:szCs w:val="28"/>
          <w:highlight w:val="none"/>
        </w:rPr>
        <w:t>案件统计</w:t>
      </w:r>
    </w:p>
    <w:p w14:paraId="143B0F5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按当日、当月、当年统计显示环卫部门处置的案件数，包括案件总数、已处置数、未处置数、案件超时数等。</w:t>
      </w:r>
    </w:p>
    <w:p w14:paraId="4DD1A7D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点击环卫案件中每类案件的具体数字可以直接跳转到对应的环卫案件详细页面。</w:t>
      </w:r>
    </w:p>
    <w:p w14:paraId="420E6A5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1.1.8.4.6 </w:t>
      </w:r>
      <w:r>
        <w:rPr>
          <w:rFonts w:hint="eastAsia" w:ascii="宋体" w:hAnsi="宋体" w:eastAsia="宋体" w:cs="宋体"/>
          <w:color w:val="auto"/>
          <w:sz w:val="28"/>
          <w:szCs w:val="28"/>
          <w:highlight w:val="none"/>
        </w:rPr>
        <w:t>考核评分</w:t>
      </w:r>
    </w:p>
    <w:p w14:paraId="650BB24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根据对环卫作业公司、标段的考核情况，显示其每月得分数据。以折线图图表形式，展示各区域所包含标段的考核评分数据。</w:t>
      </w:r>
    </w:p>
    <w:p w14:paraId="149FF68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1.1.8.4.7 </w:t>
      </w:r>
      <w:r>
        <w:rPr>
          <w:rFonts w:hint="eastAsia" w:ascii="宋体" w:hAnsi="宋体" w:eastAsia="宋体" w:cs="宋体"/>
          <w:color w:val="auto"/>
          <w:sz w:val="28"/>
          <w:szCs w:val="28"/>
          <w:highlight w:val="none"/>
        </w:rPr>
        <w:t>垃圾收运</w:t>
      </w:r>
    </w:p>
    <w:p w14:paraId="4E5CCAA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基于垃圾收运作业情况，以图表形式展示各项所包含的数据，包括进场车辆、垃圾处理量、污水处理量等。</w:t>
      </w:r>
    </w:p>
    <w:p w14:paraId="294FD39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1.1.8.4.8 </w:t>
      </w:r>
      <w:r>
        <w:rPr>
          <w:rFonts w:hint="eastAsia" w:ascii="宋体" w:hAnsi="宋体" w:eastAsia="宋体" w:cs="宋体"/>
          <w:color w:val="auto"/>
          <w:sz w:val="28"/>
          <w:szCs w:val="28"/>
          <w:highlight w:val="none"/>
        </w:rPr>
        <w:t>垃圾处置</w:t>
      </w:r>
    </w:p>
    <w:p w14:paraId="24C063F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基于垃圾处置作业情况，以图表形式展示各项所包含的数据，包括垃圾产生量、收运量、处置量等。</w:t>
      </w:r>
    </w:p>
    <w:p w14:paraId="19C519E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1.1.8.4.9 </w:t>
      </w:r>
      <w:r>
        <w:rPr>
          <w:rFonts w:hint="eastAsia" w:ascii="宋体" w:hAnsi="宋体" w:eastAsia="宋体" w:cs="宋体"/>
          <w:color w:val="auto"/>
          <w:sz w:val="28"/>
          <w:szCs w:val="28"/>
          <w:highlight w:val="none"/>
        </w:rPr>
        <w:t>餐厨垃圾</w:t>
      </w:r>
    </w:p>
    <w:p w14:paraId="16DBA2D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基于餐厨垃圾作业情况，以图表形式展示各项所包含的数据，包括餐厨垃圾产生量、收运量、处置量。</w:t>
      </w:r>
    </w:p>
    <w:p w14:paraId="6CA34D2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1.1.8.4.10 </w:t>
      </w:r>
      <w:r>
        <w:rPr>
          <w:rFonts w:hint="eastAsia" w:ascii="宋体" w:hAnsi="宋体" w:eastAsia="宋体" w:cs="宋体"/>
          <w:color w:val="auto"/>
          <w:sz w:val="28"/>
          <w:szCs w:val="28"/>
          <w:highlight w:val="none"/>
        </w:rPr>
        <w:t>渣土管理</w:t>
      </w:r>
    </w:p>
    <w:p w14:paraId="357ED69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展示通过图表形式渣土车辆、企业等渣土有关信息；</w:t>
      </w:r>
    </w:p>
    <w:p w14:paraId="2A15ADC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1.1.8.4.11 </w:t>
      </w:r>
      <w:r>
        <w:rPr>
          <w:rFonts w:hint="eastAsia" w:ascii="宋体" w:hAnsi="宋体" w:eastAsia="宋体" w:cs="宋体"/>
          <w:color w:val="auto"/>
          <w:sz w:val="28"/>
          <w:szCs w:val="28"/>
          <w:highlight w:val="none"/>
        </w:rPr>
        <w:t>环境卫生监管</w:t>
      </w:r>
    </w:p>
    <w:p w14:paraId="5BB5D1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通过图表形式展示环卫车、机构人员、环卫任务等环卫相关信息；</w:t>
      </w:r>
    </w:p>
    <w:p w14:paraId="7E49499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1.1.8.4.12 </w:t>
      </w:r>
      <w:r>
        <w:rPr>
          <w:rFonts w:hint="eastAsia" w:ascii="宋体" w:hAnsi="宋体" w:eastAsia="宋体" w:cs="宋体"/>
          <w:color w:val="auto"/>
          <w:sz w:val="28"/>
          <w:szCs w:val="28"/>
          <w:highlight w:val="none"/>
        </w:rPr>
        <w:t>户外广告</w:t>
      </w:r>
    </w:p>
    <w:p w14:paraId="3771D60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统计并展示城市户外广告的情况，通过时空地图展示户外广告分布信息，为决策者提供监管依据。</w:t>
      </w:r>
    </w:p>
    <w:p w14:paraId="50D761F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1.1.8.5 </w:t>
      </w:r>
      <w:r>
        <w:rPr>
          <w:rFonts w:hint="eastAsia" w:ascii="宋体" w:hAnsi="宋体" w:eastAsia="宋体" w:cs="宋体"/>
          <w:color w:val="auto"/>
          <w:sz w:val="28"/>
          <w:szCs w:val="28"/>
          <w:highlight w:val="none"/>
        </w:rPr>
        <w:t>园林绿化专题</w:t>
      </w:r>
    </w:p>
    <w:p w14:paraId="1D2E61E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福州市林地面积7792平方公里，占全市总面积的65%，现有森林总面积947万亩，林木总蓄积量1680万立方米。福州以独特的自然优势提出了打造“绿城、花城、水城”的“三城合一”建设模式，先后荣获“中国优秀旅游城市”、“全国文明城市”、“国家园林城市”的荣誉称号。2010年全国绿化委员会授予福州“全国绿化模范城市”称号，2016年，福州市深入开展“全民动员、绿化福州”活动，掀起新一轮植树造荫、绿荫惠民的执潮。2017年国家林业局正式授予福州“国家森林城市”称号，目前福州森林覆盖率达56%，位居全国省会城市第二位，全市建成区森林覆盖率43.93%，城区人均公园绿地面积达15.05平方米，城区街道树冠覆盖率达33.7%，并形成了植绿护绿特色化、城乡绿化一体化、城区道路和内河林荫化、城市公园森林化等特点。</w:t>
      </w:r>
    </w:p>
    <w:p w14:paraId="4DD2B0B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1.1.8.5.1 </w:t>
      </w:r>
      <w:r>
        <w:rPr>
          <w:rFonts w:hint="eastAsia" w:ascii="宋体" w:hAnsi="宋体" w:eastAsia="宋体" w:cs="宋体"/>
          <w:color w:val="auto"/>
          <w:sz w:val="28"/>
          <w:szCs w:val="28"/>
          <w:highlight w:val="none"/>
        </w:rPr>
        <w:t>总体概览</w:t>
      </w:r>
    </w:p>
    <w:p w14:paraId="18F7E32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按行政区划统计全市的古树名木、行道树、绿地、森林覆盖率、城区人均公园绿地面积、绿化管养护设施设备、管养人员数、目前正在施工的绿化项目等进行统计展示；</w:t>
      </w:r>
    </w:p>
    <w:p w14:paraId="4387D62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1.1.8.5.2 </w:t>
      </w:r>
      <w:r>
        <w:rPr>
          <w:rFonts w:hint="eastAsia" w:ascii="宋体" w:hAnsi="宋体" w:eastAsia="宋体" w:cs="宋体"/>
          <w:color w:val="auto"/>
          <w:sz w:val="28"/>
          <w:szCs w:val="28"/>
          <w:highlight w:val="none"/>
        </w:rPr>
        <w:t>绿化一张图</w:t>
      </w:r>
    </w:p>
    <w:p w14:paraId="7A46F21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将全市园林绿化数据（古树名木、行道树、绿地、树木管护设施等）与GIS进行融合，展示全市园木绿化情况。并将全市管护人员、管护车辆、施工项目等在地图上落点，并融合全市视频信息形成全市园林绿化一张图。为全市园木绿化的管养、规划等提供支撑。</w:t>
      </w:r>
    </w:p>
    <w:p w14:paraId="29F3113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1.1.8.5.3 </w:t>
      </w:r>
      <w:r>
        <w:rPr>
          <w:rFonts w:hint="eastAsia" w:ascii="宋体" w:hAnsi="宋体" w:eastAsia="宋体" w:cs="宋体"/>
          <w:color w:val="auto"/>
          <w:sz w:val="28"/>
          <w:szCs w:val="28"/>
          <w:highlight w:val="none"/>
        </w:rPr>
        <w:t>病虫害预警</w:t>
      </w:r>
    </w:p>
    <w:p w14:paraId="148036D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针对城市园林绿化多发、常发病虫害提供预警功能，.整合历年来的病虫害信息数据形成知识库，分析常见病虫害类型及其多发区域、多发时段，预先提供预警预报，方便用户查询处置建议.</w:t>
      </w:r>
    </w:p>
    <w:p w14:paraId="1CE8A08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1.1.8.5.4 </w:t>
      </w:r>
      <w:r>
        <w:rPr>
          <w:rFonts w:hint="eastAsia" w:ascii="宋体" w:hAnsi="宋体" w:eastAsia="宋体" w:cs="宋体"/>
          <w:color w:val="auto"/>
          <w:sz w:val="28"/>
          <w:szCs w:val="28"/>
          <w:highlight w:val="none"/>
        </w:rPr>
        <w:t>数据综合分析</w:t>
      </w:r>
    </w:p>
    <w:p w14:paraId="532110D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根据园林绿化综合数据资源、决策分析模型等因素，实现包括全市树种分布分析、各项绿地指标计算和变化检测等统计分析功能。分析结果可以是表格形式或是专题图形式。</w:t>
      </w:r>
    </w:p>
    <w:p w14:paraId="5C74811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1.1.8.5.5 </w:t>
      </w:r>
      <w:r>
        <w:rPr>
          <w:rFonts w:hint="eastAsia" w:ascii="宋体" w:hAnsi="宋体" w:eastAsia="宋体" w:cs="宋体"/>
          <w:color w:val="auto"/>
          <w:sz w:val="28"/>
          <w:szCs w:val="28"/>
          <w:highlight w:val="none"/>
        </w:rPr>
        <w:t>绿化资源属性查询</w:t>
      </w:r>
    </w:p>
    <w:p w14:paraId="32B6CFB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实现设置不同的属性查询条件，查询到符合条件的各类园林绿化资源的属性信息，并可以进一步查询到关联的图片、文本、视频等信息。</w:t>
      </w:r>
    </w:p>
    <w:p w14:paraId="3D8898F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1.1.8.5.6 </w:t>
      </w:r>
      <w:r>
        <w:rPr>
          <w:rFonts w:hint="eastAsia" w:ascii="宋体" w:hAnsi="宋体" w:eastAsia="宋体" w:cs="宋体"/>
          <w:color w:val="auto"/>
          <w:sz w:val="28"/>
          <w:szCs w:val="28"/>
          <w:highlight w:val="none"/>
        </w:rPr>
        <w:t>园林设施</w:t>
      </w:r>
    </w:p>
    <w:p w14:paraId="1DE756C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对园林绿化的基础设施数据进行实时展示，包括绿地，行道树，古树名木等数据。</w:t>
      </w:r>
    </w:p>
    <w:p w14:paraId="589583C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1.1.8.5.7 </w:t>
      </w:r>
      <w:r>
        <w:rPr>
          <w:rFonts w:hint="eastAsia" w:ascii="宋体" w:hAnsi="宋体" w:eastAsia="宋体" w:cs="宋体"/>
          <w:color w:val="auto"/>
          <w:sz w:val="28"/>
          <w:szCs w:val="28"/>
          <w:highlight w:val="none"/>
        </w:rPr>
        <w:t>养护统计</w:t>
      </w:r>
    </w:p>
    <w:p w14:paraId="0A04A02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统计各类市政园林绿化日常养护工作，包含绿地修剪、施肥、浇水，树木绿篱的修剪、施肥、除草、浇水、病虫害防治，园林绿化设施的保养维护等的养护情况，以柱状图展示各类园林设施的养护统计数。</w:t>
      </w:r>
    </w:p>
    <w:p w14:paraId="5D61E9A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1.1.8.5.8 </w:t>
      </w:r>
      <w:r>
        <w:rPr>
          <w:rFonts w:hint="eastAsia" w:ascii="宋体" w:hAnsi="宋体" w:eastAsia="宋体" w:cs="宋体"/>
          <w:color w:val="auto"/>
          <w:sz w:val="28"/>
          <w:szCs w:val="28"/>
          <w:highlight w:val="none"/>
        </w:rPr>
        <w:t>考核评分</w:t>
      </w:r>
    </w:p>
    <w:p w14:paraId="2A8E879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根据对园林作业公司、标段的考核情况，显示其每月得分数据。以折线图图表形式，展示各区域所包含标段的考核评分数据。</w:t>
      </w:r>
    </w:p>
    <w:p w14:paraId="04A5B16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1.1.8.5.9 </w:t>
      </w:r>
      <w:r>
        <w:rPr>
          <w:rFonts w:hint="eastAsia" w:ascii="宋体" w:hAnsi="宋体" w:eastAsia="宋体" w:cs="宋体"/>
          <w:color w:val="auto"/>
          <w:sz w:val="28"/>
          <w:szCs w:val="28"/>
          <w:highlight w:val="none"/>
        </w:rPr>
        <w:t>高发问题</w:t>
      </w:r>
    </w:p>
    <w:p w14:paraId="0F337A9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展示园林问题发生的空间、类型的规律分析结果，高发类型分析：展示当天上报园林类案件的类别高发统计结果。</w:t>
      </w:r>
    </w:p>
    <w:p w14:paraId="446959A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1.1.8.5.10 </w:t>
      </w:r>
      <w:r>
        <w:rPr>
          <w:rFonts w:hint="eastAsia" w:ascii="宋体" w:hAnsi="宋体" w:eastAsia="宋体" w:cs="宋体"/>
          <w:color w:val="auto"/>
          <w:sz w:val="28"/>
          <w:szCs w:val="28"/>
          <w:highlight w:val="none"/>
        </w:rPr>
        <w:t>实时检测</w:t>
      </w:r>
    </w:p>
    <w:p w14:paraId="590E247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以列表形式展示各园林检测设备最新告警情况，通告内容包括位置信息、设备编号、告警信息、推送情况等。</w:t>
      </w:r>
    </w:p>
    <w:p w14:paraId="15606D8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1.1.8.5.11 </w:t>
      </w:r>
      <w:r>
        <w:rPr>
          <w:rFonts w:hint="eastAsia" w:ascii="宋体" w:hAnsi="宋体" w:eastAsia="宋体" w:cs="宋体"/>
          <w:color w:val="auto"/>
          <w:sz w:val="28"/>
          <w:szCs w:val="28"/>
          <w:highlight w:val="none"/>
        </w:rPr>
        <w:t>城市公园</w:t>
      </w:r>
    </w:p>
    <w:p w14:paraId="247A250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展示公园的总体情况，可在地图上显示公园的分布，点击具体的公园，可查看公园详情。</w:t>
      </w:r>
    </w:p>
    <w:p w14:paraId="15FC266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1.1.8.6 </w:t>
      </w:r>
      <w:r>
        <w:rPr>
          <w:rFonts w:hint="eastAsia" w:ascii="宋体" w:hAnsi="宋体" w:eastAsia="宋体" w:cs="宋体"/>
          <w:color w:val="auto"/>
          <w:sz w:val="28"/>
          <w:szCs w:val="28"/>
          <w:highlight w:val="none"/>
        </w:rPr>
        <w:t>城市执法专题</w:t>
      </w:r>
    </w:p>
    <w:p w14:paraId="26D3361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展示执法队伍、执法人员等相关信息，显示在线执法人员，可查看轨迹数据，统计案卷数量，显示案卷定位及详细信息，统计每个队伍上报的案卷数量并展示详细信息。</w:t>
      </w:r>
    </w:p>
    <w:p w14:paraId="7A661A0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1.1.8.6.1 </w:t>
      </w:r>
      <w:r>
        <w:rPr>
          <w:rFonts w:hint="eastAsia" w:ascii="宋体" w:hAnsi="宋体" w:eastAsia="宋体" w:cs="宋体"/>
          <w:color w:val="auto"/>
          <w:sz w:val="28"/>
          <w:szCs w:val="28"/>
          <w:highlight w:val="none"/>
        </w:rPr>
        <w:t>运行情况</w:t>
      </w:r>
    </w:p>
    <w:p w14:paraId="7899BBE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实时运行情况：展示今日案件数和当前在线人员数量。统计展示沿街商铺、小摊小贩、企业单位和社区人员数量。</w:t>
      </w:r>
    </w:p>
    <w:p w14:paraId="525C60F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执法统计：以日/月/年三个维度分类别展示执法队伍数量、执法人员数量、案件数量和在线人员数量。</w:t>
      </w:r>
    </w:p>
    <w:p w14:paraId="72467FC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1.1.8.6.2 </w:t>
      </w:r>
      <w:r>
        <w:rPr>
          <w:rFonts w:hint="eastAsia" w:ascii="宋体" w:hAnsi="宋体" w:eastAsia="宋体" w:cs="宋体"/>
          <w:color w:val="auto"/>
          <w:sz w:val="28"/>
          <w:szCs w:val="28"/>
          <w:highlight w:val="none"/>
        </w:rPr>
        <w:t>高发问题分析</w:t>
      </w:r>
    </w:p>
    <w:p w14:paraId="26496CF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通过柱状图的形式以日/月/年三个维度展示执法过程中的高发问题类型。</w:t>
      </w:r>
    </w:p>
    <w:p w14:paraId="0136849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1.1.8.6.3 </w:t>
      </w:r>
      <w:r>
        <w:rPr>
          <w:rFonts w:hint="eastAsia" w:ascii="宋体" w:hAnsi="宋体" w:eastAsia="宋体" w:cs="宋体"/>
          <w:color w:val="auto"/>
          <w:sz w:val="28"/>
          <w:szCs w:val="28"/>
          <w:highlight w:val="none"/>
        </w:rPr>
        <w:t>各区社会主体分析</w:t>
      </w:r>
    </w:p>
    <w:p w14:paraId="2BECA44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获取城市社会主体数据，按照区县、主体类别（沿街商铺、小摊小贩、企业单位和社区人员）等维度进行分析，直观展现各区主体分布状况，为城市管理提供数据支撑。</w:t>
      </w:r>
    </w:p>
    <w:p w14:paraId="5BD82F9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1.1.8.6.4 </w:t>
      </w:r>
      <w:r>
        <w:rPr>
          <w:rFonts w:hint="eastAsia" w:ascii="宋体" w:hAnsi="宋体" w:eastAsia="宋体" w:cs="宋体"/>
          <w:color w:val="auto"/>
          <w:sz w:val="28"/>
          <w:szCs w:val="28"/>
          <w:highlight w:val="none"/>
        </w:rPr>
        <w:t>执法依据应用统计</w:t>
      </w:r>
    </w:p>
    <w:p w14:paraId="0BB7820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对案件数据进行分析，统计案件的执法依据。</w:t>
      </w:r>
    </w:p>
    <w:p w14:paraId="609CA7D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1.1.8.6.5 </w:t>
      </w:r>
      <w:r>
        <w:rPr>
          <w:rFonts w:hint="eastAsia" w:ascii="宋体" w:hAnsi="宋体" w:eastAsia="宋体" w:cs="宋体"/>
          <w:color w:val="auto"/>
          <w:sz w:val="28"/>
          <w:szCs w:val="28"/>
          <w:highlight w:val="none"/>
        </w:rPr>
        <w:t>各月执法案件数量分析</w:t>
      </w:r>
    </w:p>
    <w:p w14:paraId="37C2877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以柱状图的方式展示每月执法程序案件数量，分析一般程序和简易程序案件趋势。</w:t>
      </w:r>
    </w:p>
    <w:p w14:paraId="6921458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1.1.8.6.6 </w:t>
      </w:r>
      <w:r>
        <w:rPr>
          <w:rFonts w:hint="eastAsia" w:ascii="宋体" w:hAnsi="宋体" w:eastAsia="宋体" w:cs="宋体"/>
          <w:color w:val="auto"/>
          <w:sz w:val="28"/>
          <w:szCs w:val="28"/>
          <w:highlight w:val="none"/>
        </w:rPr>
        <w:t>各区执法案件数量分析</w:t>
      </w:r>
    </w:p>
    <w:p w14:paraId="6E89D6DF">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以柱状图的方式展示各区县执法程序案件数量，分析一般程序和简易程序案件在各区县的差异情况。</w:t>
      </w:r>
    </w:p>
    <w:p w14:paraId="6469052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1.1.8.6.7 </w:t>
      </w:r>
      <w:r>
        <w:rPr>
          <w:rFonts w:hint="eastAsia" w:ascii="宋体" w:hAnsi="宋体" w:eastAsia="宋体" w:cs="宋体"/>
          <w:color w:val="auto"/>
          <w:sz w:val="28"/>
          <w:szCs w:val="28"/>
          <w:highlight w:val="none"/>
        </w:rPr>
        <w:t>执法一张图</w:t>
      </w:r>
    </w:p>
    <w:p w14:paraId="7248AEA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热力图</w:t>
      </w:r>
    </w:p>
    <w:p w14:paraId="1C520A3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以日/月/年三个维度对案件的地理空间分布情况进行聚类，生成案件分布热力图，颜色越深代表问题频发。</w:t>
      </w:r>
    </w:p>
    <w:p w14:paraId="0BAB3E7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人员地图定位</w:t>
      </w:r>
    </w:p>
    <w:p w14:paraId="57498FA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在地图上根据人员实时坐标信息，展示人员列表中相应人员的定位点。</w:t>
      </w:r>
    </w:p>
    <w:p w14:paraId="1E18F60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人员轨迹回放</w:t>
      </w:r>
    </w:p>
    <w:p w14:paraId="091AF9A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可查看人员在一定时间内的运行轨迹，可选择时间、回放速度、暂停、播放。</w:t>
      </w:r>
    </w:p>
    <w:p w14:paraId="04B497A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案件地图定位</w:t>
      </w:r>
    </w:p>
    <w:p w14:paraId="04FB4B7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在地图上根据案件上报坐标信息，展示案件列表中相应案件的定位点。</w:t>
      </w:r>
    </w:p>
    <w:p w14:paraId="44A92F1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1.1.8.6.8 </w:t>
      </w:r>
      <w:r>
        <w:rPr>
          <w:rFonts w:hint="eastAsia" w:ascii="宋体" w:hAnsi="宋体" w:eastAsia="宋体" w:cs="宋体"/>
          <w:color w:val="auto"/>
          <w:sz w:val="28"/>
          <w:szCs w:val="28"/>
          <w:highlight w:val="none"/>
        </w:rPr>
        <w:t>执法力量</w:t>
      </w:r>
    </w:p>
    <w:p w14:paraId="48F1F45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执法力量模块用于展示城管执法的参与力量，包括执法机构数量和人员数量，同时可通过统计图展示各执法机构的人员分布及当前执法人员在线情况。</w:t>
      </w:r>
    </w:p>
    <w:p w14:paraId="56C9240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执法人员：以醒目数字展示执法人员的数量，同时通过统计图展示在线人员数量。</w:t>
      </w:r>
    </w:p>
    <w:p w14:paraId="3B5D2E6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执法机构：以醒目数字展示执法机构的数量，同时通过统计图展示各执法机构中的人员数量和当前执法人员在线情况。</w:t>
      </w:r>
    </w:p>
    <w:p w14:paraId="4E6DBA7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1.1.8.6.9 </w:t>
      </w:r>
      <w:r>
        <w:rPr>
          <w:rFonts w:hint="eastAsia" w:ascii="宋体" w:hAnsi="宋体" w:eastAsia="宋体" w:cs="宋体"/>
          <w:color w:val="auto"/>
          <w:sz w:val="28"/>
          <w:szCs w:val="28"/>
          <w:highlight w:val="none"/>
        </w:rPr>
        <w:t>执法事项</w:t>
      </w:r>
    </w:p>
    <w:p w14:paraId="7C334C3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执法事项模块用于展示执法单位所拥有的执法事项数量，包括执法事项的类别数量以及各类别下的具体执法事项数量。</w:t>
      </w:r>
    </w:p>
    <w:p w14:paraId="378C05C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市政公用：展示执法单位关于市政公用的执法事项数量。</w:t>
      </w:r>
    </w:p>
    <w:p w14:paraId="7ED6D65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园林绿化：展示执法单位关于园林绿化的执法事项数量。</w:t>
      </w:r>
    </w:p>
    <w:p w14:paraId="33DA083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环境保护：展示执法单位关于环境保护的执法事项数量。</w:t>
      </w:r>
    </w:p>
    <w:p w14:paraId="184D05C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工商管理：展示执法单位关于工商管理的执法事项数量。</w:t>
      </w:r>
    </w:p>
    <w:p w14:paraId="35B9A71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国土规划：展示执法单位关于国土规划的执法事项数量。</w:t>
      </w:r>
    </w:p>
    <w:p w14:paraId="1E0473B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1.1.8.6.10 </w:t>
      </w:r>
      <w:r>
        <w:rPr>
          <w:rFonts w:hint="eastAsia" w:ascii="宋体" w:hAnsi="宋体" w:eastAsia="宋体" w:cs="宋体"/>
          <w:color w:val="auto"/>
          <w:sz w:val="28"/>
          <w:szCs w:val="28"/>
          <w:highlight w:val="none"/>
        </w:rPr>
        <w:t>监管对象</w:t>
      </w:r>
    </w:p>
    <w:p w14:paraId="066F427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监管对象模块用于展示执法单位所监管对象的数量，分为个人、商铺、企业、民房、广告等类别。</w:t>
      </w:r>
    </w:p>
    <w:p w14:paraId="64D85C1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个人：展示监管对象为个人的数量。</w:t>
      </w:r>
    </w:p>
    <w:p w14:paraId="64F230F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商铺：展示监管对象为商铺的数量。</w:t>
      </w:r>
    </w:p>
    <w:p w14:paraId="37E4187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企业：展示监管对象为企业的数量。</w:t>
      </w:r>
    </w:p>
    <w:p w14:paraId="5D55FB0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民房：展示监管对象为民房的数量。</w:t>
      </w:r>
    </w:p>
    <w:p w14:paraId="3459096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广告：展示监管对象为广告的数量。</w:t>
      </w:r>
    </w:p>
    <w:p w14:paraId="53E1ECB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1.1.8.6.11 </w:t>
      </w:r>
      <w:r>
        <w:rPr>
          <w:rFonts w:hint="eastAsia" w:ascii="宋体" w:hAnsi="宋体" w:eastAsia="宋体" w:cs="宋体"/>
          <w:color w:val="auto"/>
          <w:sz w:val="28"/>
          <w:szCs w:val="28"/>
          <w:highlight w:val="none"/>
        </w:rPr>
        <w:t>法律法规</w:t>
      </w:r>
    </w:p>
    <w:p w14:paraId="4766687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法律法规模块用于展示系统中录入的法律法规数量，并按类别统计，同时展示从法律法规中拆分出的案由总数。</w:t>
      </w:r>
    </w:p>
    <w:p w14:paraId="5391465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法律法规：以图表形式分类别以不同颜色展示法律、行政法规、地方性法规、部门规章、政府规章、全部法律法规的数量。</w:t>
      </w:r>
    </w:p>
    <w:p w14:paraId="114AEC7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案由：展示录入系统中的法律法规拆分后的案由数量。</w:t>
      </w:r>
    </w:p>
    <w:p w14:paraId="60CBF4E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1.1.8.6.12 </w:t>
      </w:r>
      <w:r>
        <w:rPr>
          <w:rFonts w:hint="eastAsia" w:ascii="宋体" w:hAnsi="宋体" w:eastAsia="宋体" w:cs="宋体"/>
          <w:color w:val="auto"/>
          <w:sz w:val="28"/>
          <w:szCs w:val="28"/>
          <w:highlight w:val="none"/>
        </w:rPr>
        <w:t>实时运行</w:t>
      </w:r>
    </w:p>
    <w:p w14:paraId="43C48B1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实时运行模块用于展示城管执法工作的实时运行情况，从数量和地理分布两个方面展示包括单兵、人员、车辆、视频、案件等的实时情况。</w:t>
      </w:r>
    </w:p>
    <w:p w14:paraId="64B8B44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单兵情况：展示当前接入的单兵数量。</w:t>
      </w:r>
    </w:p>
    <w:p w14:paraId="58F8954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人员情况：展示当天各类人员的实时在线情况，可以在地图上按照网格查看人员的在线分布情况。</w:t>
      </w:r>
    </w:p>
    <w:p w14:paraId="2495CA9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车辆情况：展示当天各类车辆在线工作情况，可以在地图上按照行业类别查看车辆的工作分布情况。</w:t>
      </w:r>
    </w:p>
    <w:p w14:paraId="36EE068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视频情况：展示各类视频资源的分布情况，可以在地图上按照视频来源、视频管控区域查看视频。</w:t>
      </w:r>
    </w:p>
    <w:p w14:paraId="294D6D7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案件情况：以天、月、年三个维度展示各类型案件（执法检查、一般程序、简易程序等）的办理数量，并可在地图展示。</w:t>
      </w:r>
    </w:p>
    <w:p w14:paraId="59C9AFD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1.1.8.6.13 </w:t>
      </w:r>
      <w:r>
        <w:rPr>
          <w:rFonts w:hint="eastAsia" w:ascii="宋体" w:hAnsi="宋体" w:eastAsia="宋体" w:cs="宋体"/>
          <w:color w:val="auto"/>
          <w:sz w:val="28"/>
          <w:szCs w:val="28"/>
          <w:highlight w:val="none"/>
        </w:rPr>
        <w:t>高发分析</w:t>
      </w:r>
    </w:p>
    <w:p w14:paraId="5757EDF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高发分析模块用于展示城市管理问题从时间、空间、问题类型三个维度进行分析，展示其趋势情况。</w:t>
      </w:r>
    </w:p>
    <w:p w14:paraId="09768F9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高发问题：展示当天上报案件的类别高发统计结果，指标包括立案数和结案数。</w:t>
      </w:r>
    </w:p>
    <w:p w14:paraId="7A8F0A8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高发区域：展示当天上报案件的区域（街道、镇分别统计）高发统计结果，指标包括该街道镇所在区的立案、结案数和街道镇的立案、结案数。</w:t>
      </w:r>
    </w:p>
    <w:p w14:paraId="55EBD89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高发时段：展示当天上报案件的各时段立案和结案情况。</w:t>
      </w:r>
    </w:p>
    <w:p w14:paraId="1A4E650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1.1.8.6.14 </w:t>
      </w:r>
      <w:r>
        <w:rPr>
          <w:rFonts w:hint="eastAsia" w:ascii="宋体" w:hAnsi="宋体" w:eastAsia="宋体" w:cs="宋体"/>
          <w:color w:val="auto"/>
          <w:sz w:val="28"/>
          <w:szCs w:val="28"/>
          <w:highlight w:val="none"/>
        </w:rPr>
        <w:t>趋势分析</w:t>
      </w:r>
    </w:p>
    <w:p w14:paraId="047CECA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趋势分析模块用于展示执法检查、一般程序、简易程序三种类型案卷的发生趋势。</w:t>
      </w:r>
    </w:p>
    <w:p w14:paraId="1D15899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日趋势：该部分展示执法检查、一般程序、简易程序三种类型案卷以“日”为单位的发生的趋势。</w:t>
      </w:r>
    </w:p>
    <w:p w14:paraId="4C32DEA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月趋势：该部分展示执法检查、一般程序、简易程序三种类型案卷以“年”为单位的发生月趋势。</w:t>
      </w:r>
    </w:p>
    <w:p w14:paraId="31AFC14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1.1.8.6.15 </w:t>
      </w:r>
      <w:r>
        <w:rPr>
          <w:rFonts w:hint="eastAsia" w:ascii="宋体" w:hAnsi="宋体" w:eastAsia="宋体" w:cs="宋体"/>
          <w:color w:val="auto"/>
          <w:sz w:val="28"/>
          <w:szCs w:val="28"/>
          <w:highlight w:val="none"/>
        </w:rPr>
        <w:t>机构考核</w:t>
      </w:r>
    </w:p>
    <w:p w14:paraId="1C1B130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机构考核模块用于展示执法机构当月的案件处理情况、巡查情况以及考勤情况。</w:t>
      </w:r>
    </w:p>
    <w:p w14:paraId="58E111B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案件类型：展示当月各执法机构上报执法检查、简易程序、一般程序的数量；</w:t>
      </w:r>
    </w:p>
    <w:p w14:paraId="018C614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巡查距离：展示当月各执法机构巡查距离；</w:t>
      </w:r>
    </w:p>
    <w:p w14:paraId="5CA40AE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考勤统计：展示当月各执法机构的考勤情况；</w:t>
      </w:r>
    </w:p>
    <w:p w14:paraId="6ACD9C2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1.1.8.6.16 </w:t>
      </w:r>
      <w:r>
        <w:rPr>
          <w:rFonts w:hint="eastAsia" w:ascii="宋体" w:hAnsi="宋体" w:eastAsia="宋体" w:cs="宋体"/>
          <w:color w:val="auto"/>
          <w:sz w:val="28"/>
          <w:szCs w:val="28"/>
          <w:highlight w:val="none"/>
        </w:rPr>
        <w:t>人员考核</w:t>
      </w:r>
    </w:p>
    <w:p w14:paraId="2393CD6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人员考核模块用于展示执法人员当月的案件处理情况、巡查情况以及考勤情况；</w:t>
      </w:r>
    </w:p>
    <w:p w14:paraId="09A8256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1.1.8.6.17 </w:t>
      </w:r>
      <w:r>
        <w:rPr>
          <w:rFonts w:hint="eastAsia" w:ascii="宋体" w:hAnsi="宋体" w:eastAsia="宋体" w:cs="宋体"/>
          <w:color w:val="auto"/>
          <w:sz w:val="28"/>
          <w:szCs w:val="28"/>
          <w:highlight w:val="none"/>
        </w:rPr>
        <w:t>执法机构</w:t>
      </w:r>
    </w:p>
    <w:p w14:paraId="474DF3C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展示城市管理执法机构信息及机构人员信息，通过树状形式直观展示。</w:t>
      </w:r>
    </w:p>
    <w:p w14:paraId="051E2AF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1.1.8.6.18 </w:t>
      </w:r>
      <w:r>
        <w:rPr>
          <w:rFonts w:hint="eastAsia" w:ascii="宋体" w:hAnsi="宋体" w:eastAsia="宋体" w:cs="宋体"/>
          <w:color w:val="auto"/>
          <w:sz w:val="28"/>
          <w:szCs w:val="28"/>
          <w:highlight w:val="none"/>
        </w:rPr>
        <w:t>事件统计</w:t>
      </w:r>
    </w:p>
    <w:p w14:paraId="1350BF6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统计系统截止目前累计处理的案件数、已经办结的案件数、未派遣分拨的案件数、部门正在处理的案件数、部门处理完成待核查的案件数。</w:t>
      </w:r>
    </w:p>
    <w:p w14:paraId="671135CF">
      <w:pPr>
        <w:pStyle w:val="14"/>
        <w:keepNext w:val="0"/>
        <w:keepLines w:val="0"/>
        <w:widowControl/>
        <w:suppressLineNumbers w:val="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CBD8AE2">
      <w:pPr>
        <w:pStyle w:val="14"/>
        <w:keepNext w:val="0"/>
        <w:keepLines w:val="0"/>
        <w:widowControl/>
        <w:suppressLineNumbers w:val="0"/>
        <w:ind w:left="0" w:firstLine="0"/>
        <w:outlineLvl w:val="1"/>
        <w:rPr>
          <w:rFonts w:hint="eastAsia" w:ascii="宋体" w:hAnsi="宋体" w:eastAsia="宋体" w:cs="宋体"/>
          <w:color w:val="auto"/>
          <w:highlight w:val="none"/>
        </w:rPr>
      </w:pPr>
      <w:r>
        <w:rPr>
          <w:rFonts w:hint="eastAsia" w:ascii="宋体" w:hAnsi="宋体" w:eastAsia="宋体" w:cs="宋体"/>
          <w:color w:val="auto"/>
          <w:spacing w:val="0"/>
          <w:sz w:val="31"/>
          <w:szCs w:val="31"/>
          <w:highlight w:val="none"/>
        </w:rPr>
        <w:t>1.1.9 </w:t>
      </w:r>
      <w:r>
        <w:rPr>
          <w:rFonts w:hint="eastAsia" w:ascii="宋体" w:hAnsi="宋体" w:eastAsia="宋体" w:cs="宋体"/>
          <w:color w:val="auto"/>
          <w:sz w:val="28"/>
          <w:szCs w:val="28"/>
          <w:highlight w:val="none"/>
        </w:rPr>
        <w:t>城市运行监测系统</w:t>
      </w:r>
    </w:p>
    <w:p w14:paraId="568CCF2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现有e福州综合指挥平台能力，对标《城市运行管理服务平台技术标准》，建设城市运行监测系统，升级构建横向联动“市政、园林、环卫、城管”等多部门、纵向贯穿“市、区县、街镇、社区、网格”五级的事件处置体系，完成城市管理事件的统一预防准备与指挥联动处置，实现对城市管理问题的监测预警、隐患排查、风险评估、预防准备及指挥联动等功能，提升城市管理日常指挥协同及突发事件的事前预警防范能力，事中分析研判、联动指挥能力，事后总结评估能力，提高城市科学化、精细化、智能化管理服务水平，推动实现城市治理体系和治理能力现代化。实现包含监测信息管理、风险管理、监测报警、巡检巡查、风险防控、决策支持、隐患上报与突发事件推送等功能，应对市政设施、房屋建筑、交通设施和人员密集区域等领域的监测分析，及其他专项应用业务需求。</w:t>
      </w:r>
    </w:p>
    <w:p w14:paraId="1F3BA27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1.1.9.1 </w:t>
      </w:r>
      <w:r>
        <w:rPr>
          <w:rFonts w:hint="eastAsia" w:ascii="宋体" w:hAnsi="宋体" w:eastAsia="宋体" w:cs="宋体"/>
          <w:color w:val="auto"/>
          <w:sz w:val="28"/>
          <w:szCs w:val="28"/>
          <w:highlight w:val="none"/>
        </w:rPr>
        <w:t>运行监测指标体系</w:t>
      </w:r>
    </w:p>
    <w:p w14:paraId="2F7F743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市政公用设施监测、市容环卫监测、园林绿化监测、城市管理执法监测、城市管理物联感知监测、城市治理态势监测、城市突发事件监测等业务场景的所取得的监测数据，依照各个监测数据对城市运行的影响，分类、分级构建运行监测指标体系，使用户能够快速、精准地了解城市当前的运行的状况。</w:t>
      </w:r>
    </w:p>
    <w:p w14:paraId="3A37D5E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1.1.9.2 </w:t>
      </w:r>
      <w:r>
        <w:rPr>
          <w:rFonts w:hint="eastAsia" w:ascii="宋体" w:hAnsi="宋体" w:eastAsia="宋体" w:cs="宋体"/>
          <w:color w:val="auto"/>
          <w:sz w:val="28"/>
          <w:szCs w:val="28"/>
          <w:highlight w:val="none"/>
        </w:rPr>
        <w:t>业务场景监测预警</w:t>
      </w:r>
    </w:p>
    <w:p w14:paraId="059C30C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接获取市政公用、市容环卫、园林绿化、城市管理执法、城市管理物联感知、城市治理态势等方面信息并进行分析实现监测预警。通过对接行业部门物联网设备或物联网管理平台，获取感知监测告警数据及与行业部门城市管理监测数据，结合各个领域训练的预警分析模型。基于地理信息时空平台，建立城市综合运行状态可视化展示视图，为管理者提供一个全面、动态的城市运行仪表盘，及时掌握城市运行各项监测数据信息，实现对城市运行状态监测和预警。</w:t>
      </w:r>
    </w:p>
    <w:p w14:paraId="1BE5707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1.1.9.2.1 </w:t>
      </w:r>
      <w:r>
        <w:rPr>
          <w:rFonts w:hint="eastAsia" w:ascii="宋体" w:hAnsi="宋体" w:eastAsia="宋体" w:cs="宋体"/>
          <w:color w:val="auto"/>
          <w:sz w:val="28"/>
          <w:szCs w:val="28"/>
          <w:highlight w:val="none"/>
        </w:rPr>
        <w:t>风险“一张图”</w:t>
      </w:r>
    </w:p>
    <w:p w14:paraId="0992C44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汇聚城市运行中的风险信息和隐患信息，通过对数据的智能分析，筛选出重点关注的事件预警，并进行更新。及时发现城市中发生的重点事件概况，通过红、橙、黄、蓝风险一张图形式，展示城市运行风险等级分布和风险点危险源分布等功能。</w:t>
      </w:r>
    </w:p>
    <w:p w14:paraId="7056022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1.1.9.2.2 </w:t>
      </w:r>
      <w:r>
        <w:rPr>
          <w:rFonts w:hint="eastAsia" w:ascii="宋体" w:hAnsi="宋体" w:eastAsia="宋体" w:cs="宋体"/>
          <w:color w:val="auto"/>
          <w:sz w:val="28"/>
          <w:szCs w:val="28"/>
          <w:highlight w:val="none"/>
        </w:rPr>
        <w:t>市政公用设施监测</w:t>
      </w:r>
    </w:p>
    <w:p w14:paraId="67A0459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道路、下水道、隧道、自来水管网、煤气、天然气、电力管网等基础设施（或称市政设施），是充分发挥城市载体功能的先决条件，也是发挥城市综合功能的基础，是城市经济、科技、社会发展水平高低的重要标志，也是城市防灾、救灾的必要保证。市政基础设施的管理养护工作直接体现城市的管理水平，其对城市人民的生活和城市可持续发展的重要性是不言而喻的。</w:t>
      </w:r>
    </w:p>
    <w:p w14:paraId="77BD63B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1.1.9.2.2.1 </w:t>
      </w:r>
      <w:r>
        <w:rPr>
          <w:rFonts w:hint="eastAsia" w:ascii="宋体" w:hAnsi="宋体" w:eastAsia="宋体" w:cs="宋体"/>
          <w:color w:val="auto"/>
          <w:sz w:val="28"/>
          <w:szCs w:val="28"/>
          <w:highlight w:val="none"/>
        </w:rPr>
        <w:t>市政设施分布监控</w:t>
      </w:r>
    </w:p>
    <w:p w14:paraId="4A3A0E0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基于地理信息时空平台对市政基础设施资源进行管理，支持分类、分区域查看各类市政设施的分布情况，并进行数量统计。</w:t>
      </w:r>
    </w:p>
    <w:p w14:paraId="11FE726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1.1.9.2.2.2 </w:t>
      </w:r>
      <w:r>
        <w:rPr>
          <w:rFonts w:hint="eastAsia" w:ascii="宋体" w:hAnsi="宋体" w:eastAsia="宋体" w:cs="宋体"/>
          <w:color w:val="auto"/>
          <w:sz w:val="28"/>
          <w:szCs w:val="28"/>
          <w:highlight w:val="none"/>
        </w:rPr>
        <w:t>市政设施运行监控</w:t>
      </w:r>
    </w:p>
    <w:p w14:paraId="296ADC8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市政设施运行监控实现路灯、供水等市政公用行业设施运行方面的指标数据的综合分析，包括基础设施监测、供水水质监测等信息进行综合展示，将分析结果展现为市政管理“驾驶舱”，作为预测预警或事件处置的依据。包括基础设施监测、供水水质监测。</w:t>
      </w:r>
    </w:p>
    <w:p w14:paraId="19C368E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1.1.9.2.2.3 </w:t>
      </w:r>
      <w:r>
        <w:rPr>
          <w:rFonts w:hint="eastAsia" w:ascii="宋体" w:hAnsi="宋体" w:eastAsia="宋体" w:cs="宋体"/>
          <w:color w:val="auto"/>
          <w:sz w:val="28"/>
          <w:szCs w:val="28"/>
          <w:highlight w:val="none"/>
        </w:rPr>
        <w:t>市政设施监测预警</w:t>
      </w:r>
    </w:p>
    <w:p w14:paraId="4B90B63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将市政各业务安全运行指标数据进行综合展示，动态掌握市政设施实时运行状态，准确地统计任意时间各行业的运行情况，任意时间监测信息的曲线流量图和曲线走势图，预测未来一段时间的运行情况，实现对市政设施运行体征的总体监测和预测预警。</w:t>
      </w:r>
    </w:p>
    <w:p w14:paraId="1FA7CB8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1.1.9.2.3 </w:t>
      </w:r>
      <w:r>
        <w:rPr>
          <w:rFonts w:hint="eastAsia" w:ascii="宋体" w:hAnsi="宋体" w:eastAsia="宋体" w:cs="宋体"/>
          <w:color w:val="auto"/>
          <w:sz w:val="28"/>
          <w:szCs w:val="28"/>
          <w:highlight w:val="none"/>
        </w:rPr>
        <w:t>市容环卫预警</w:t>
      </w:r>
    </w:p>
    <w:p w14:paraId="546AECD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依托大数据分析技术对汇聚的城市环境卫生管理所涉及到的人、车、物、事数据进行分析预警，用数字评估优化城市环卫管理工作实效；同时，充分依托移动互联技术为市民提供多种便民利民服务，激发市民参与城市管理的热情，打造全民环卫的新型城市管理模式。</w:t>
      </w:r>
    </w:p>
    <w:p w14:paraId="09B3127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1.1.9.2.3.1 </w:t>
      </w:r>
      <w:r>
        <w:rPr>
          <w:rFonts w:hint="eastAsia" w:ascii="宋体" w:hAnsi="宋体" w:eastAsia="宋体" w:cs="宋体"/>
          <w:color w:val="auto"/>
          <w:sz w:val="28"/>
          <w:szCs w:val="28"/>
          <w:highlight w:val="none"/>
        </w:rPr>
        <w:t>环卫设施分布预警</w:t>
      </w:r>
    </w:p>
    <w:p w14:paraId="23D87B0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对接市城管委环卫平台，实现对汇聚的垃圾桶、垃圾收集点、垃圾中转站、公共厕所等环卫设施相关数据进行统计分析，实现监测管理。</w:t>
      </w:r>
    </w:p>
    <w:p w14:paraId="28BAF4A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1.1.9.2.3.2 </w:t>
      </w:r>
      <w:r>
        <w:rPr>
          <w:rFonts w:hint="eastAsia" w:ascii="宋体" w:hAnsi="宋体" w:eastAsia="宋体" w:cs="宋体"/>
          <w:color w:val="auto"/>
          <w:sz w:val="28"/>
          <w:szCs w:val="28"/>
          <w:highlight w:val="none"/>
        </w:rPr>
        <w:t>环卫车辆预警</w:t>
      </w:r>
    </w:p>
    <w:p w14:paraId="47E4C16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对接市城管委相关业务系统有关环卫车辆的数据，实现环卫车辆数据统计分析和预警。</w:t>
      </w:r>
    </w:p>
    <w:p w14:paraId="0748CC5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1.1.9.2.3.3 </w:t>
      </w:r>
      <w:r>
        <w:rPr>
          <w:rFonts w:hint="eastAsia" w:ascii="宋体" w:hAnsi="宋体" w:eastAsia="宋体" w:cs="宋体"/>
          <w:color w:val="auto"/>
          <w:sz w:val="28"/>
          <w:szCs w:val="28"/>
          <w:highlight w:val="none"/>
        </w:rPr>
        <w:t>环卫视频预警</w:t>
      </w:r>
    </w:p>
    <w:p w14:paraId="0C8DFA9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通过视频监控实现对重要环卫设施、重要环卫地点、重要环卫对象的监控预警，及时准确掌握监控对象工作情况。</w:t>
      </w:r>
    </w:p>
    <w:p w14:paraId="7BBE979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1.1.9.2.3.4 </w:t>
      </w:r>
      <w:r>
        <w:rPr>
          <w:rFonts w:hint="eastAsia" w:ascii="宋体" w:hAnsi="宋体" w:eastAsia="宋体" w:cs="宋体"/>
          <w:color w:val="auto"/>
          <w:sz w:val="28"/>
          <w:szCs w:val="28"/>
          <w:highlight w:val="none"/>
        </w:rPr>
        <w:t>环卫人员预警</w:t>
      </w:r>
    </w:p>
    <w:p w14:paraId="3A1A722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统计分析环卫作业人员信息台账、人员上岗情况等信息，实现异常情况预警。</w:t>
      </w:r>
    </w:p>
    <w:p w14:paraId="2A0D670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1.1.9.2.4 </w:t>
      </w:r>
      <w:r>
        <w:rPr>
          <w:rFonts w:hint="eastAsia" w:ascii="宋体" w:hAnsi="宋体" w:eastAsia="宋体" w:cs="宋体"/>
          <w:color w:val="auto"/>
          <w:sz w:val="28"/>
          <w:szCs w:val="28"/>
          <w:highlight w:val="none"/>
        </w:rPr>
        <w:t>园林绿化预警</w:t>
      </w:r>
    </w:p>
    <w:p w14:paraId="70FC182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通过对接福州市大数据平台，获取市政园林绿化基础数据，进行多维度分析，实现对社区公园、街头游园、郊野公园、绿道绿廊等市政园林设施的设施详情、责任单位、运行情况可视化展示，预警预测。</w:t>
      </w:r>
    </w:p>
    <w:p w14:paraId="2B3EC3C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1.1.9.2.4.1 </w:t>
      </w:r>
      <w:r>
        <w:rPr>
          <w:rFonts w:hint="eastAsia" w:ascii="宋体" w:hAnsi="宋体" w:eastAsia="宋体" w:cs="宋体"/>
          <w:color w:val="auto"/>
          <w:sz w:val="28"/>
          <w:szCs w:val="28"/>
          <w:highlight w:val="none"/>
        </w:rPr>
        <w:t>公园综合预警</w:t>
      </w:r>
    </w:p>
    <w:p w14:paraId="770660C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对社区公园、街头游园、郊野公园等市政园林设施情况进行统计分析预警，包括公园数量、公园选址、绿地面积、绿化覆盖率、入园人数等。</w:t>
      </w:r>
    </w:p>
    <w:p w14:paraId="40B2A2D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1.1.9.2.4.2 </w:t>
      </w:r>
      <w:r>
        <w:rPr>
          <w:rFonts w:hint="eastAsia" w:ascii="宋体" w:hAnsi="宋体" w:eastAsia="宋体" w:cs="宋体"/>
          <w:color w:val="auto"/>
          <w:sz w:val="28"/>
          <w:szCs w:val="28"/>
          <w:highlight w:val="none"/>
        </w:rPr>
        <w:t>违法建设预警</w:t>
      </w:r>
    </w:p>
    <w:p w14:paraId="6F3AFE3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针对绿线范围违法建设、绿地系统规划实施和古树名木保护等情况进行统计分析预警。</w:t>
      </w:r>
    </w:p>
    <w:p w14:paraId="46718D8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1.1.9.2.4.3 </w:t>
      </w:r>
      <w:r>
        <w:rPr>
          <w:rFonts w:hint="eastAsia" w:ascii="宋体" w:hAnsi="宋体" w:eastAsia="宋体" w:cs="宋体"/>
          <w:color w:val="auto"/>
          <w:sz w:val="28"/>
          <w:szCs w:val="28"/>
          <w:highlight w:val="none"/>
        </w:rPr>
        <w:t>园林养护监测</w:t>
      </w:r>
    </w:p>
    <w:p w14:paraId="42B2A09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将养护地块作为园林养护管理基本单元，将所有的养护地块精准上图，支持查看养护地块的问题汇总、作业情况等。</w:t>
      </w:r>
    </w:p>
    <w:p w14:paraId="4F31D16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1.1.9.2.4.4 </w:t>
      </w:r>
      <w:r>
        <w:rPr>
          <w:rFonts w:hint="eastAsia" w:ascii="宋体" w:hAnsi="宋体" w:eastAsia="宋体" w:cs="宋体"/>
          <w:color w:val="auto"/>
          <w:sz w:val="28"/>
          <w:szCs w:val="28"/>
          <w:highlight w:val="none"/>
        </w:rPr>
        <w:t>园林事件监测</w:t>
      </w:r>
    </w:p>
    <w:p w14:paraId="4FB39A9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整合日常巡查、领导批示、媒体曝光、公众举报等多种园林事件发现渠道，全面掌握园林事件发生情况，提高城市园林绿化监管水平。</w:t>
      </w:r>
    </w:p>
    <w:p w14:paraId="2F36A39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1.1.9.2.5 </w:t>
      </w:r>
      <w:r>
        <w:rPr>
          <w:rFonts w:hint="eastAsia" w:ascii="宋体" w:hAnsi="宋体" w:eastAsia="宋体" w:cs="宋体"/>
          <w:color w:val="auto"/>
          <w:sz w:val="28"/>
          <w:szCs w:val="28"/>
          <w:highlight w:val="none"/>
        </w:rPr>
        <w:t>城市管理执法监测</w:t>
      </w:r>
    </w:p>
    <w:p w14:paraId="43EA569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对接城管执法相关业务平台，建立上下联动、横向贯通的城市综合执法业务监测预警应用，实现执法人员、渣土车、两违整治、街面停车等专项问题的监测预警管理。助力落实高效的日常巡检防控与调度指挥有机结合的信息化处理机制，实现执法流程全环闭、指挥调度全时段。</w:t>
      </w:r>
    </w:p>
    <w:p w14:paraId="2A316BF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1.1.9.2.5.1 </w:t>
      </w:r>
      <w:r>
        <w:rPr>
          <w:rFonts w:hint="eastAsia" w:ascii="宋体" w:hAnsi="宋体" w:eastAsia="宋体" w:cs="宋体"/>
          <w:color w:val="auto"/>
          <w:sz w:val="28"/>
          <w:szCs w:val="28"/>
          <w:highlight w:val="none"/>
        </w:rPr>
        <w:t>视频监测预警</w:t>
      </w:r>
    </w:p>
    <w:p w14:paraId="2F3F453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福州市时空信息平台获取全市布控的移动点视频监控，方便工作人员在处理问题时可以调用视频显示现场周边情况，及时准确的掌握所监视路口、路段周围的市政、交通、治安、违章停车等情况，为指挥判断提供迅速直观的信息，从而对各类问题作出准确判断并及时响应。</w:t>
      </w:r>
    </w:p>
    <w:p w14:paraId="30BEF0E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1.1.9.2.5.2 </w:t>
      </w:r>
      <w:r>
        <w:rPr>
          <w:rFonts w:hint="eastAsia" w:ascii="宋体" w:hAnsi="宋体" w:eastAsia="宋体" w:cs="宋体"/>
          <w:color w:val="auto"/>
          <w:sz w:val="28"/>
          <w:szCs w:val="28"/>
          <w:highlight w:val="none"/>
        </w:rPr>
        <w:t>移动执法处置监控</w:t>
      </w:r>
    </w:p>
    <w:p w14:paraId="493428C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执法人员需要对现场取证时，在通过移动终端的拍照、摄像功能，拍摄照片、录像、并制作现场勘验记录，同时对证据上传到后台进行监测。</w:t>
      </w:r>
    </w:p>
    <w:p w14:paraId="63900E6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1.1.9.2.5.3 </w:t>
      </w:r>
      <w:r>
        <w:rPr>
          <w:rFonts w:hint="eastAsia" w:ascii="宋体" w:hAnsi="宋体" w:eastAsia="宋体" w:cs="宋体"/>
          <w:color w:val="auto"/>
          <w:sz w:val="28"/>
          <w:szCs w:val="28"/>
          <w:highlight w:val="none"/>
        </w:rPr>
        <w:t>执法处置督查监控</w:t>
      </w:r>
    </w:p>
    <w:p w14:paraId="0E3AB0C0">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通过对执法处置进行督查管理，及时发现执法过程中存在的问题并及时进行改进和优化，与执法形成完整的闭环，促进整个执法工作能够健康运行。</w:t>
      </w:r>
    </w:p>
    <w:p w14:paraId="6A005B45">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1.1.9.2.5.4 </w:t>
      </w:r>
      <w:r>
        <w:rPr>
          <w:rFonts w:hint="eastAsia" w:ascii="宋体" w:hAnsi="宋体" w:eastAsia="宋体" w:cs="宋体"/>
          <w:color w:val="auto"/>
          <w:sz w:val="28"/>
          <w:szCs w:val="28"/>
          <w:highlight w:val="none"/>
        </w:rPr>
        <w:t>执法车辆监控</w:t>
      </w:r>
    </w:p>
    <w:p w14:paraId="0EE71D1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执法车辆监控管理实现对装有GPS车载终端的执法车辆等进行定位监控和管理，并结合GIS地理信息系统，实现对车辆的空间可视化管理。</w:t>
      </w:r>
    </w:p>
    <w:p w14:paraId="655CB16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1.1.9.2.5.5 </w:t>
      </w:r>
      <w:r>
        <w:rPr>
          <w:rFonts w:hint="eastAsia" w:ascii="宋体" w:hAnsi="宋体" w:eastAsia="宋体" w:cs="宋体"/>
          <w:color w:val="auto"/>
          <w:sz w:val="28"/>
          <w:szCs w:val="28"/>
          <w:highlight w:val="none"/>
        </w:rPr>
        <w:t>事件上报来源感知</w:t>
      </w:r>
    </w:p>
    <w:p w14:paraId="49C718E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展现福州市城市治理事件整体情况的态势监测与预警，用户可查看各类城市治理事件的上报情况。支持用户查询操作，用户可手动选择监测阶段，检索查询对应阶段的城市治理事件详情。</w:t>
      </w:r>
    </w:p>
    <w:p w14:paraId="23C5620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1.1.9.2.5.6 </w:t>
      </w:r>
      <w:r>
        <w:rPr>
          <w:rFonts w:hint="eastAsia" w:ascii="宋体" w:hAnsi="宋体" w:eastAsia="宋体" w:cs="宋体"/>
          <w:color w:val="auto"/>
          <w:sz w:val="28"/>
          <w:szCs w:val="28"/>
          <w:highlight w:val="none"/>
        </w:rPr>
        <w:t>部门处置情况感知</w:t>
      </w:r>
    </w:p>
    <w:p w14:paraId="037392C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为相关人员提供城市治理事件的部门整体处置情况。</w:t>
      </w:r>
    </w:p>
    <w:p w14:paraId="2A4B8D2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1.1.9.2.6 </w:t>
      </w:r>
      <w:r>
        <w:rPr>
          <w:rFonts w:hint="eastAsia" w:ascii="宋体" w:hAnsi="宋体" w:eastAsia="宋体" w:cs="宋体"/>
          <w:color w:val="auto"/>
          <w:sz w:val="28"/>
          <w:szCs w:val="28"/>
          <w:highlight w:val="none"/>
        </w:rPr>
        <w:t>城市管理物联感知监测</w:t>
      </w:r>
    </w:p>
    <w:p w14:paraId="3D638EC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现有福州市物联感知设备，对接获取各类物联感知数据，实时监测城市每个角落的运行状态。通过获取的“神经元”感知数据，实现对城市管理各个部件的实时监测预警，及时告警城市可能发生的问题和隐患。</w:t>
      </w:r>
    </w:p>
    <w:p w14:paraId="2D5C8B6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1.1.9.2.6.1 </w:t>
      </w:r>
      <w:r>
        <w:rPr>
          <w:rFonts w:hint="eastAsia" w:ascii="宋体" w:hAnsi="宋体" w:eastAsia="宋体" w:cs="宋体"/>
          <w:color w:val="auto"/>
          <w:sz w:val="28"/>
          <w:szCs w:val="28"/>
          <w:highlight w:val="none"/>
        </w:rPr>
        <w:t>井盖安全监测预警</w:t>
      </w:r>
    </w:p>
    <w:p w14:paraId="658D8CC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对接现有福州市物联设备感知平台相关感知数据，实现对井盖各种异常状态的报警。</w:t>
      </w:r>
    </w:p>
    <w:p w14:paraId="424EDFE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1.1.9.2.6.2 </w:t>
      </w:r>
      <w:r>
        <w:rPr>
          <w:rFonts w:hint="eastAsia" w:ascii="宋体" w:hAnsi="宋体" w:eastAsia="宋体" w:cs="宋体"/>
          <w:color w:val="auto"/>
          <w:sz w:val="28"/>
          <w:szCs w:val="28"/>
          <w:highlight w:val="none"/>
        </w:rPr>
        <w:t>城市内涝监测预警</w:t>
      </w:r>
    </w:p>
    <w:p w14:paraId="2DC79A1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与福州市联排联调中心、排水公司、防汛办等信息系统对接，实现对城市防汛排涝的综合监测，助力各信息系统全面掌握城市排水现状、及时采取防汛排涝措施，实现对城市内涝的全方位监控和全局化调度管理。</w:t>
      </w:r>
    </w:p>
    <w:p w14:paraId="4F57346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1.1.9.2.6.3 </w:t>
      </w:r>
      <w:r>
        <w:rPr>
          <w:rFonts w:hint="eastAsia" w:ascii="宋体" w:hAnsi="宋体" w:eastAsia="宋体" w:cs="宋体"/>
          <w:color w:val="auto"/>
          <w:sz w:val="28"/>
          <w:szCs w:val="28"/>
          <w:highlight w:val="none"/>
        </w:rPr>
        <w:t>噪声环境监测预警</w:t>
      </w:r>
    </w:p>
    <w:p w14:paraId="232F859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对接重点区域、重点场所的噪音监测平台，通过监测软件设置的告警阈值，实现对各类噪音告警数据的在线监测。</w:t>
      </w:r>
    </w:p>
    <w:p w14:paraId="74CD752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1.1.9.2.6.4 </w:t>
      </w:r>
      <w:r>
        <w:rPr>
          <w:rFonts w:hint="eastAsia" w:ascii="宋体" w:hAnsi="宋体" w:eastAsia="宋体" w:cs="宋体"/>
          <w:color w:val="auto"/>
          <w:sz w:val="28"/>
          <w:szCs w:val="28"/>
          <w:highlight w:val="none"/>
        </w:rPr>
        <w:t>渣土运输车辆监测预警</w:t>
      </w:r>
    </w:p>
    <w:p w14:paraId="6C6E93B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对接渣土运输车辆信息系统，用户可在GIS地图上直接查看渣土车的实时位置、运行状态，点击图标可查看车辆的基本信息，并能查看到历史运行轨迹回放。用户也可以在地图上直接选定特定区域，查找区域范围内的重点监测目标。</w:t>
      </w:r>
    </w:p>
    <w:p w14:paraId="1D1CEA6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1.1.9.2.7 </w:t>
      </w:r>
      <w:r>
        <w:rPr>
          <w:rFonts w:hint="eastAsia" w:ascii="宋体" w:hAnsi="宋体" w:eastAsia="宋体" w:cs="宋体"/>
          <w:color w:val="auto"/>
          <w:sz w:val="28"/>
          <w:szCs w:val="28"/>
          <w:highlight w:val="none"/>
        </w:rPr>
        <w:t>城市突发事件监测</w:t>
      </w:r>
    </w:p>
    <w:p w14:paraId="1BAB9B0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利用e福州综合指挥平台应急风险监测数据，与福建省应急综合管理平台对接，实现城市运行各个专业领域城市突发事件的整体态势监测预警管理。</w:t>
      </w:r>
    </w:p>
    <w:p w14:paraId="6FFF625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1.1.9.3 </w:t>
      </w:r>
      <w:r>
        <w:rPr>
          <w:rFonts w:hint="eastAsia" w:ascii="宋体" w:hAnsi="宋体" w:eastAsia="宋体" w:cs="宋体"/>
          <w:color w:val="auto"/>
          <w:sz w:val="28"/>
          <w:szCs w:val="28"/>
          <w:highlight w:val="none"/>
        </w:rPr>
        <w:t>运行监测综合分析</w:t>
      </w:r>
    </w:p>
    <w:p w14:paraId="48AF2E1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1.1.9.3.1 </w:t>
      </w:r>
      <w:r>
        <w:rPr>
          <w:rFonts w:hint="eastAsia" w:ascii="宋体" w:hAnsi="宋体" w:eastAsia="宋体" w:cs="宋体"/>
          <w:color w:val="auto"/>
          <w:sz w:val="28"/>
          <w:szCs w:val="28"/>
          <w:highlight w:val="none"/>
        </w:rPr>
        <w:t>市政公用设施监测分析</w:t>
      </w:r>
    </w:p>
    <w:p w14:paraId="21FD03B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建立市政行业数据仓库和数据分析挖掘模型，基于大数据分析引擎和分布式海量数据挖掘技术，对全市市政信息进行多维分析和深度挖掘，为市政行业安全提供数据支持。</w:t>
      </w:r>
    </w:p>
    <w:p w14:paraId="761CDA9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1.1.9.3.2 </w:t>
      </w:r>
      <w:r>
        <w:rPr>
          <w:rFonts w:hint="eastAsia" w:ascii="宋体" w:hAnsi="宋体" w:eastAsia="宋体" w:cs="宋体"/>
          <w:color w:val="auto"/>
          <w:sz w:val="28"/>
          <w:szCs w:val="28"/>
          <w:highlight w:val="none"/>
        </w:rPr>
        <w:t>市容环卫监测分析</w:t>
      </w:r>
    </w:p>
    <w:p w14:paraId="17C373B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实现对于市容环卫监测各类数据信息进行智能化汇总和分析，制成数字和图形报表，用柱状图和饼状图来显示一目了然、突出重点、全盘分析。</w:t>
      </w:r>
    </w:p>
    <w:p w14:paraId="19030B2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1.1.9.3.3 </w:t>
      </w:r>
      <w:r>
        <w:rPr>
          <w:rFonts w:hint="eastAsia" w:ascii="宋体" w:hAnsi="宋体" w:eastAsia="宋体" w:cs="宋体"/>
          <w:color w:val="auto"/>
          <w:sz w:val="28"/>
          <w:szCs w:val="28"/>
          <w:highlight w:val="none"/>
        </w:rPr>
        <w:t>园林绿化监测分析</w:t>
      </w:r>
    </w:p>
    <w:p w14:paraId="0783014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1.1.9.3.3.1 </w:t>
      </w:r>
      <w:r>
        <w:rPr>
          <w:rFonts w:hint="eastAsia" w:ascii="宋体" w:hAnsi="宋体" w:eastAsia="宋体" w:cs="宋体"/>
          <w:color w:val="auto"/>
          <w:sz w:val="28"/>
          <w:szCs w:val="28"/>
          <w:highlight w:val="none"/>
        </w:rPr>
        <w:t>园林绿化综合分析</w:t>
      </w:r>
    </w:p>
    <w:p w14:paraId="301C7E7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园林绿化综合分析是依据园林景点、风景名胜区、城镇绿地、古树名木等综合数据，利用数据搜索和数据挖掘技术，实现园林绿化的查询、统计、分析、综合评价等功能。</w:t>
      </w:r>
    </w:p>
    <w:p w14:paraId="3488E11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1.1.9.3.3.2 </w:t>
      </w:r>
      <w:r>
        <w:rPr>
          <w:rFonts w:hint="eastAsia" w:ascii="宋体" w:hAnsi="宋体" w:eastAsia="宋体" w:cs="宋体"/>
          <w:color w:val="auto"/>
          <w:sz w:val="28"/>
          <w:szCs w:val="28"/>
          <w:highlight w:val="none"/>
        </w:rPr>
        <w:t>园林智能决策分析</w:t>
      </w:r>
    </w:p>
    <w:p w14:paraId="42030CF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基于园林基础数据，提供对园林绿化的多维度决策分析，为园林绿化管理工作的信息化、标准化、动态化提供分析支撑，为城市管理领导决策提供辅助支持。</w:t>
      </w:r>
    </w:p>
    <w:p w14:paraId="0BC4211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1.1.9.3.4 </w:t>
      </w:r>
      <w:r>
        <w:rPr>
          <w:rFonts w:hint="eastAsia" w:ascii="宋体" w:hAnsi="宋体" w:eastAsia="宋体" w:cs="宋体"/>
          <w:color w:val="auto"/>
          <w:sz w:val="28"/>
          <w:szCs w:val="28"/>
          <w:highlight w:val="none"/>
        </w:rPr>
        <w:t>城市管理执法监测分析</w:t>
      </w:r>
    </w:p>
    <w:p w14:paraId="59367F4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执法监督考核通过集成综合执法应用平台相关业务系统内各种功能与信息，协助用户掌握全市综合执法各类实时动态信息与业务管理资源信息。</w:t>
      </w:r>
    </w:p>
    <w:p w14:paraId="2BD78FC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1.1.9.3.4.1 </w:t>
      </w:r>
      <w:r>
        <w:rPr>
          <w:rFonts w:hint="eastAsia" w:ascii="宋体" w:hAnsi="宋体" w:eastAsia="宋体" w:cs="宋体"/>
          <w:color w:val="auto"/>
          <w:sz w:val="28"/>
          <w:szCs w:val="28"/>
          <w:highlight w:val="none"/>
        </w:rPr>
        <w:t>执法情况分析</w:t>
      </w:r>
    </w:p>
    <w:p w14:paraId="589FF84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执法情况分析包括执法队伍/执法人员/在线人员统计情况、执法业务流程统计情况、高发分析、趋势分析等功能。</w:t>
      </w:r>
    </w:p>
    <w:p w14:paraId="630FFEC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1.1.9.3.4.2 </w:t>
      </w:r>
      <w:r>
        <w:rPr>
          <w:rFonts w:hint="eastAsia" w:ascii="宋体" w:hAnsi="宋体" w:eastAsia="宋体" w:cs="宋体"/>
          <w:color w:val="auto"/>
          <w:sz w:val="28"/>
          <w:szCs w:val="28"/>
          <w:highlight w:val="none"/>
        </w:rPr>
        <w:t>执法在线分析</w:t>
      </w:r>
    </w:p>
    <w:p w14:paraId="7A3BC40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执法在线分析功能包括在线人员实时位置展示、在线人员列表展示、在线人员详情信息展示、全部人员列表展示等功能。</w:t>
      </w:r>
    </w:p>
    <w:p w14:paraId="23239C32">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1.1.9.3.4.3 </w:t>
      </w:r>
      <w:r>
        <w:rPr>
          <w:rFonts w:hint="eastAsia" w:ascii="宋体" w:hAnsi="宋体" w:eastAsia="宋体" w:cs="宋体"/>
          <w:color w:val="auto"/>
          <w:sz w:val="28"/>
          <w:szCs w:val="28"/>
          <w:highlight w:val="none"/>
        </w:rPr>
        <w:t>案件流程分析</w:t>
      </w:r>
    </w:p>
    <w:p w14:paraId="6094A12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案件流程分析实现案件检索、案件列表、案件详情信息查看等功能。</w:t>
      </w:r>
    </w:p>
    <w:p w14:paraId="268C88E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1.1.9.3.4.4 </w:t>
      </w:r>
      <w:r>
        <w:rPr>
          <w:rFonts w:hint="eastAsia" w:ascii="宋体" w:hAnsi="宋体" w:eastAsia="宋体" w:cs="宋体"/>
          <w:color w:val="auto"/>
          <w:sz w:val="28"/>
          <w:szCs w:val="28"/>
          <w:highlight w:val="none"/>
        </w:rPr>
        <w:t>执法队伍分析</w:t>
      </w:r>
    </w:p>
    <w:p w14:paraId="74FED9E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执法队伍分析实现执法机构在编人员数量统计、执法机构处罚案件总数统计、执法机构案件总数、执法人员基础信息展示等功能。</w:t>
      </w:r>
    </w:p>
    <w:p w14:paraId="71AE8CE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1.1.9.3.4.5 </w:t>
      </w:r>
      <w:r>
        <w:rPr>
          <w:rFonts w:hint="eastAsia" w:ascii="宋体" w:hAnsi="宋体" w:eastAsia="宋体" w:cs="宋体"/>
          <w:color w:val="auto"/>
          <w:sz w:val="28"/>
          <w:szCs w:val="28"/>
          <w:highlight w:val="none"/>
        </w:rPr>
        <w:t>事件受理趋势分析</w:t>
      </w:r>
    </w:p>
    <w:p w14:paraId="0D585DA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统计图表、分布图、关系图、空间统计图、空间分布图、空间关系图等多种数据分析图表，展现部门办件受理趋势，以多种维度（每日、每周、每月）统计事件的受理数量及增长趋势，实现多种渠道上报来源的监测分析，为用户决策研判提供全面的数据支持。</w:t>
      </w:r>
    </w:p>
    <w:p w14:paraId="2EEFBDC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1.1.9.3.4.6 </w:t>
      </w:r>
      <w:r>
        <w:rPr>
          <w:rFonts w:hint="eastAsia" w:ascii="宋体" w:hAnsi="宋体" w:eastAsia="宋体" w:cs="宋体"/>
          <w:color w:val="auto"/>
          <w:sz w:val="28"/>
          <w:szCs w:val="28"/>
          <w:highlight w:val="none"/>
        </w:rPr>
        <w:t>事件类型分布统计</w:t>
      </w:r>
    </w:p>
    <w:p w14:paraId="0AAAFBA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统计图表、分布图、关系图、空间统计图、空间分布图、空间关系图等多种数据分析图表，整体展示各大类型的城市治理事件的分布情况，为领导直观的呈现城市治理事件的主要类型与高发区域，提供辅助决策支持。</w:t>
      </w:r>
    </w:p>
    <w:p w14:paraId="1B479C5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1.1.9.3.4.7 </w:t>
      </w:r>
      <w:r>
        <w:rPr>
          <w:rFonts w:hint="eastAsia" w:ascii="宋体" w:hAnsi="宋体" w:eastAsia="宋体" w:cs="宋体"/>
          <w:color w:val="auto"/>
          <w:sz w:val="28"/>
          <w:szCs w:val="28"/>
          <w:highlight w:val="none"/>
        </w:rPr>
        <w:t>事件区域分布展示</w:t>
      </w:r>
    </w:p>
    <w:p w14:paraId="433D29C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统计图表、分布图、关系图、空间统计图、空间分布图、空间关系图等多种数据分析图表，整体展示各个区县、街道城市治理事件受理/办理数量，同时分析展示各个区县、街道城市治理事件的办理及时率与办结率等指标信息。</w:t>
      </w:r>
    </w:p>
    <w:p w14:paraId="6B70591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1.1.9.3.5 </w:t>
      </w:r>
      <w:r>
        <w:rPr>
          <w:rFonts w:hint="eastAsia" w:ascii="宋体" w:hAnsi="宋体" w:eastAsia="宋体" w:cs="宋体"/>
          <w:color w:val="auto"/>
          <w:sz w:val="28"/>
          <w:szCs w:val="28"/>
          <w:highlight w:val="none"/>
        </w:rPr>
        <w:t>城市管理物联感知监测分析</w:t>
      </w:r>
    </w:p>
    <w:p w14:paraId="4FBE2A0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汇聚城市物联网感知设备所取得的井盖信息、内涝信息、噪声在线监测信息，呈现物联网感知设备所取得的相关信息。</w:t>
      </w:r>
    </w:p>
    <w:p w14:paraId="1D4B17C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1.1.9.3.5.1 </w:t>
      </w:r>
      <w:r>
        <w:rPr>
          <w:rFonts w:hint="eastAsia" w:ascii="宋体" w:hAnsi="宋体" w:eastAsia="宋体" w:cs="宋体"/>
          <w:color w:val="auto"/>
          <w:sz w:val="28"/>
          <w:szCs w:val="28"/>
          <w:highlight w:val="none"/>
        </w:rPr>
        <w:t>井盖监测分析</w:t>
      </w:r>
    </w:p>
    <w:p w14:paraId="5AE51715">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针对井盖的破损、被盗、重压、井下水位过高等事故损失进行分析，为井盖管理工作提供依据。</w:t>
      </w:r>
    </w:p>
    <w:p w14:paraId="7542312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1.1.9.3.5.2 </w:t>
      </w:r>
      <w:r>
        <w:rPr>
          <w:rFonts w:hint="eastAsia" w:ascii="宋体" w:hAnsi="宋体" w:eastAsia="宋体" w:cs="宋体"/>
          <w:color w:val="auto"/>
          <w:sz w:val="28"/>
          <w:szCs w:val="28"/>
          <w:highlight w:val="none"/>
        </w:rPr>
        <w:t>内涝监测分析</w:t>
      </w:r>
    </w:p>
    <w:p w14:paraId="099F9DF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基于与福州市联排联调中心、排水公司、防汛办等信息系统对接数据，针对排涝运行中的各项指标集中分析，提供历史数据查询及多个安全指标数据对比的功能。</w:t>
      </w:r>
    </w:p>
    <w:p w14:paraId="0E16611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1.1.9.3.5.3 </w:t>
      </w:r>
      <w:r>
        <w:rPr>
          <w:rFonts w:hint="eastAsia" w:ascii="宋体" w:hAnsi="宋体" w:eastAsia="宋体" w:cs="宋体"/>
          <w:color w:val="auto"/>
          <w:sz w:val="28"/>
          <w:szCs w:val="28"/>
          <w:highlight w:val="none"/>
        </w:rPr>
        <w:t>噪声污染监测分析</w:t>
      </w:r>
    </w:p>
    <w:p w14:paraId="206FA44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针对施工现场进行噪声污染数据分析。</w:t>
      </w:r>
    </w:p>
    <w:p w14:paraId="35CA928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1.1.9.3.5.4 </w:t>
      </w:r>
      <w:r>
        <w:rPr>
          <w:rFonts w:hint="eastAsia" w:ascii="宋体" w:hAnsi="宋体" w:eastAsia="宋体" w:cs="宋体"/>
          <w:color w:val="auto"/>
          <w:sz w:val="28"/>
          <w:szCs w:val="28"/>
          <w:highlight w:val="none"/>
        </w:rPr>
        <w:t>渣土运输车辆运行分析</w:t>
      </w:r>
    </w:p>
    <w:p w14:paraId="3CDCDE8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通过渣土车的实时及历史数据，进行车辆运行分析，便于车辆运行管理。</w:t>
      </w:r>
    </w:p>
    <w:p w14:paraId="4180ABF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1.1.9.3.6 </w:t>
      </w:r>
      <w:r>
        <w:rPr>
          <w:rFonts w:hint="eastAsia" w:ascii="宋体" w:hAnsi="宋体" w:eastAsia="宋体" w:cs="宋体"/>
          <w:color w:val="auto"/>
          <w:sz w:val="28"/>
          <w:szCs w:val="28"/>
          <w:highlight w:val="none"/>
        </w:rPr>
        <w:t>城市突发事件监测分析</w:t>
      </w:r>
    </w:p>
    <w:p w14:paraId="601EB23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提供统计图表、分布图、关系图、空间统计图、空间分布图、空间关系图等多种数据分析图表，整体展示各类突发事件的数量，同时分析展示各类事件的数量变化趋势。</w:t>
      </w:r>
    </w:p>
    <w:p w14:paraId="75F87218">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1.1.9.3.7 </w:t>
      </w:r>
      <w:r>
        <w:rPr>
          <w:rFonts w:hint="eastAsia" w:ascii="宋体" w:hAnsi="宋体" w:eastAsia="宋体" w:cs="宋体"/>
          <w:color w:val="auto"/>
          <w:sz w:val="28"/>
          <w:szCs w:val="28"/>
          <w:highlight w:val="none"/>
        </w:rPr>
        <w:t>食品安全专题分析</w:t>
      </w:r>
    </w:p>
    <w:p w14:paraId="4598C6C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对食品安全事故的事故类型、影响范围、预案处置流程和现场情况进行多维度分析，以GIS和分析图表结合的方式进行可视化展示。</w:t>
      </w:r>
    </w:p>
    <w:p w14:paraId="68DAB6B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1.1.9.4 </w:t>
      </w:r>
      <w:r>
        <w:rPr>
          <w:rFonts w:hint="eastAsia" w:ascii="宋体" w:hAnsi="宋体" w:eastAsia="宋体" w:cs="宋体"/>
          <w:color w:val="auto"/>
          <w:sz w:val="28"/>
          <w:szCs w:val="28"/>
          <w:highlight w:val="none"/>
        </w:rPr>
        <w:t>监测信息管理</w:t>
      </w:r>
    </w:p>
    <w:p w14:paraId="48F343D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1.1.9.4.1 </w:t>
      </w:r>
      <w:r>
        <w:rPr>
          <w:rFonts w:hint="eastAsia" w:ascii="宋体" w:hAnsi="宋体" w:eastAsia="宋体" w:cs="宋体"/>
          <w:color w:val="auto"/>
          <w:sz w:val="28"/>
          <w:szCs w:val="28"/>
          <w:highlight w:val="none"/>
        </w:rPr>
        <w:t>监测信息分类管理</w:t>
      </w:r>
    </w:p>
    <w:p w14:paraId="3A0F888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实现对各业务场景获取的信息资源分级、分类进行整理，形成统一的监测信息目录，为监测预警、综合分析、信息查询等功能提供服务，方便信息资源的检索、定位、获取、加工。</w:t>
      </w:r>
    </w:p>
    <w:p w14:paraId="240853B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1.1.9.4.2 </w:t>
      </w:r>
      <w:r>
        <w:rPr>
          <w:rFonts w:hint="eastAsia" w:ascii="宋体" w:hAnsi="宋体" w:eastAsia="宋体" w:cs="宋体"/>
          <w:color w:val="auto"/>
          <w:sz w:val="28"/>
          <w:szCs w:val="28"/>
          <w:highlight w:val="none"/>
        </w:rPr>
        <w:t>监测信息更新维护</w:t>
      </w:r>
    </w:p>
    <w:p w14:paraId="0DCA1F0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为保持数据的现势性，平台提供按区域、按类别的数据动态更新。</w:t>
      </w:r>
    </w:p>
    <w:p w14:paraId="69AB506E">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1.1.9.4.3 </w:t>
      </w:r>
      <w:r>
        <w:rPr>
          <w:rFonts w:hint="eastAsia" w:ascii="宋体" w:hAnsi="宋体" w:eastAsia="宋体" w:cs="宋体"/>
          <w:color w:val="auto"/>
          <w:sz w:val="28"/>
          <w:szCs w:val="28"/>
          <w:highlight w:val="none"/>
        </w:rPr>
        <w:t>监测信息详情</w:t>
      </w:r>
    </w:p>
    <w:p w14:paraId="3D038BB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汇聚的行业应用数据，实现对监测信息进行关联整理，通过分类标签可调用相关业务数据详细信息。</w:t>
      </w:r>
    </w:p>
    <w:p w14:paraId="297E668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1.1.9.4.4 </w:t>
      </w:r>
      <w:r>
        <w:rPr>
          <w:rFonts w:hint="eastAsia" w:ascii="宋体" w:hAnsi="宋体" w:eastAsia="宋体" w:cs="宋体"/>
          <w:color w:val="auto"/>
          <w:sz w:val="28"/>
          <w:szCs w:val="28"/>
          <w:highlight w:val="none"/>
        </w:rPr>
        <w:t>监测信息综合查询</w:t>
      </w:r>
    </w:p>
    <w:p w14:paraId="5A663CCB">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基于已归集汇聚行业应用数据，可以按区域、行业进行查询，也可以输入关键字进行查询，同时可以对预警信息、统计分析等进行多维度查询。</w:t>
      </w:r>
    </w:p>
    <w:p w14:paraId="3F345809">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30"/>
          <w:szCs w:val="30"/>
          <w:highlight w:val="none"/>
        </w:rPr>
        <w:t>1.1.9.5 </w:t>
      </w:r>
      <w:r>
        <w:rPr>
          <w:rFonts w:hint="eastAsia" w:ascii="宋体" w:hAnsi="宋体" w:eastAsia="宋体" w:cs="宋体"/>
          <w:color w:val="auto"/>
          <w:sz w:val="28"/>
          <w:szCs w:val="28"/>
          <w:highlight w:val="none"/>
        </w:rPr>
        <w:t>风险排查</w:t>
      </w:r>
    </w:p>
    <w:p w14:paraId="67E46921">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排查整治流程为干线，快速排查和复查风险隐患情况；对隐患排查整治信息及时、有效地进行跟踪、整改，并将统计数据及时上报，形成各级政府、监管职能部门、社区协同工作的“群防群控”应用体系。完整保存隐患排查治理流程中所有过程记录和图片、音频、视频等附件资料，通过网络进行流转，实现信息传递的零延误，打破办公空间限制，用户可以实现随时随地进行风险排查管理工作，大大提高了风险隐患信息获取和处理的及时性。具备接收城市运行风险和隐患信息、出现突发事件时发送相关预警和应急疏散信息等功能。</w:t>
      </w:r>
    </w:p>
    <w:p w14:paraId="402B7F0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1.1.9.5.1 </w:t>
      </w:r>
      <w:r>
        <w:rPr>
          <w:rFonts w:hint="eastAsia" w:ascii="宋体" w:hAnsi="宋体" w:eastAsia="宋体" w:cs="宋体"/>
          <w:color w:val="auto"/>
          <w:sz w:val="28"/>
          <w:szCs w:val="28"/>
          <w:highlight w:val="none"/>
        </w:rPr>
        <w:t>巡查检查</w:t>
      </w:r>
    </w:p>
    <w:p w14:paraId="4114110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城市运行监测对象所涉及的运行安全事项进行分级分类管理，制定巡查和检查计划，并通过移动端应用程序对运行安全事项进行日常巡查和技术检查，将发现的安全风险隐患问题进行及时上报，并进行排查态势分析。</w:t>
      </w:r>
    </w:p>
    <w:p w14:paraId="30E290A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1.1.9.5.1.1 </w:t>
      </w:r>
      <w:r>
        <w:rPr>
          <w:rFonts w:hint="eastAsia" w:ascii="宋体" w:hAnsi="宋体" w:eastAsia="宋体" w:cs="宋体"/>
          <w:color w:val="auto"/>
          <w:sz w:val="28"/>
          <w:szCs w:val="28"/>
          <w:highlight w:val="none"/>
        </w:rPr>
        <w:t>隐患上报</w:t>
      </w:r>
    </w:p>
    <w:p w14:paraId="433C8D9E">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城市管理相关部门应建立隐患自查自纠制度，明确排查主体，构建检查体系，明确各项检查要素的检查主体和监督主体强化日常安全检查的基础作用，定期组织本单位相关人员按照隐患排查制度排查城市风险隐患事件，对排查出的事件/问题隐患进行登记，并通过系统向监管部门上报，上报过程中可根据上级要求选定重点隐患（初步设定为一段时间内前十大隐患，部门自行评定）上报至上级部门，上级部门对下级部门上报重点隐患信息可查看并选择督办。</w:t>
      </w:r>
    </w:p>
    <w:p w14:paraId="3C744D06">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1.1.9.5.1.1.1 </w:t>
      </w:r>
      <w:r>
        <w:rPr>
          <w:rStyle w:val="17"/>
          <w:rFonts w:hint="eastAsia" w:ascii="宋体" w:hAnsi="宋体" w:eastAsia="宋体" w:cs="宋体"/>
          <w:color w:val="auto"/>
          <w:sz w:val="28"/>
          <w:szCs w:val="28"/>
          <w:highlight w:val="none"/>
        </w:rPr>
        <w:t>隐患信息登记</w:t>
      </w:r>
    </w:p>
    <w:p w14:paraId="2D60A6A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实现各个监管部门的风险隐患排查登记管理功能，将排查出的各类风险隐患统计归档。</w:t>
      </w:r>
    </w:p>
    <w:p w14:paraId="3DA719E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1.1.9.5.1.1.2 </w:t>
      </w:r>
      <w:r>
        <w:rPr>
          <w:rStyle w:val="17"/>
          <w:rFonts w:hint="eastAsia" w:ascii="宋体" w:hAnsi="宋体" w:eastAsia="宋体" w:cs="宋体"/>
          <w:color w:val="auto"/>
          <w:sz w:val="28"/>
          <w:szCs w:val="28"/>
          <w:highlight w:val="none"/>
        </w:rPr>
        <w:t>现场拍照上传</w:t>
      </w:r>
    </w:p>
    <w:p w14:paraId="2C020AB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支持安全隐患信息登记的现场图片上传管理功能，支持直接拍照上传或选择手机存储图片等方式上传。</w:t>
      </w:r>
    </w:p>
    <w:p w14:paraId="3E0EB5E1">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1.1.9.5.1.2 </w:t>
      </w:r>
      <w:r>
        <w:rPr>
          <w:rFonts w:hint="eastAsia" w:ascii="宋体" w:hAnsi="宋体" w:eastAsia="宋体" w:cs="宋体"/>
          <w:color w:val="auto"/>
          <w:sz w:val="28"/>
          <w:szCs w:val="28"/>
          <w:highlight w:val="none"/>
        </w:rPr>
        <w:t>排查记录管理</w:t>
      </w:r>
    </w:p>
    <w:p w14:paraId="5006498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提供管理人员对各单位上报的隐患排查结果进行查看，以列表形式进行展示，用户可以通过类型、单位等字段对信息进行快速筛选。</w:t>
      </w:r>
    </w:p>
    <w:p w14:paraId="3C2CB517">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1.1.9.5.2 </w:t>
      </w:r>
      <w:r>
        <w:rPr>
          <w:rFonts w:hint="eastAsia" w:ascii="宋体" w:hAnsi="宋体" w:eastAsia="宋体" w:cs="宋体"/>
          <w:color w:val="auto"/>
          <w:sz w:val="28"/>
          <w:szCs w:val="28"/>
          <w:highlight w:val="none"/>
        </w:rPr>
        <w:t>排查情况分析</w:t>
      </w:r>
    </w:p>
    <w:p w14:paraId="02BB0F9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了提高城市管理的效率，及时排查城市管理对象的运行异常情况，实现日常城市各个类别的隐患排查治理流程化管理功能。基于GIS平台，在电子地图上叠加展示各隐患排查情况及发现隐患情况，便于用户了解本辖区隐患排查的整体态势。</w:t>
      </w:r>
    </w:p>
    <w:p w14:paraId="2DD8D32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1.1.9.5.2.1 </w:t>
      </w:r>
      <w:r>
        <w:rPr>
          <w:rFonts w:hint="eastAsia" w:ascii="宋体" w:hAnsi="宋体" w:eastAsia="宋体" w:cs="宋体"/>
          <w:color w:val="auto"/>
          <w:sz w:val="28"/>
          <w:szCs w:val="28"/>
          <w:highlight w:val="none"/>
        </w:rPr>
        <w:t>排查分析</w:t>
      </w:r>
    </w:p>
    <w:p w14:paraId="1B399BD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以统计图表的方式展示各社区各类风险隐患的排查率、整改率情况以及不同隐患等级的数量及占比情况。</w:t>
      </w:r>
    </w:p>
    <w:p w14:paraId="78A4027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1.1.9.5.2.2 </w:t>
      </w:r>
      <w:r>
        <w:rPr>
          <w:rFonts w:hint="eastAsia" w:ascii="宋体" w:hAnsi="宋体" w:eastAsia="宋体" w:cs="宋体"/>
          <w:color w:val="auto"/>
          <w:sz w:val="28"/>
          <w:szCs w:val="28"/>
          <w:highlight w:val="none"/>
        </w:rPr>
        <w:t>排查列表</w:t>
      </w:r>
    </w:p>
    <w:p w14:paraId="2DBFCD0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选择风险隐患的所处状态，系统将以列表的方式展示各类风险隐患的详细信息。并支持列表和GIS地图关联互动，通过列表信息能快速定位到GIS地图，方便对关注隐患所在位置进行快速定位，并辅助对周边进行综合判断。</w:t>
      </w:r>
    </w:p>
    <w:p w14:paraId="2767E5A4">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1.1.9.5.3 </w:t>
      </w:r>
      <w:r>
        <w:rPr>
          <w:rFonts w:hint="eastAsia" w:ascii="宋体" w:hAnsi="宋体" w:eastAsia="宋体" w:cs="宋体"/>
          <w:color w:val="auto"/>
          <w:sz w:val="28"/>
          <w:szCs w:val="28"/>
          <w:highlight w:val="none"/>
        </w:rPr>
        <w:t>隐患态势分析</w:t>
      </w:r>
    </w:p>
    <w:p w14:paraId="6138B9A3">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1.1.9.5.3.1 </w:t>
      </w:r>
      <w:r>
        <w:rPr>
          <w:rFonts w:hint="eastAsia" w:ascii="宋体" w:hAnsi="宋体" w:eastAsia="宋体" w:cs="宋体"/>
          <w:color w:val="auto"/>
          <w:sz w:val="28"/>
          <w:szCs w:val="28"/>
          <w:highlight w:val="none"/>
        </w:rPr>
        <w:t>隐患统计汇总</w:t>
      </w:r>
    </w:p>
    <w:p w14:paraId="3E4DE3F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按照分级分类标准建立风险隐患台帐，多维度分析统计风险隐患信息，利用地理信息GIS系统等绘制出直观可视的主要风险隐患分布图和资源储备分布图。</w:t>
      </w:r>
    </w:p>
    <w:p w14:paraId="4038283D">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1.1.9.5.3.2 </w:t>
      </w:r>
      <w:r>
        <w:rPr>
          <w:rFonts w:hint="eastAsia" w:ascii="宋体" w:hAnsi="宋体" w:eastAsia="宋体" w:cs="宋体"/>
          <w:color w:val="auto"/>
          <w:sz w:val="28"/>
          <w:szCs w:val="28"/>
          <w:highlight w:val="none"/>
        </w:rPr>
        <w:t>隐患态势分析</w:t>
      </w:r>
    </w:p>
    <w:p w14:paraId="4B749390">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实现对安全风险隐患问题治理进行统计分析，通过同比、环比进行分析了解风险隐患发展趋势，同时针对隐患治理的情况进行分析，掌握其中的变化趋势。</w:t>
      </w:r>
    </w:p>
    <w:p w14:paraId="16D3552C">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color w:val="auto"/>
          <w:spacing w:val="0"/>
          <w:sz w:val="28"/>
          <w:szCs w:val="28"/>
          <w:highlight w:val="none"/>
        </w:rPr>
        <w:t>1.1.9.5.4 </w:t>
      </w:r>
      <w:r>
        <w:rPr>
          <w:rFonts w:hint="eastAsia" w:ascii="宋体" w:hAnsi="宋体" w:eastAsia="宋体" w:cs="宋体"/>
          <w:color w:val="auto"/>
          <w:sz w:val="28"/>
          <w:szCs w:val="28"/>
          <w:highlight w:val="none"/>
        </w:rPr>
        <w:t>隐患治理</w:t>
      </w:r>
    </w:p>
    <w:p w14:paraId="120BA95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巡查检查上报的安全风险隐患问题进行闭环化管理，按相关技术标准，制定治理方案和计划，下达治理任务，跟踪督办治理情况，并对治理结果进行审查验收等功能；宜通过大数据手段建立各类城市运行监测对象的安全风险隐患持续改进和预防机制。</w:t>
      </w:r>
    </w:p>
    <w:p w14:paraId="7AED7DEA">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1.1.9.5.4.1 </w:t>
      </w:r>
      <w:r>
        <w:rPr>
          <w:rFonts w:hint="eastAsia" w:ascii="宋体" w:hAnsi="宋体" w:eastAsia="宋体" w:cs="宋体"/>
          <w:color w:val="auto"/>
          <w:sz w:val="28"/>
          <w:szCs w:val="28"/>
          <w:highlight w:val="none"/>
        </w:rPr>
        <w:t>隐患评估</w:t>
      </w:r>
    </w:p>
    <w:p w14:paraId="7A129B5A">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各类风险隐患的成因，易发时间、地点及发生概率，可控性和紧急程度，可能造成的直接危害及次生危害，受其影响区域内其它风险隐患情况、多灾种耦合的可能性，需整改的内容、有针对性的防范措施及落实情况，全面深入地进行分析、评估并统计汇总上报。</w:t>
      </w:r>
    </w:p>
    <w:p w14:paraId="5B03C29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1.1.9.5.4.1.1 </w:t>
      </w:r>
      <w:r>
        <w:rPr>
          <w:rStyle w:val="17"/>
          <w:rFonts w:hint="eastAsia" w:ascii="宋体" w:hAnsi="宋体" w:eastAsia="宋体" w:cs="宋体"/>
          <w:color w:val="auto"/>
          <w:sz w:val="28"/>
          <w:szCs w:val="28"/>
          <w:highlight w:val="none"/>
        </w:rPr>
        <w:t>风险隐患评估</w:t>
      </w:r>
    </w:p>
    <w:p w14:paraId="086FE488">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提供隐患评估的专业人员针对每个隐患点各类信息进行评估，包括对直接危害、次生危害、影响区域内其它风险隐患情况、多灾种耦合的可能性等因素的评估分析。</w:t>
      </w:r>
    </w:p>
    <w:p w14:paraId="4DA0BB1B">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1.1.9.5.4.1.2 </w:t>
      </w:r>
      <w:r>
        <w:rPr>
          <w:rStyle w:val="17"/>
          <w:rFonts w:hint="eastAsia" w:ascii="宋体" w:hAnsi="宋体" w:eastAsia="宋体" w:cs="宋体"/>
          <w:color w:val="auto"/>
          <w:sz w:val="28"/>
          <w:szCs w:val="28"/>
          <w:highlight w:val="none"/>
        </w:rPr>
        <w:t>汇总上报</w:t>
      </w:r>
    </w:p>
    <w:p w14:paraId="292FF75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评估的专业人员完成隐患的评估工作后，将评估过程与结果数据进行上报操作，系统提供临时保存功能，对未完成的评估记录进行临时保存。</w:t>
      </w:r>
    </w:p>
    <w:p w14:paraId="13F87D07">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1.1.9.5.4.1.3 </w:t>
      </w:r>
      <w:r>
        <w:rPr>
          <w:rStyle w:val="17"/>
          <w:rFonts w:hint="eastAsia" w:ascii="宋体" w:hAnsi="宋体" w:eastAsia="宋体" w:cs="宋体"/>
          <w:color w:val="auto"/>
          <w:sz w:val="28"/>
          <w:szCs w:val="28"/>
          <w:highlight w:val="none"/>
        </w:rPr>
        <w:t>评估查阅</w:t>
      </w:r>
    </w:p>
    <w:p w14:paraId="343AB9B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系统对人员评估的上报结果进行统一记录维护，提供管理人员对风险评估的结果进行查阅。系统以列表形式展示上报的评估结果。</w:t>
      </w:r>
    </w:p>
    <w:p w14:paraId="3F069C1B">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1.1.9.5.4.2 </w:t>
      </w:r>
      <w:r>
        <w:rPr>
          <w:rFonts w:hint="eastAsia" w:ascii="宋体" w:hAnsi="宋体" w:eastAsia="宋体" w:cs="宋体"/>
          <w:color w:val="auto"/>
          <w:sz w:val="28"/>
          <w:szCs w:val="28"/>
          <w:highlight w:val="none"/>
        </w:rPr>
        <w:t>隐患治理管理</w:t>
      </w:r>
    </w:p>
    <w:p w14:paraId="569BB3D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对风险隐患情况复杂、短期内难以整改的，要制定切实可行的整改方案和应对预案，落实整改措施、责任人和整改期限等，防范突发公共事件的发生；对问题较多、隐患严重、危险较大的，要采取停产、停业整顿或停止使用等果断措施。</w:t>
      </w:r>
    </w:p>
    <w:p w14:paraId="211F38C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通过建立隐患排查整改机制，实现对隐患“上报、整改、复查”的闭环管理，详细记录隐患整改的过程信息，实现复杂的隐患排查治理工作流程化、常态化和信息化。</w:t>
      </w:r>
    </w:p>
    <w:p w14:paraId="1C95C72D">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1.1.9.5.4.2.1 </w:t>
      </w:r>
      <w:r>
        <w:rPr>
          <w:rStyle w:val="17"/>
          <w:rFonts w:hint="eastAsia" w:ascii="宋体" w:hAnsi="宋体" w:eastAsia="宋体" w:cs="宋体"/>
          <w:color w:val="auto"/>
          <w:sz w:val="28"/>
          <w:szCs w:val="28"/>
          <w:highlight w:val="none"/>
        </w:rPr>
        <w:t>隐患排查情况检索</w:t>
      </w:r>
    </w:p>
    <w:p w14:paraId="75B00E9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实现城市事件安全隐患检索管理功能。</w:t>
      </w:r>
    </w:p>
    <w:p w14:paraId="5EABD7F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1.1.9.5.4.2.2 </w:t>
      </w:r>
      <w:r>
        <w:rPr>
          <w:rStyle w:val="17"/>
          <w:rFonts w:hint="eastAsia" w:ascii="宋体" w:hAnsi="宋体" w:eastAsia="宋体" w:cs="宋体"/>
          <w:color w:val="auto"/>
          <w:sz w:val="28"/>
          <w:szCs w:val="28"/>
          <w:highlight w:val="none"/>
        </w:rPr>
        <w:t>隐患信息核查</w:t>
      </w:r>
    </w:p>
    <w:p w14:paraId="491E469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针对上报的隐患信息进行核查，通过系统安排相关人员进行核查，确认存在该隐患信息，则生成隐患治理工单。</w:t>
      </w:r>
    </w:p>
    <w:p w14:paraId="5ABCAC04">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1.1.9.5.4.2.3 </w:t>
      </w:r>
      <w:r>
        <w:rPr>
          <w:rStyle w:val="17"/>
          <w:rFonts w:hint="eastAsia" w:ascii="宋体" w:hAnsi="宋体" w:eastAsia="宋体" w:cs="宋体"/>
          <w:color w:val="auto"/>
          <w:sz w:val="28"/>
          <w:szCs w:val="28"/>
          <w:highlight w:val="none"/>
        </w:rPr>
        <w:t>隐患信息整改</w:t>
      </w:r>
    </w:p>
    <w:p w14:paraId="7C51D9AC">
      <w:pPr>
        <w:pStyle w:val="14"/>
        <w:keepNext w:val="0"/>
        <w:keepLines w:val="0"/>
        <w:widowControl/>
        <w:suppressLineNumbers w:val="0"/>
        <w:spacing w:before="165" w:beforeAutospacing="0" w:after="165" w:afterAutospacing="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隐患治理工单生成后，通过系统自动或手动派发相应责任单位，由责任单位安排相关人员整改隐患。</w:t>
      </w:r>
    </w:p>
    <w:p w14:paraId="2978FAAB">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1.1.9.5.4.2.4 </w:t>
      </w:r>
      <w:r>
        <w:rPr>
          <w:rStyle w:val="17"/>
          <w:rFonts w:hint="eastAsia" w:ascii="宋体" w:hAnsi="宋体" w:eastAsia="宋体" w:cs="宋体"/>
          <w:color w:val="auto"/>
          <w:sz w:val="28"/>
          <w:szCs w:val="28"/>
          <w:highlight w:val="none"/>
        </w:rPr>
        <w:t>整改项目创建</w:t>
      </w:r>
    </w:p>
    <w:p w14:paraId="149A2AAD">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根据整改类型的不同，进行整改项目的创建。项目创建完成后，并进一步完成项目与排查任务的关联。</w:t>
      </w:r>
    </w:p>
    <w:p w14:paraId="7F9C89EA">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1.1.9.5.4.2.5 </w:t>
      </w:r>
      <w:r>
        <w:rPr>
          <w:rStyle w:val="17"/>
          <w:rFonts w:hint="eastAsia" w:ascii="宋体" w:hAnsi="宋体" w:eastAsia="宋体" w:cs="宋体"/>
          <w:color w:val="auto"/>
          <w:sz w:val="28"/>
          <w:szCs w:val="28"/>
          <w:highlight w:val="none"/>
        </w:rPr>
        <w:t>项目配置管理</w:t>
      </w:r>
    </w:p>
    <w:p w14:paraId="0F5D10F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实现已创建项目的整体配置，包括对项目基础信息的修改，以及查看详细的项目信息。</w:t>
      </w:r>
    </w:p>
    <w:p w14:paraId="10125753">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1.1.9.5.4.2.6 </w:t>
      </w:r>
      <w:r>
        <w:rPr>
          <w:rStyle w:val="17"/>
          <w:rFonts w:hint="eastAsia" w:ascii="宋体" w:hAnsi="宋体" w:eastAsia="宋体" w:cs="宋体"/>
          <w:color w:val="auto"/>
          <w:sz w:val="28"/>
          <w:szCs w:val="28"/>
          <w:highlight w:val="none"/>
        </w:rPr>
        <w:t>隐患预警管理</w:t>
      </w:r>
    </w:p>
    <w:p w14:paraId="46D4C654">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根据风险隐患类别进行系统的隐患分类预警管理，实现隐患预警分类汇总提醒。</w:t>
      </w:r>
    </w:p>
    <w:p w14:paraId="4F3CAA6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系统实现对重要城市事件隐患信息进行状态提醒，支持所有提醒同时提供短信方式发送至相关负责人手机。</w:t>
      </w:r>
    </w:p>
    <w:p w14:paraId="0D69DC9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1.1.9.5.4.2.7 </w:t>
      </w:r>
      <w:r>
        <w:rPr>
          <w:rStyle w:val="17"/>
          <w:rFonts w:hint="eastAsia" w:ascii="宋体" w:hAnsi="宋体" w:eastAsia="宋体" w:cs="宋体"/>
          <w:color w:val="auto"/>
          <w:sz w:val="28"/>
          <w:szCs w:val="28"/>
          <w:highlight w:val="none"/>
        </w:rPr>
        <w:t>重大隐患督办管理</w:t>
      </w:r>
    </w:p>
    <w:p w14:paraId="1514112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监管部门对符合条件的重大隐患实行挂牌督办，并可与多级政府部门实现多级部门挂牌督办，系统默认展示所有本部门及上级部门挂牌督办的重大隐患列表。</w:t>
      </w:r>
    </w:p>
    <w:p w14:paraId="5D65E119">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1.1.9.5.4.2.8 </w:t>
      </w:r>
      <w:r>
        <w:rPr>
          <w:rStyle w:val="17"/>
          <w:rFonts w:hint="eastAsia" w:ascii="宋体" w:hAnsi="宋体" w:eastAsia="宋体" w:cs="宋体"/>
          <w:color w:val="auto"/>
          <w:sz w:val="28"/>
          <w:szCs w:val="28"/>
          <w:highlight w:val="none"/>
        </w:rPr>
        <w:t>隐患复查跟踪</w:t>
      </w:r>
    </w:p>
    <w:p w14:paraId="40CA386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针对隐患排查过程中查找出来的隐患，执法人员需要下达隐患整改通知，对相应隐患进行跟踪复查，直到隐患消除为止。</w:t>
      </w:r>
    </w:p>
    <w:p w14:paraId="157E8FEE">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1.1.9.5.4.2.9 </w:t>
      </w:r>
      <w:r>
        <w:rPr>
          <w:rStyle w:val="17"/>
          <w:rFonts w:hint="eastAsia" w:ascii="宋体" w:hAnsi="宋体" w:eastAsia="宋体" w:cs="宋体"/>
          <w:color w:val="auto"/>
          <w:sz w:val="28"/>
          <w:szCs w:val="28"/>
          <w:highlight w:val="none"/>
        </w:rPr>
        <w:t>申报复查验收</w:t>
      </w:r>
    </w:p>
    <w:p w14:paraId="419E220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相关责任单位对隐患工单整改完毕后，申报复查验收，如果隐患复查验收没有通过，这条隐患则需要重新进入整改流程，进行再次整改。</w:t>
      </w:r>
    </w:p>
    <w:p w14:paraId="442A4826">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1.1.9.5.4.3 </w:t>
      </w:r>
      <w:r>
        <w:rPr>
          <w:rFonts w:hint="eastAsia" w:ascii="宋体" w:hAnsi="宋体" w:eastAsia="宋体" w:cs="宋体"/>
          <w:color w:val="auto"/>
          <w:sz w:val="28"/>
          <w:szCs w:val="28"/>
          <w:highlight w:val="none"/>
        </w:rPr>
        <w:t>隐患治理档案管理</w:t>
      </w:r>
    </w:p>
    <w:p w14:paraId="0580C676">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实现对城市事件隐患排查治理归档功能，记录隐患整改工单信息。</w:t>
      </w:r>
    </w:p>
    <w:p w14:paraId="6EA2038B">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1.1.9.5.4.3.1 </w:t>
      </w:r>
      <w:r>
        <w:rPr>
          <w:rStyle w:val="17"/>
          <w:rFonts w:hint="eastAsia" w:ascii="宋体" w:hAnsi="宋体" w:eastAsia="宋体" w:cs="宋体"/>
          <w:color w:val="auto"/>
          <w:sz w:val="28"/>
          <w:szCs w:val="28"/>
          <w:highlight w:val="none"/>
        </w:rPr>
        <w:t>隐患治理档案查询</w:t>
      </w:r>
    </w:p>
    <w:p w14:paraId="5137CBE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多种方式的信息查询功能，实现常规检索和高级检索功能，常规检索包括已整改、未整改、全部三个维度筛选显示；通过隐患名称的精准查询和模糊查询，直接展示隐患台账的相关信息。高级检索通过隐患来源、企业名称等多个维度信息进行精准查询。</w:t>
      </w:r>
    </w:p>
    <w:p w14:paraId="47DC5FD1">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1.1.9.5.4.3.2 </w:t>
      </w:r>
      <w:r>
        <w:rPr>
          <w:rStyle w:val="17"/>
          <w:rFonts w:hint="eastAsia" w:ascii="宋体" w:hAnsi="宋体" w:eastAsia="宋体" w:cs="宋体"/>
          <w:color w:val="auto"/>
          <w:sz w:val="28"/>
          <w:szCs w:val="28"/>
          <w:highlight w:val="none"/>
        </w:rPr>
        <w:t>隐患治理档案展示</w:t>
      </w:r>
    </w:p>
    <w:p w14:paraId="4FF3966F">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提供列表的形式展示各级各部门的隐患治理档案，支持操作查看展示隐患档案详细信息。</w:t>
      </w:r>
    </w:p>
    <w:p w14:paraId="3B8FA9F0">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1.1.9.5.4.4 </w:t>
      </w:r>
      <w:r>
        <w:rPr>
          <w:rFonts w:hint="eastAsia" w:ascii="宋体" w:hAnsi="宋体" w:eastAsia="宋体" w:cs="宋体"/>
          <w:color w:val="auto"/>
          <w:sz w:val="28"/>
          <w:szCs w:val="28"/>
          <w:highlight w:val="none"/>
        </w:rPr>
        <w:t>隐患排查清单管理</w:t>
      </w:r>
    </w:p>
    <w:p w14:paraId="2011BD7C">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为方便隐患排查清单的管理，提供隐患排查清单的新增、删除、修改和查询功能。</w:t>
      </w:r>
    </w:p>
    <w:p w14:paraId="76DAE4A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1.1.9.5.4.4.1 </w:t>
      </w:r>
      <w:r>
        <w:rPr>
          <w:rStyle w:val="17"/>
          <w:rFonts w:hint="eastAsia" w:ascii="宋体" w:hAnsi="宋体" w:eastAsia="宋体" w:cs="宋体"/>
          <w:color w:val="auto"/>
          <w:sz w:val="28"/>
          <w:szCs w:val="28"/>
          <w:highlight w:val="none"/>
        </w:rPr>
        <w:t>隐患排查清单查询</w:t>
      </w:r>
    </w:p>
    <w:p w14:paraId="56191C73">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系统提供隐患排查清单查询功能。通过输入清单名称、清单描述等条件，实现隐患排查清单的快速查询，查询结果以列表形式进行显示。</w:t>
      </w:r>
    </w:p>
    <w:p w14:paraId="4BAFEE32">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1.1.9.5.4.4.2 </w:t>
      </w:r>
      <w:r>
        <w:rPr>
          <w:rStyle w:val="17"/>
          <w:rFonts w:hint="eastAsia" w:ascii="宋体" w:hAnsi="宋体" w:eastAsia="宋体" w:cs="宋体"/>
          <w:color w:val="auto"/>
          <w:sz w:val="28"/>
          <w:szCs w:val="28"/>
          <w:highlight w:val="none"/>
        </w:rPr>
        <w:t>隐患排查清单新增</w:t>
      </w:r>
    </w:p>
    <w:p w14:paraId="3588BD19">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通过填写清单名称、清单编码、备注等信息，实现隐患排查清单的新增功能。</w:t>
      </w:r>
    </w:p>
    <w:p w14:paraId="56B6D730">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1.1.9.5.4.4.3 </w:t>
      </w:r>
      <w:r>
        <w:rPr>
          <w:rStyle w:val="17"/>
          <w:rFonts w:hint="eastAsia" w:ascii="宋体" w:hAnsi="宋体" w:eastAsia="宋体" w:cs="宋体"/>
          <w:color w:val="auto"/>
          <w:sz w:val="28"/>
          <w:szCs w:val="28"/>
          <w:highlight w:val="none"/>
        </w:rPr>
        <w:t>隐患排查清单修改</w:t>
      </w:r>
    </w:p>
    <w:p w14:paraId="33DABC77">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通过选择需要修改的隐患排查清单，实现隐患排查清单的修改功能。</w:t>
      </w:r>
    </w:p>
    <w:p w14:paraId="713D165F">
      <w:pPr>
        <w:pStyle w:val="14"/>
        <w:keepNext w:val="0"/>
        <w:keepLines w:val="0"/>
        <w:widowControl/>
        <w:suppressLineNumbers w:val="0"/>
        <w:outlineLvl w:val="9"/>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1.1.9.5.4.4.4 </w:t>
      </w:r>
      <w:r>
        <w:rPr>
          <w:rStyle w:val="17"/>
          <w:rFonts w:hint="eastAsia" w:ascii="宋体" w:hAnsi="宋体" w:eastAsia="宋体" w:cs="宋体"/>
          <w:color w:val="auto"/>
          <w:sz w:val="28"/>
          <w:szCs w:val="28"/>
          <w:highlight w:val="none"/>
        </w:rPr>
        <w:t>隐患排查清单删除</w:t>
      </w:r>
    </w:p>
    <w:p w14:paraId="49B32E22">
      <w:pPr>
        <w:pStyle w:val="14"/>
        <w:keepNext w:val="0"/>
        <w:keepLines w:val="0"/>
        <w:widowControl/>
        <w:suppressLineNumbers w:val="0"/>
        <w:ind w:left="0" w:firstLine="48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通过选择需要删除的隐患排查清单，实现隐患排查清单的删除功能。</w:t>
      </w:r>
    </w:p>
    <w:p w14:paraId="06BED2DF">
      <w:pPr>
        <w:keepNext w:val="0"/>
        <w:keepLines w:val="0"/>
        <w:widowControl/>
        <w:suppressLineNumbers w:val="0"/>
        <w:ind w:left="0" w:firstLine="0"/>
        <w:outlineLvl w:val="9"/>
        <w:rPr>
          <w:rFonts w:hint="eastAsia" w:ascii="宋体" w:hAnsi="宋体" w:eastAsia="宋体" w:cs="宋体"/>
          <w:color w:val="auto"/>
          <w:highlight w:val="none"/>
        </w:rPr>
      </w:pPr>
      <w:r>
        <w:rPr>
          <w:rFonts w:hint="eastAsia" w:ascii="宋体" w:hAnsi="宋体" w:eastAsia="宋体" w:cs="宋体"/>
          <w:b w:val="0"/>
          <w:bCs w:val="0"/>
          <w:color w:val="auto"/>
          <w:spacing w:val="0"/>
          <w:sz w:val="28"/>
          <w:szCs w:val="28"/>
          <w:highlight w:val="none"/>
        </w:rPr>
        <w:t>1.1.9.5.4.5 </w:t>
      </w:r>
      <w:r>
        <w:rPr>
          <w:rFonts w:hint="eastAsia" w:ascii="宋体" w:hAnsi="宋体" w:eastAsia="宋体" w:cs="宋体"/>
          <w:color w:val="auto"/>
          <w:sz w:val="28"/>
          <w:szCs w:val="28"/>
          <w:highlight w:val="none"/>
        </w:rPr>
        <w:t>隐患排查流程管理</w:t>
      </w:r>
    </w:p>
    <w:p w14:paraId="29E6044F">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建立如下城市事件隐患排查治理流程，实现对隐患“上报、整改、复查”的全流程闭环管理，详细记录隐患整改的过程信息，实现复杂的隐患排查治理工作流程化、常态化和信息化。</w:t>
      </w:r>
    </w:p>
    <w:p w14:paraId="3DEFE584">
      <w:pPr>
        <w:pStyle w:val="14"/>
        <w:keepNext w:val="0"/>
        <w:keepLines w:val="0"/>
        <w:widowControl/>
        <w:suppressLineNumbers w:val="0"/>
        <w:ind w:left="0" w:firstLine="48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drawing>
          <wp:inline distT="0" distB="0" distL="114300" distR="114300">
            <wp:extent cx="5695950" cy="4572000"/>
            <wp:effectExtent l="0" t="0" r="0" b="0"/>
            <wp:docPr id="32" name="图片 50" descr="1649314564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0" descr="1649314564821.png"/>
                    <pic:cNvPicPr>
                      <a:picLocks noChangeAspect="1"/>
                    </pic:cNvPicPr>
                  </pic:nvPicPr>
                  <pic:blipFill>
                    <a:blip r:embed="rId14"/>
                    <a:stretch>
                      <a:fillRect/>
                    </a:stretch>
                  </pic:blipFill>
                  <pic:spPr>
                    <a:xfrm>
                      <a:off x="0" y="0"/>
                      <a:ext cx="5695950" cy="4572000"/>
                    </a:xfrm>
                    <a:prstGeom prst="rect">
                      <a:avLst/>
                    </a:prstGeom>
                    <a:noFill/>
                    <a:ln w="9525">
                      <a:noFill/>
                    </a:ln>
                  </pic:spPr>
                </pic:pic>
              </a:graphicData>
            </a:graphic>
          </wp:inline>
        </w:drawing>
      </w:r>
      <w:r>
        <w:rPr>
          <w:rFonts w:hint="eastAsia" w:ascii="宋体" w:hAnsi="宋体" w:eastAsia="宋体" w:cs="宋体"/>
          <w:color w:val="auto"/>
          <w:sz w:val="21"/>
          <w:szCs w:val="21"/>
          <w:highlight w:val="none"/>
        </w:rPr>
        <w:t> 城市事件隐患排查治理流程示意图</w:t>
      </w:r>
    </w:p>
    <w:p w14:paraId="10C2A41D">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1.1.9.5.4.5.1 </w:t>
      </w:r>
      <w:r>
        <w:rPr>
          <w:rStyle w:val="17"/>
          <w:rFonts w:hint="eastAsia" w:ascii="宋体" w:hAnsi="宋体" w:eastAsia="宋体" w:cs="宋体"/>
          <w:color w:val="auto"/>
          <w:sz w:val="28"/>
          <w:szCs w:val="28"/>
          <w:highlight w:val="none"/>
        </w:rPr>
        <w:t>隐患排查流程设计</w:t>
      </w:r>
    </w:p>
    <w:p w14:paraId="5840662D">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平台提供隐患排查流程设计功能，便于业务人员通过图形化组件拖拉的方式进行流程设计，同时支持关联人员、添加条件、添加子流程。</w:t>
      </w:r>
    </w:p>
    <w:p w14:paraId="797373EB">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1.1.9.5.4.5.2 </w:t>
      </w:r>
      <w:r>
        <w:rPr>
          <w:rStyle w:val="17"/>
          <w:rFonts w:hint="eastAsia" w:ascii="宋体" w:hAnsi="宋体" w:eastAsia="宋体" w:cs="宋体"/>
          <w:color w:val="auto"/>
          <w:sz w:val="28"/>
          <w:szCs w:val="28"/>
          <w:highlight w:val="none"/>
        </w:rPr>
        <w:t>隐患排查流程跟踪</w:t>
      </w:r>
    </w:p>
    <w:p w14:paraId="1FF65CE3">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所有涉及到流程的相关人员包括流程发起人，办理人，流程跟踪人员都可以通过图形化的方式查询流程的进展情况，随时了解流程动态并可以通过流程详细记录了解流程整个办理过程与签收情况，针对流程查询与实时跟踪。</w:t>
      </w:r>
    </w:p>
    <w:p w14:paraId="7534D0B9">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1.1.9.5.4.5.3 </w:t>
      </w:r>
      <w:r>
        <w:rPr>
          <w:rStyle w:val="17"/>
          <w:rFonts w:hint="eastAsia" w:ascii="宋体" w:hAnsi="宋体" w:eastAsia="宋体" w:cs="宋体"/>
          <w:color w:val="auto"/>
          <w:sz w:val="28"/>
          <w:szCs w:val="28"/>
          <w:highlight w:val="none"/>
        </w:rPr>
        <w:t>隐患排查流程监控</w:t>
      </w:r>
    </w:p>
    <w:p w14:paraId="12DCD888">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平台面向不同流程的管理员以及各级领导提供了丰富的流程查询监控功能，可以按流程、按表单任何元素组合查询并可以导出查询结果到excel。</w:t>
      </w:r>
    </w:p>
    <w:p w14:paraId="294F55DD">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pacing w:val="0"/>
          <w:sz w:val="28"/>
          <w:szCs w:val="28"/>
          <w:highlight w:val="none"/>
        </w:rPr>
        <w:t>1.1.9.5.4.5.4 </w:t>
      </w:r>
      <w:r>
        <w:rPr>
          <w:rStyle w:val="17"/>
          <w:rFonts w:hint="eastAsia" w:ascii="宋体" w:hAnsi="宋体" w:eastAsia="宋体" w:cs="宋体"/>
          <w:color w:val="auto"/>
          <w:sz w:val="28"/>
          <w:szCs w:val="28"/>
          <w:highlight w:val="none"/>
        </w:rPr>
        <w:t>隐患排查流程图视</w:t>
      </w:r>
    </w:p>
    <w:p w14:paraId="069394E4">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在流程办理的各个环节，系统都提供图形化的视图。图形为流程设计时流程管理员定义的模型。</w:t>
      </w:r>
    </w:p>
    <w:p w14:paraId="4CC00ACE">
      <w:pPr>
        <w:pStyle w:val="14"/>
        <w:keepNext w:val="0"/>
        <w:keepLines w:val="0"/>
        <w:widowControl/>
        <w:suppressLineNumbers w:val="0"/>
        <w:ind w:left="0" w:firstLine="0"/>
        <w:outlineLvl w:val="0"/>
        <w:rPr>
          <w:rFonts w:hint="eastAsia" w:ascii="宋体" w:hAnsi="宋体" w:eastAsia="宋体" w:cs="宋体"/>
          <w:b w:val="0"/>
          <w:bCs w:val="0"/>
          <w:color w:val="auto"/>
          <w:spacing w:val="0"/>
          <w:sz w:val="31"/>
          <w:szCs w:val="31"/>
          <w:highlight w:val="none"/>
        </w:rPr>
      </w:pPr>
      <w:r>
        <w:rPr>
          <w:rFonts w:hint="eastAsia" w:ascii="宋体" w:hAnsi="宋体" w:eastAsia="宋体" w:cs="宋体"/>
          <w:b w:val="0"/>
          <w:bCs w:val="0"/>
          <w:color w:val="auto"/>
          <w:spacing w:val="0"/>
          <w:sz w:val="31"/>
          <w:szCs w:val="31"/>
          <w:highlight w:val="none"/>
          <w:lang w:val="en-US" w:eastAsia="zh-CN"/>
        </w:rPr>
        <w:t>1.1.10</w:t>
      </w:r>
      <w:r>
        <w:rPr>
          <w:rFonts w:hint="eastAsia" w:ascii="宋体" w:hAnsi="宋体" w:eastAsia="宋体" w:cs="宋体"/>
          <w:b w:val="0"/>
          <w:bCs w:val="0"/>
          <w:color w:val="auto"/>
          <w:spacing w:val="0"/>
          <w:sz w:val="31"/>
          <w:szCs w:val="31"/>
          <w:highlight w:val="none"/>
        </w:rPr>
        <w:t>业务指导系统</w:t>
      </w:r>
    </w:p>
    <w:p w14:paraId="6C2E64D8">
      <w:pPr>
        <w:ind w:firstLine="480"/>
        <w:rPr>
          <w:color w:val="auto"/>
          <w:highlight w:val="none"/>
        </w:rPr>
      </w:pPr>
      <w:r>
        <w:rPr>
          <w:rFonts w:hint="eastAsia"/>
          <w:color w:val="auto"/>
          <w:highlight w:val="none"/>
        </w:rPr>
        <w:t>业务指导系统包括政策法规、行业动态、经验交流等功能模块，福州市本级按权限共用国家平台的业务指导系统，通过国家平台统一分配账号使用权限，将国家平台业务指导系统以单点登陆的方式集成到福州市城市运行管理服务平台。</w:t>
      </w:r>
    </w:p>
    <w:p w14:paraId="72F40F03">
      <w:pPr>
        <w:pStyle w:val="14"/>
        <w:numPr>
          <w:ilvl w:val="0"/>
          <w:numId w:val="0"/>
        </w:numPr>
        <w:ind w:leftChars="0"/>
        <w:outlineLvl w:val="0"/>
        <w:rPr>
          <w:rFonts w:hint="eastAsia" w:ascii="宋体" w:hAnsi="宋体" w:eastAsia="宋体" w:cs="宋体"/>
          <w:color w:val="auto"/>
          <w:sz w:val="31"/>
          <w:szCs w:val="31"/>
          <w:highlight w:val="none"/>
        </w:rPr>
      </w:pPr>
      <w:r>
        <w:rPr>
          <w:rFonts w:hint="eastAsia" w:ascii="宋体" w:hAnsi="宋体" w:eastAsia="宋体" w:cs="宋体"/>
          <w:color w:val="auto"/>
          <w:sz w:val="31"/>
          <w:szCs w:val="31"/>
          <w:highlight w:val="none"/>
          <w:lang w:val="en-US" w:eastAsia="zh-CN"/>
        </w:rPr>
        <w:t>1.1.11</w:t>
      </w:r>
      <w:r>
        <w:rPr>
          <w:rFonts w:hint="eastAsia" w:ascii="宋体" w:hAnsi="宋体" w:eastAsia="宋体" w:cs="宋体"/>
          <w:color w:val="auto"/>
          <w:sz w:val="31"/>
          <w:szCs w:val="31"/>
          <w:highlight w:val="none"/>
        </w:rPr>
        <w:t>行业应用系统</w:t>
      </w:r>
    </w:p>
    <w:p w14:paraId="48329B91">
      <w:pPr>
        <w:ind w:firstLine="480"/>
        <w:rPr>
          <w:color w:val="auto"/>
          <w:highlight w:val="none"/>
        </w:rPr>
      </w:pPr>
      <w:r>
        <w:rPr>
          <w:rFonts w:hint="eastAsia"/>
          <w:color w:val="auto"/>
          <w:highlight w:val="none"/>
        </w:rPr>
        <w:t>行业应用系统主要是围绕城市管理主要职责，建设市政公用、市容环卫、园林绿化和城市管理执法等行业应用系统，支撑城市管理部门行业监管工作需要。对于现有的城市管理行业应用系统统一集成整合到福州市城市运行管理服务平台。</w:t>
      </w:r>
    </w:p>
    <w:p w14:paraId="62E29403">
      <w:pPr>
        <w:ind w:firstLine="480"/>
        <w:rPr>
          <w:color w:val="auto"/>
          <w:highlight w:val="none"/>
        </w:rPr>
      </w:pPr>
      <w:r>
        <w:rPr>
          <w:rFonts w:hint="eastAsia"/>
          <w:color w:val="auto"/>
          <w:highlight w:val="none"/>
        </w:rPr>
        <w:t>本方案通过对接整合现有市政公用、市容环卫、园林绿化、城市管理执法系统，实现支撑城市管理部门行业监管工作需要。</w:t>
      </w:r>
    </w:p>
    <w:p w14:paraId="470550C9">
      <w:pPr>
        <w:pStyle w:val="6"/>
        <w:numPr>
          <w:ilvl w:val="0"/>
          <w:numId w:val="0"/>
        </w:numPr>
        <w:tabs>
          <w:tab w:val="left" w:pos="0"/>
        </w:tabs>
        <w:ind w:leftChars="0"/>
        <w:outlineLvl w:val="3"/>
        <w:rPr>
          <w:color w:val="auto"/>
          <w:highlight w:val="none"/>
        </w:rPr>
      </w:pPr>
      <w:r>
        <w:rPr>
          <w:rFonts w:hint="eastAsia"/>
          <w:color w:val="auto"/>
          <w:highlight w:val="none"/>
          <w:lang w:val="en-US" w:eastAsia="zh-CN"/>
        </w:rPr>
        <w:t>1.1.11.1</w:t>
      </w:r>
      <w:r>
        <w:rPr>
          <w:rFonts w:hint="eastAsia"/>
          <w:color w:val="auto"/>
          <w:highlight w:val="none"/>
        </w:rPr>
        <w:t>市政公用</w:t>
      </w:r>
    </w:p>
    <w:p w14:paraId="78B5832C">
      <w:pPr>
        <w:ind w:firstLine="480"/>
        <w:rPr>
          <w:color w:val="auto"/>
          <w:highlight w:val="none"/>
        </w:rPr>
      </w:pPr>
      <w:r>
        <w:rPr>
          <w:rFonts w:hint="eastAsia"/>
          <w:color w:val="auto"/>
          <w:highlight w:val="none"/>
        </w:rPr>
        <w:t>通过对接整合现有福州市市政工程管理处现有的相关信息化系统，实现支撑福州市市政公用行业监管工作需要。</w:t>
      </w:r>
    </w:p>
    <w:p w14:paraId="77EF2062">
      <w:pPr>
        <w:ind w:firstLine="480"/>
        <w:rPr>
          <w:color w:val="auto"/>
          <w:highlight w:val="none"/>
        </w:rPr>
      </w:pPr>
      <w:r>
        <w:rPr>
          <w:rFonts w:hint="eastAsia"/>
          <w:color w:val="auto"/>
          <w:highlight w:val="none"/>
        </w:rPr>
        <w:t>福州市市政工程管理处相关信息化系统主要如下：</w:t>
      </w:r>
    </w:p>
    <w:p w14:paraId="0A9DBF60">
      <w:pPr>
        <w:ind w:firstLine="480"/>
        <w:rPr>
          <w:color w:val="auto"/>
          <w:highlight w:val="none"/>
        </w:rPr>
      </w:pPr>
      <w:r>
        <w:rPr>
          <w:rFonts w:hint="eastAsia"/>
          <w:color w:val="auto"/>
          <w:highlight w:val="none"/>
        </w:rPr>
        <w:t xml:space="preserve">（1）福州市政设施维护工程管理系统 </w:t>
      </w:r>
    </w:p>
    <w:p w14:paraId="0358F3FE">
      <w:pPr>
        <w:ind w:firstLine="480"/>
        <w:rPr>
          <w:color w:val="auto"/>
          <w:highlight w:val="none"/>
        </w:rPr>
      </w:pPr>
      <w:r>
        <w:rPr>
          <w:rFonts w:hint="eastAsia"/>
          <w:color w:val="auto"/>
          <w:highlight w:val="none"/>
        </w:rPr>
        <w:t xml:space="preserve">（2）福州市政工程管理处办公管理系统 </w:t>
      </w:r>
    </w:p>
    <w:p w14:paraId="2B2C1608">
      <w:pPr>
        <w:ind w:firstLine="480"/>
        <w:rPr>
          <w:color w:val="auto"/>
          <w:highlight w:val="none"/>
        </w:rPr>
      </w:pPr>
      <w:r>
        <w:rPr>
          <w:rFonts w:hint="eastAsia"/>
          <w:color w:val="auto"/>
          <w:highlight w:val="none"/>
        </w:rPr>
        <w:t xml:space="preserve">（3）福州市道路养护管理系统 </w:t>
      </w:r>
    </w:p>
    <w:p w14:paraId="75B1FB75">
      <w:pPr>
        <w:ind w:firstLine="480"/>
        <w:rPr>
          <w:color w:val="auto"/>
          <w:highlight w:val="none"/>
        </w:rPr>
      </w:pPr>
      <w:r>
        <w:rPr>
          <w:rFonts w:hint="eastAsia"/>
          <w:color w:val="auto"/>
          <w:highlight w:val="none"/>
        </w:rPr>
        <w:t xml:space="preserve">（4）福州市桥梁养护管理系统 </w:t>
      </w:r>
    </w:p>
    <w:p w14:paraId="24FD8023">
      <w:pPr>
        <w:ind w:firstLine="480"/>
        <w:rPr>
          <w:color w:val="auto"/>
          <w:highlight w:val="none"/>
        </w:rPr>
      </w:pPr>
      <w:r>
        <w:rPr>
          <w:rFonts w:hint="eastAsia"/>
          <w:color w:val="auto"/>
          <w:highlight w:val="none"/>
        </w:rPr>
        <w:t>（5）市政设施监控管理系统</w:t>
      </w:r>
    </w:p>
    <w:p w14:paraId="0CA3E9B8">
      <w:pPr>
        <w:ind w:firstLine="480"/>
        <w:rPr>
          <w:color w:val="auto"/>
          <w:highlight w:val="none"/>
        </w:rPr>
      </w:pPr>
      <w:r>
        <w:rPr>
          <w:rFonts w:hint="eastAsia"/>
          <w:color w:val="auto"/>
          <w:highlight w:val="none"/>
        </w:rPr>
        <w:t>通过这些信息化成果实现了设施巡查、养护等设施维护全流程管理，有力的提升了 福州市政设施管理的水平和能力。</w:t>
      </w:r>
    </w:p>
    <w:p w14:paraId="77651353">
      <w:pPr>
        <w:pStyle w:val="6"/>
        <w:numPr>
          <w:ilvl w:val="0"/>
          <w:numId w:val="0"/>
        </w:numPr>
        <w:tabs>
          <w:tab w:val="left" w:pos="0"/>
        </w:tabs>
        <w:ind w:leftChars="0"/>
        <w:outlineLvl w:val="3"/>
        <w:rPr>
          <w:color w:val="auto"/>
          <w:highlight w:val="none"/>
        </w:rPr>
      </w:pPr>
      <w:r>
        <w:rPr>
          <w:rFonts w:hint="eastAsia"/>
          <w:color w:val="auto"/>
          <w:highlight w:val="none"/>
          <w:lang w:val="en-US" w:eastAsia="zh-CN"/>
        </w:rPr>
        <w:t>1.1.11.2</w:t>
      </w:r>
      <w:r>
        <w:rPr>
          <w:rFonts w:hint="eastAsia"/>
          <w:color w:val="auto"/>
          <w:highlight w:val="none"/>
        </w:rPr>
        <w:t>市容环卫</w:t>
      </w:r>
    </w:p>
    <w:p w14:paraId="4170B7BA">
      <w:pPr>
        <w:ind w:firstLine="480"/>
        <w:rPr>
          <w:color w:val="auto"/>
          <w:highlight w:val="none"/>
        </w:rPr>
      </w:pPr>
      <w:r>
        <w:rPr>
          <w:rFonts w:hint="eastAsia"/>
          <w:color w:val="auto"/>
          <w:highlight w:val="none"/>
        </w:rPr>
        <w:t>通过对接整合现有福州市市容环卫中心信息化应用系统，实现支撑福州市容环卫行业监管工作需要。</w:t>
      </w:r>
    </w:p>
    <w:p w14:paraId="51C84994">
      <w:pPr>
        <w:ind w:firstLine="480"/>
        <w:rPr>
          <w:color w:val="auto"/>
          <w:highlight w:val="none"/>
        </w:rPr>
      </w:pPr>
      <w:r>
        <w:rPr>
          <w:rFonts w:hint="eastAsia"/>
          <w:color w:val="auto"/>
          <w:highlight w:val="none"/>
        </w:rPr>
        <w:t>福州市市容环卫中心信息化应用系统主要有数字红庙岭精细化管理及第三方监管服务平台和正在推进的福州市智慧化环卫与全过程环卫监管系统。</w:t>
      </w:r>
    </w:p>
    <w:p w14:paraId="76BD0C9C">
      <w:pPr>
        <w:pStyle w:val="19"/>
        <w:ind w:firstLine="480"/>
        <w:rPr>
          <w:color w:val="auto"/>
          <w:highlight w:val="none"/>
        </w:rPr>
      </w:pPr>
      <w:r>
        <w:rPr>
          <w:rFonts w:hint="eastAsia"/>
          <w:color w:val="auto"/>
          <w:highlight w:val="none"/>
        </w:rPr>
        <w:t>1、数字红庙岭精细化管理及第三方监管服务平台对接</w:t>
      </w:r>
    </w:p>
    <w:p w14:paraId="7030F1E3">
      <w:pPr>
        <w:ind w:firstLine="480"/>
        <w:rPr>
          <w:color w:val="auto"/>
          <w:highlight w:val="none"/>
        </w:rPr>
      </w:pPr>
      <w:r>
        <w:rPr>
          <w:rFonts w:hint="eastAsia"/>
          <w:color w:val="auto"/>
          <w:highlight w:val="none"/>
        </w:rPr>
        <w:t>“数字红庙岭精细化管理及第三方监管服务平台”主要围绕红庙岭园区综合处理场的垃圾焚烧厂和垃圾填埋场等进行展开，该系统平台针对园区“七个一”的建设理念并结合园区现状及未来发展需求，从以下六个专题开展建设内容：</w:t>
      </w:r>
    </w:p>
    <w:p w14:paraId="795B6D62">
      <w:pPr>
        <w:ind w:firstLine="480"/>
        <w:rPr>
          <w:color w:val="auto"/>
          <w:highlight w:val="none"/>
        </w:rPr>
      </w:pPr>
      <w:r>
        <w:rPr>
          <w:rFonts w:hint="eastAsia"/>
          <w:color w:val="auto"/>
          <w:highlight w:val="none"/>
        </w:rPr>
        <w:t>1）园区安全。园区的安全是大安全观念下的全方位精细化、数字化的安全。组建独立的物联网、互联网信息生态圈，并布署防火墙、数据库审计、防病毒网关、入侵检测系统、漏洞扫描等系统；全景监控系统：组建车辆和人脸识别、园区高空瞭望视频监控等设施达到对园区的大范围监控；园区安保队伍：组建24小时轮班巡查小组，包括终端管理监控和园区巡逻人员，保障生产生活安全。</w:t>
      </w:r>
    </w:p>
    <w:p w14:paraId="40840227">
      <w:pPr>
        <w:ind w:firstLine="480"/>
        <w:rPr>
          <w:color w:val="auto"/>
          <w:highlight w:val="none"/>
        </w:rPr>
      </w:pPr>
      <w:r>
        <w:rPr>
          <w:rFonts w:hint="eastAsia"/>
          <w:color w:val="auto"/>
          <w:highlight w:val="none"/>
        </w:rPr>
        <w:t>2）运输管控。建立运输管控系统，通过车载定位终端对进出红庙岭园区的垃圾运输车辆实时定位、监控，并通过GPS、北斗提供的精确的数字地图、专业的交通地图等服务,随时了解车辆的时空分布、收运路线,进而掌握车辆的作业状态。建立车辆调度系统，根据各项目的垃圾实时处理量、垃圾库存量及地磅记录情况，对所有进场垃圾运输车进行调度，安排各种类别的垃圾运输车精准地达到相应的处理设施，调度各处理设施内部的物料转运和协同处理，确保入园垃圾精准处理，以及物料和生产用品能高效无缝的配置，开创园区精细化管理的新模式。</w:t>
      </w:r>
    </w:p>
    <w:p w14:paraId="48BE95F5">
      <w:pPr>
        <w:ind w:firstLine="480"/>
        <w:rPr>
          <w:color w:val="auto"/>
          <w:highlight w:val="none"/>
        </w:rPr>
      </w:pPr>
      <w:r>
        <w:rPr>
          <w:rFonts w:hint="eastAsia"/>
          <w:color w:val="auto"/>
          <w:highlight w:val="none"/>
        </w:rPr>
        <w:t>3）环保教育。环保宣教基地建筑面积约5000平方米，层高5米。采用5G、物联网及区块链等技术融合园区内的实时监管基础数据、三废排放等在线监测数据和环保云平台提供的实时环保数据搭建环保宣传教育体系。建设生态环保VR体验，向市民直观展示垃圾减量化、资源化、无害化处理的全过程，并同通过AR系统沉浸式体验让市民充分感受垃圾处理环保的全过程，化解“邻避效应”。</w:t>
      </w:r>
    </w:p>
    <w:p w14:paraId="753CCB59">
      <w:pPr>
        <w:ind w:firstLine="480"/>
        <w:rPr>
          <w:color w:val="auto"/>
          <w:highlight w:val="none"/>
        </w:rPr>
      </w:pPr>
      <w:r>
        <w:rPr>
          <w:rFonts w:hint="eastAsia"/>
          <w:color w:val="auto"/>
          <w:highlight w:val="none"/>
        </w:rPr>
        <w:t>4）基础网络。建设“5G”园区专用网络，保障园区物联网、互联网及时性、高效性的大规模数据传输。利用各厂生产工艺流程的传感器监测的数据组建工业生产物联网，借助市政府的支撑平台网络形成可视化操作，既满足现有的智慧园区的需求又能应对将来的新业务和新应用。</w:t>
      </w:r>
    </w:p>
    <w:p w14:paraId="2343FFC6">
      <w:pPr>
        <w:ind w:firstLine="480"/>
        <w:rPr>
          <w:color w:val="auto"/>
          <w:highlight w:val="none"/>
        </w:rPr>
      </w:pPr>
      <w:r>
        <w:rPr>
          <w:rFonts w:hint="eastAsia"/>
          <w:color w:val="auto"/>
          <w:highlight w:val="none"/>
        </w:rPr>
        <w:t>5）数据监测。打通园区内各厂区、各设施的监测物联数据的通道，引入园区内的实时监管基础数据、三废排放等在线监测数据和环保云平台提供的实时环保数据，并通过遥感技术、无人机、机器人等智能识别的方式进行三维立体的监测，构建的“智能”测控网络，实现对环境安全精细化适时可控的管理。</w:t>
      </w:r>
    </w:p>
    <w:p w14:paraId="4E32AF71">
      <w:pPr>
        <w:ind w:firstLine="480"/>
        <w:rPr>
          <w:color w:val="auto"/>
          <w:highlight w:val="none"/>
        </w:rPr>
      </w:pPr>
      <w:r>
        <w:rPr>
          <w:rFonts w:hint="eastAsia"/>
          <w:color w:val="auto"/>
          <w:highlight w:val="none"/>
        </w:rPr>
        <w:t>6）监管队伍。政府通过购买服务，设立专业团队驻厂监管、综合专家技术支持、权威监测监管队伍三位一体的第三方监管服务团队，在搭建的信息化智能监管平台的基础上，实现现行行政管理模式向数字化管理方式转轨，实现网上办公系统、调度系统的互联互通，让园区企业管理人员、政府管理人员可以随时随地掌握园区的环保排放情况并进行准确考核，形成覆盖全园区、全过程、全方位的日常监管态势。</w:t>
      </w:r>
    </w:p>
    <w:p w14:paraId="422EA08F">
      <w:pPr>
        <w:pStyle w:val="19"/>
        <w:ind w:firstLine="480"/>
        <w:rPr>
          <w:color w:val="auto"/>
          <w:highlight w:val="none"/>
        </w:rPr>
      </w:pPr>
      <w:r>
        <w:rPr>
          <w:rFonts w:hint="eastAsia"/>
          <w:color w:val="auto"/>
          <w:highlight w:val="none"/>
        </w:rPr>
        <w:t>2、</w:t>
      </w:r>
      <w:r>
        <w:rPr>
          <w:color w:val="auto"/>
          <w:highlight w:val="none"/>
        </w:rPr>
        <w:t>后续对接福州市</w:t>
      </w:r>
      <w:r>
        <w:rPr>
          <w:rFonts w:hint="eastAsia"/>
          <w:color w:val="auto"/>
          <w:highlight w:val="none"/>
        </w:rPr>
        <w:t>智慧化环卫与全过程环卫监管系统</w:t>
      </w:r>
    </w:p>
    <w:p w14:paraId="643E6132">
      <w:pPr>
        <w:ind w:firstLine="480"/>
        <w:rPr>
          <w:color w:val="auto"/>
          <w:highlight w:val="none"/>
        </w:rPr>
      </w:pPr>
      <w:r>
        <w:rPr>
          <w:rFonts w:hint="eastAsia"/>
          <w:color w:val="auto"/>
          <w:highlight w:val="none"/>
        </w:rPr>
        <w:t>目前福州市智慧环卫环卫与全过程环卫监管系统正在推进中，福州市城市运行管理服务平台将预留接口，实现与该平台的数据对接。</w:t>
      </w:r>
    </w:p>
    <w:p w14:paraId="258CB0F3">
      <w:pPr>
        <w:pStyle w:val="6"/>
        <w:numPr>
          <w:ilvl w:val="0"/>
          <w:numId w:val="0"/>
        </w:numPr>
        <w:tabs>
          <w:tab w:val="left" w:pos="0"/>
        </w:tabs>
        <w:ind w:leftChars="0"/>
        <w:outlineLvl w:val="3"/>
        <w:rPr>
          <w:color w:val="auto"/>
          <w:highlight w:val="none"/>
        </w:rPr>
      </w:pPr>
      <w:r>
        <w:rPr>
          <w:rFonts w:hint="eastAsia"/>
          <w:color w:val="auto"/>
          <w:highlight w:val="none"/>
          <w:lang w:val="en-US" w:eastAsia="zh-CN"/>
        </w:rPr>
        <w:t>1.1.11.3</w:t>
      </w:r>
      <w:r>
        <w:rPr>
          <w:rFonts w:hint="eastAsia"/>
          <w:color w:val="auto"/>
          <w:highlight w:val="none"/>
        </w:rPr>
        <w:t>园林绿化</w:t>
      </w:r>
    </w:p>
    <w:p w14:paraId="1E88D89A">
      <w:pPr>
        <w:ind w:firstLine="480"/>
        <w:rPr>
          <w:color w:val="auto"/>
          <w:highlight w:val="none"/>
        </w:rPr>
      </w:pPr>
      <w:r>
        <w:rPr>
          <w:rFonts w:hint="eastAsia"/>
          <w:color w:val="auto"/>
          <w:highlight w:val="none"/>
        </w:rPr>
        <w:t>通过对接整合现有福州市市园林中心信息化系统，实现支撑福州市园林绿化行业监管工作需要。目前市园林中心主要建设有福州市数字园林管理系统。</w:t>
      </w:r>
    </w:p>
    <w:p w14:paraId="7D29E957">
      <w:pPr>
        <w:ind w:firstLine="480"/>
        <w:rPr>
          <w:rFonts w:cs="宋体" w:asciiTheme="majorEastAsia" w:hAnsiTheme="majorEastAsia" w:eastAsiaTheme="majorEastAsia"/>
          <w:color w:val="auto"/>
          <w:highlight w:val="none"/>
        </w:rPr>
      </w:pPr>
      <w:r>
        <w:rPr>
          <w:rFonts w:hint="eastAsia" w:cs="宋体" w:asciiTheme="majorEastAsia" w:hAnsiTheme="majorEastAsia" w:eastAsiaTheme="majorEastAsia"/>
          <w:color w:val="auto"/>
          <w:highlight w:val="none"/>
        </w:rPr>
        <w:t>福州市数字园林管理系统是以福州市园林中心的业务管理信息化需求为出发点，在充分利用</w:t>
      </w:r>
      <w:r>
        <w:rPr>
          <w:rFonts w:cs="宋体" w:asciiTheme="majorEastAsia" w:hAnsiTheme="majorEastAsia" w:eastAsiaTheme="majorEastAsia"/>
          <w:color w:val="auto"/>
          <w:highlight w:val="none"/>
        </w:rPr>
        <w:t>“</w:t>
      </w:r>
      <w:r>
        <w:rPr>
          <w:rFonts w:hint="eastAsia" w:cs="宋体" w:asciiTheme="majorEastAsia" w:hAnsiTheme="majorEastAsia" w:eastAsiaTheme="majorEastAsia"/>
          <w:color w:val="auto"/>
          <w:highlight w:val="none"/>
        </w:rPr>
        <w:t>数字福州</w:t>
      </w:r>
      <w:r>
        <w:rPr>
          <w:rFonts w:cs="宋体" w:asciiTheme="majorEastAsia" w:hAnsiTheme="majorEastAsia" w:eastAsiaTheme="majorEastAsia"/>
          <w:color w:val="auto"/>
          <w:highlight w:val="none"/>
        </w:rPr>
        <w:t>”</w:t>
      </w:r>
      <w:r>
        <w:rPr>
          <w:rFonts w:hint="eastAsia" w:cs="宋体" w:asciiTheme="majorEastAsia" w:hAnsiTheme="majorEastAsia" w:eastAsiaTheme="majorEastAsia"/>
          <w:color w:val="auto"/>
          <w:highlight w:val="none"/>
        </w:rPr>
        <w:t>空间数据成果的基础上，继承已有信息化建设成果，整合优势资源，建立福州市园林绿化综合管理数据库框架，开发建设具备园林绿化数据的查询、统计、分析、成果展示，满足福州市园林中心在绿地规划、绿化建设、绿化养护、树木移植、公园、景区（含绿道）管理、园林绿化企业综合诚信评价、绿化展示等方面业务管理需求的地理信息系统，全面提升市园林绿化的综合管理水平。按照</w:t>
      </w:r>
      <w:r>
        <w:rPr>
          <w:rFonts w:cs="宋体" w:asciiTheme="majorEastAsia" w:hAnsiTheme="majorEastAsia" w:eastAsiaTheme="majorEastAsia"/>
          <w:color w:val="auto"/>
          <w:highlight w:val="none"/>
        </w:rPr>
        <w:t>“</w:t>
      </w:r>
      <w:r>
        <w:rPr>
          <w:rFonts w:hint="eastAsia" w:cs="宋体" w:asciiTheme="majorEastAsia" w:hAnsiTheme="majorEastAsia" w:eastAsiaTheme="majorEastAsia"/>
          <w:color w:val="auto"/>
          <w:highlight w:val="none"/>
        </w:rPr>
        <w:t>统一规划、分步实施</w:t>
      </w:r>
      <w:r>
        <w:rPr>
          <w:rFonts w:cs="宋体" w:asciiTheme="majorEastAsia" w:hAnsiTheme="majorEastAsia" w:eastAsiaTheme="majorEastAsia"/>
          <w:color w:val="auto"/>
          <w:highlight w:val="none"/>
        </w:rPr>
        <w:t>”</w:t>
      </w:r>
      <w:r>
        <w:rPr>
          <w:rFonts w:hint="eastAsia" w:cs="宋体" w:asciiTheme="majorEastAsia" w:hAnsiTheme="majorEastAsia" w:eastAsiaTheme="majorEastAsia"/>
          <w:color w:val="auto"/>
          <w:highlight w:val="none"/>
        </w:rPr>
        <w:t>总体设计思路，数字园林管理系统初步解决市园林中心在绿地规划、公园景区管理等业务信息的电子化、汇总、查询、统计和园林绿化空间数据的综合展示的问题。</w:t>
      </w:r>
    </w:p>
    <w:p w14:paraId="463B3C3E">
      <w:pPr>
        <w:ind w:firstLine="480"/>
        <w:rPr>
          <w:rFonts w:cs="宋体" w:asciiTheme="majorEastAsia" w:hAnsiTheme="majorEastAsia" w:eastAsiaTheme="majorEastAsia"/>
          <w:color w:val="auto"/>
          <w:highlight w:val="none"/>
        </w:rPr>
      </w:pPr>
      <w:r>
        <w:rPr>
          <w:rFonts w:hint="eastAsia" w:cs="宋体" w:asciiTheme="majorEastAsia" w:hAnsiTheme="majorEastAsia" w:eastAsiaTheme="majorEastAsia"/>
          <w:color w:val="auto"/>
          <w:highlight w:val="none"/>
        </w:rPr>
        <w:t>目前福州市数字园林管理系统各子系统均正常运行。</w:t>
      </w:r>
    </w:p>
    <w:p w14:paraId="1A5ABC04">
      <w:pPr>
        <w:ind w:firstLine="480"/>
        <w:rPr>
          <w:color w:val="auto"/>
          <w:highlight w:val="none"/>
        </w:rPr>
      </w:pPr>
    </w:p>
    <w:p w14:paraId="4C105F28">
      <w:pPr>
        <w:pStyle w:val="6"/>
        <w:numPr>
          <w:ilvl w:val="0"/>
          <w:numId w:val="0"/>
        </w:numPr>
        <w:tabs>
          <w:tab w:val="left" w:pos="0"/>
        </w:tabs>
        <w:ind w:leftChars="0"/>
        <w:outlineLvl w:val="3"/>
        <w:rPr>
          <w:color w:val="auto"/>
          <w:highlight w:val="none"/>
        </w:rPr>
      </w:pPr>
      <w:r>
        <w:rPr>
          <w:rFonts w:hint="eastAsia"/>
          <w:color w:val="auto"/>
          <w:highlight w:val="none"/>
          <w:lang w:val="en-US" w:eastAsia="zh-CN"/>
        </w:rPr>
        <w:t>1.1.11.4</w:t>
      </w:r>
      <w:r>
        <w:rPr>
          <w:rFonts w:hint="eastAsia"/>
          <w:color w:val="auto"/>
          <w:highlight w:val="none"/>
        </w:rPr>
        <w:t>城市管理执法</w:t>
      </w:r>
    </w:p>
    <w:p w14:paraId="60360302">
      <w:pPr>
        <w:ind w:firstLine="480"/>
        <w:rPr>
          <w:color w:val="auto"/>
          <w:highlight w:val="none"/>
        </w:rPr>
      </w:pPr>
      <w:r>
        <w:rPr>
          <w:rFonts w:hint="eastAsia"/>
          <w:color w:val="auto"/>
          <w:highlight w:val="none"/>
        </w:rPr>
        <w:t>通过利用整合现有福州市城市管理综合行政执法支队现有信息化系统，实现支撑福州市城市管理执法工作需要。</w:t>
      </w:r>
    </w:p>
    <w:p w14:paraId="17FB1F29">
      <w:pPr>
        <w:ind w:firstLine="480"/>
        <w:rPr>
          <w:color w:val="auto"/>
          <w:highlight w:val="none"/>
        </w:rPr>
      </w:pPr>
      <w:r>
        <w:rPr>
          <w:rFonts w:hint="eastAsia"/>
          <w:color w:val="auto"/>
          <w:highlight w:val="none"/>
        </w:rPr>
        <w:t>目前福州市城管委城市管理综合行政执法支队主要的信息化系统有福州市行政处罚业务办公系统、市公共信用信息平台、福州市 12345 便民服务平台、福州市网格化平台、福州市“两违”综合监管平台和渣土车管理系统等。</w:t>
      </w:r>
    </w:p>
    <w:p w14:paraId="4276F1CA">
      <w:pPr>
        <w:pStyle w:val="14"/>
        <w:keepNext w:val="0"/>
        <w:keepLines w:val="0"/>
        <w:widowControl/>
        <w:suppressLineNumbers w:val="0"/>
        <w:rPr>
          <w:rFonts w:hint="eastAsia" w:ascii="宋体" w:hAnsi="宋体" w:eastAsia="宋体" w:cs="宋体"/>
          <w:color w:val="auto"/>
          <w:highlight w:val="none"/>
        </w:rPr>
      </w:pPr>
    </w:p>
    <w:p w14:paraId="420A07A7">
      <w:pPr>
        <w:pStyle w:val="14"/>
        <w:keepNext w:val="0"/>
        <w:keepLines w:val="0"/>
        <w:widowControl/>
        <w:suppressLineNumbers w:val="0"/>
        <w:spacing w:before="75" w:beforeAutospacing="0" w:after="75" w:afterAutospacing="0"/>
        <w:ind w:left="0" w:right="0" w:firstLine="0"/>
        <w:outlineLvl w:val="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三、商务条件（以“★”标示的内容为不允许负偏离的实质性要求）</w:t>
      </w:r>
    </w:p>
    <w:p w14:paraId="469037C6">
      <w:pPr>
        <w:keepNext w:val="0"/>
        <w:keepLines w:val="0"/>
        <w:widowControl/>
        <w:suppressLineNumbers w:val="0"/>
        <w:jc w:val="left"/>
        <w:rPr>
          <w:rFonts w:hint="eastAsia" w:ascii="宋体" w:hAnsi="宋体" w:eastAsia="宋体" w:cs="宋体"/>
          <w:color w:val="auto"/>
          <w:highlight w:val="none"/>
        </w:rPr>
      </w:pPr>
      <w:r>
        <w:rPr>
          <w:rStyle w:val="17"/>
          <w:rFonts w:hint="eastAsia" w:ascii="宋体" w:hAnsi="宋体" w:eastAsia="宋体" w:cs="宋体"/>
          <w:color w:val="auto"/>
          <w:kern w:val="0"/>
          <w:sz w:val="24"/>
          <w:szCs w:val="24"/>
          <w:highlight w:val="none"/>
          <w:lang w:val="en-US" w:eastAsia="zh-CN" w:bidi="ar"/>
        </w:rPr>
        <w:t>包：1</w:t>
      </w:r>
      <w:r>
        <w:rPr>
          <w:rStyle w:val="17"/>
          <w:rFonts w:hint="eastAsia" w:ascii="宋体" w:hAnsi="宋体" w:eastAsia="宋体" w:cs="宋体"/>
          <w:color w:val="auto"/>
          <w:kern w:val="0"/>
          <w:sz w:val="24"/>
          <w:szCs w:val="24"/>
          <w:highlight w:val="none"/>
          <w:lang w:val="en-US" w:eastAsia="zh-CN" w:bidi="ar"/>
        </w:rPr>
        <w:br w:type="textWrapping"/>
      </w:r>
      <w:r>
        <w:rPr>
          <w:rStyle w:val="17"/>
          <w:rFonts w:hint="eastAsia" w:ascii="宋体" w:hAnsi="宋体" w:eastAsia="宋体" w:cs="宋体"/>
          <w:color w:val="auto"/>
          <w:kern w:val="0"/>
          <w:sz w:val="24"/>
          <w:szCs w:val="24"/>
          <w:highlight w:val="none"/>
          <w:lang w:val="en-US" w:eastAsia="zh-CN" w:bidi="ar"/>
        </w:rPr>
        <w:t>1、交付地点：福建省福州市仓山区南江滨西大道199号福州规划馆4楼。</w:t>
      </w:r>
      <w:r>
        <w:rPr>
          <w:rStyle w:val="17"/>
          <w:rFonts w:hint="eastAsia" w:ascii="宋体" w:hAnsi="宋体" w:eastAsia="宋体" w:cs="宋体"/>
          <w:color w:val="auto"/>
          <w:kern w:val="0"/>
          <w:sz w:val="24"/>
          <w:szCs w:val="24"/>
          <w:highlight w:val="none"/>
          <w:lang w:val="en-US" w:eastAsia="zh-CN" w:bidi="ar"/>
        </w:rPr>
        <w:br w:type="textWrapping"/>
      </w:r>
      <w:r>
        <w:rPr>
          <w:rStyle w:val="17"/>
          <w:rFonts w:hint="eastAsia" w:ascii="宋体" w:hAnsi="宋体" w:eastAsia="宋体" w:cs="宋体"/>
          <w:color w:val="auto"/>
          <w:kern w:val="0"/>
          <w:sz w:val="24"/>
          <w:szCs w:val="24"/>
          <w:highlight w:val="none"/>
          <w:lang w:val="en-US" w:eastAsia="zh-CN" w:bidi="ar"/>
        </w:rPr>
        <w:t>2、交付时间：福州市城市综合管理服务平台项目建设期为合同签订后6个月。按建设进度由</w:t>
      </w:r>
      <w:r>
        <w:rPr>
          <w:rStyle w:val="17"/>
          <w:rFonts w:hint="eastAsia" w:ascii="宋体" w:hAnsi="宋体" w:eastAsia="宋体" w:cs="宋体"/>
          <w:color w:val="auto"/>
          <w:kern w:val="0"/>
          <w:sz w:val="24"/>
          <w:szCs w:val="24"/>
          <w:highlight w:val="none"/>
          <w:lang w:val="en-US" w:eastAsia="zh-Hans" w:bidi="ar"/>
        </w:rPr>
        <w:t>采购人</w:t>
      </w:r>
      <w:r>
        <w:rPr>
          <w:rStyle w:val="17"/>
          <w:rFonts w:hint="eastAsia" w:ascii="宋体" w:hAnsi="宋体" w:eastAsia="宋体" w:cs="宋体"/>
          <w:color w:val="auto"/>
          <w:kern w:val="0"/>
          <w:sz w:val="24"/>
          <w:szCs w:val="24"/>
          <w:highlight w:val="none"/>
          <w:lang w:val="en-US" w:eastAsia="zh-CN" w:bidi="ar"/>
        </w:rPr>
        <w:t>提出项目初验测试与终验测试，符合测试要求条件时提交初验测试报告、项目终验测试报告。</w:t>
      </w:r>
      <w:r>
        <w:rPr>
          <w:rStyle w:val="17"/>
          <w:rFonts w:hint="eastAsia" w:ascii="宋体" w:hAnsi="宋体" w:eastAsia="宋体" w:cs="宋体"/>
          <w:color w:val="auto"/>
          <w:kern w:val="0"/>
          <w:sz w:val="24"/>
          <w:szCs w:val="24"/>
          <w:highlight w:val="none"/>
          <w:lang w:val="en-US" w:eastAsia="zh-CN" w:bidi="ar"/>
        </w:rPr>
        <w:br w:type="textWrapping"/>
      </w:r>
      <w:r>
        <w:rPr>
          <w:rStyle w:val="17"/>
          <w:rFonts w:hint="eastAsia" w:ascii="宋体" w:hAnsi="宋体" w:eastAsia="宋体" w:cs="宋体"/>
          <w:color w:val="auto"/>
          <w:kern w:val="0"/>
          <w:sz w:val="24"/>
          <w:szCs w:val="24"/>
          <w:highlight w:val="none"/>
          <w:lang w:val="en-US" w:eastAsia="zh-CN" w:bidi="ar"/>
        </w:rPr>
        <w:t>3、交付条件：经采购人竣工验收合格后交付使用。</w:t>
      </w:r>
      <w:r>
        <w:rPr>
          <w:rStyle w:val="17"/>
          <w:rFonts w:hint="eastAsia" w:ascii="宋体" w:hAnsi="宋体" w:eastAsia="宋体" w:cs="宋体"/>
          <w:color w:val="auto"/>
          <w:kern w:val="0"/>
          <w:sz w:val="24"/>
          <w:szCs w:val="24"/>
          <w:highlight w:val="none"/>
          <w:lang w:val="en-US" w:eastAsia="zh-CN" w:bidi="ar"/>
        </w:rPr>
        <w:br w:type="textWrapping"/>
      </w:r>
      <w:r>
        <w:rPr>
          <w:rStyle w:val="17"/>
          <w:rFonts w:hint="eastAsia" w:ascii="宋体" w:hAnsi="宋体" w:eastAsia="宋体" w:cs="宋体"/>
          <w:color w:val="auto"/>
          <w:kern w:val="0"/>
          <w:sz w:val="24"/>
          <w:szCs w:val="24"/>
          <w:highlight w:val="none"/>
          <w:lang w:val="en-US" w:eastAsia="zh-CN" w:bidi="ar"/>
        </w:rPr>
        <w:t>4、是否收取履约保证金： 是。履约保证金百分比：10%。说明：若中标人为中小微企业，履约保证金百分比：8%。提交时间：中标人在合同签订后10个工作日内，向采购人提交见索即付保函。开具保函所需费用由中标人承担。履约保证金有效期至项目验收通过后28天内无息退还。</w:t>
      </w:r>
      <w:r>
        <w:rPr>
          <w:rStyle w:val="17"/>
          <w:rFonts w:hint="eastAsia" w:ascii="宋体" w:hAnsi="宋体" w:eastAsia="宋体" w:cs="宋体"/>
          <w:color w:val="auto"/>
          <w:kern w:val="0"/>
          <w:sz w:val="24"/>
          <w:szCs w:val="24"/>
          <w:highlight w:val="none"/>
          <w:lang w:val="en-US" w:eastAsia="zh-CN" w:bidi="ar"/>
        </w:rPr>
        <w:br w:type="textWrapping"/>
      </w:r>
      <w:r>
        <w:rPr>
          <w:rStyle w:val="17"/>
          <w:rFonts w:hint="eastAsia" w:ascii="宋体" w:hAnsi="宋体" w:eastAsia="宋体" w:cs="宋体"/>
          <w:color w:val="auto"/>
          <w:kern w:val="0"/>
          <w:sz w:val="24"/>
          <w:szCs w:val="24"/>
          <w:highlight w:val="none"/>
          <w:lang w:val="en-US" w:eastAsia="zh-CN" w:bidi="ar"/>
        </w:rPr>
        <w:t>5、是否邀请投标人参与验收：否</w:t>
      </w:r>
      <w:r>
        <w:rPr>
          <w:rStyle w:val="17"/>
          <w:rFonts w:hint="eastAsia" w:ascii="宋体" w:hAnsi="宋体" w:eastAsia="宋体" w:cs="宋体"/>
          <w:color w:val="auto"/>
          <w:kern w:val="0"/>
          <w:sz w:val="24"/>
          <w:szCs w:val="24"/>
          <w:highlight w:val="none"/>
          <w:lang w:val="en-US" w:eastAsia="zh-CN" w:bidi="ar"/>
        </w:rPr>
        <w:br w:type="textWrapping"/>
      </w:r>
      <w:r>
        <w:rPr>
          <w:rStyle w:val="17"/>
          <w:rFonts w:hint="eastAsia" w:ascii="宋体" w:hAnsi="宋体" w:eastAsia="宋体" w:cs="宋体"/>
          <w:color w:val="auto"/>
          <w:kern w:val="0"/>
          <w:sz w:val="24"/>
          <w:szCs w:val="24"/>
          <w:highlight w:val="none"/>
          <w:lang w:val="en-US" w:eastAsia="zh-CN" w:bidi="ar"/>
        </w:rPr>
        <w:t>6、验收方式数据表格</w:t>
      </w:r>
    </w:p>
    <w:tbl>
      <w:tblPr>
        <w:tblStyle w:val="15"/>
        <w:tblW w:w="8326"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665"/>
        <w:gridCol w:w="6661"/>
      </w:tblGrid>
      <w:tr w14:paraId="2C84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trPr>
        <w:tc>
          <w:tcPr>
            <w:tcW w:w="1665" w:type="dxa"/>
            <w:shd w:val="clear" w:color="auto" w:fill="auto"/>
            <w:vAlign w:val="center"/>
          </w:tcPr>
          <w:p w14:paraId="4E8AAA18">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验收期次</w:t>
            </w:r>
          </w:p>
        </w:tc>
        <w:tc>
          <w:tcPr>
            <w:tcW w:w="6661" w:type="dxa"/>
            <w:shd w:val="clear" w:color="auto" w:fill="auto"/>
            <w:vAlign w:val="center"/>
          </w:tcPr>
          <w:p w14:paraId="627BD47F">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验收期次说明</w:t>
            </w:r>
          </w:p>
        </w:tc>
      </w:tr>
      <w:tr w14:paraId="001C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665" w:type="dxa"/>
            <w:shd w:val="clear" w:color="auto" w:fill="auto"/>
            <w:vAlign w:val="center"/>
          </w:tcPr>
          <w:p w14:paraId="0EEF353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w:t>
            </w:r>
          </w:p>
        </w:tc>
        <w:tc>
          <w:tcPr>
            <w:tcW w:w="6661" w:type="dxa"/>
            <w:shd w:val="clear" w:color="auto" w:fill="auto"/>
            <w:vAlign w:val="center"/>
          </w:tcPr>
          <w:p w14:paraId="1E597471">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验收测试（初验）：系统设备安装、调试、软件开发、系统部署、软硬件集成、系统初步上线和应用培训等完成并达到本文件规定的指标后，可进行项目验收测试（初验）。中标人向采购人提交自检结果的报告，并提出初验申请，由采购人组织中标人及授权监理单位等共同实施对项目完成情况进行全面验收并进行检测，实施初步验收。</w:t>
            </w:r>
          </w:p>
        </w:tc>
      </w:tr>
      <w:tr w14:paraId="7637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665" w:type="dxa"/>
            <w:shd w:val="clear" w:color="auto" w:fill="auto"/>
            <w:vAlign w:val="center"/>
          </w:tcPr>
          <w:p w14:paraId="7182149A">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2</w:t>
            </w:r>
          </w:p>
        </w:tc>
        <w:tc>
          <w:tcPr>
            <w:tcW w:w="6661" w:type="dxa"/>
            <w:shd w:val="clear" w:color="auto" w:fill="auto"/>
            <w:vAlign w:val="center"/>
          </w:tcPr>
          <w:p w14:paraId="686D239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系统试运行：项目完成经初步验收后，进入三个月的试运行阶段。试运行期间中标人应有专业技术人员进行现场技术支持，出现的任何系统软硬件问题，应由中标人及时处理修正或更新，由于设备质量等造成某些指标达不到要求，允许中标人更换、修复、修改等，直至连续无故障试运行三个月，所产生的费用由中标人承担。同时，采购人将委托有资质的第三方检验（检测）机构对系统的整体性能和功能进行测试，测试结果必须符合招标文件要求及合同中的相关条款，中标人还应向采购人提供汇总的测试记录。系统经过三个月试运行，所有性能指标达到技术规范的要求时，可进行最终验收。</w:t>
            </w:r>
          </w:p>
        </w:tc>
      </w:tr>
      <w:tr w14:paraId="0656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0" w:type="dxa"/>
        </w:trPr>
        <w:tc>
          <w:tcPr>
            <w:tcW w:w="1665" w:type="dxa"/>
            <w:shd w:val="clear" w:color="auto" w:fill="auto"/>
            <w:vAlign w:val="center"/>
          </w:tcPr>
          <w:p w14:paraId="059FFCB9">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3</w:t>
            </w:r>
          </w:p>
        </w:tc>
        <w:tc>
          <w:tcPr>
            <w:tcW w:w="6661" w:type="dxa"/>
            <w:shd w:val="clear" w:color="auto" w:fill="auto"/>
            <w:vAlign w:val="center"/>
          </w:tcPr>
          <w:p w14:paraId="023CEF89">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最终验收：在全部达到要求时，采购人将与中标人及授权监理单位三方签署最终验收文件。最终验收文件应当包括每一项技术、服务、安全标准的履约情况。验收结果经三方确认后，三方代表必须按规定的验收交接单上的项目对照本合同填好验收结果并签名盖章。在此期间，中标人在采购人现场进行安装、调试、集成直至验收所发生的一切费用由中标人承担且已含在投标总价中。</w:t>
            </w:r>
          </w:p>
        </w:tc>
      </w:tr>
    </w:tbl>
    <w:p w14:paraId="21C24998">
      <w:pPr>
        <w:keepNext w:val="0"/>
        <w:keepLines w:val="0"/>
        <w:widowControl/>
        <w:suppressLineNumbers w:val="0"/>
        <w:jc w:val="left"/>
        <w:rPr>
          <w:rFonts w:hint="eastAsia" w:ascii="宋体" w:hAnsi="宋体" w:eastAsia="宋体" w:cs="宋体"/>
          <w:color w:val="auto"/>
          <w:highlight w:val="none"/>
        </w:rPr>
      </w:pPr>
      <w:r>
        <w:rPr>
          <w:rStyle w:val="17"/>
          <w:rFonts w:hint="eastAsia" w:ascii="宋体" w:hAnsi="宋体" w:eastAsia="宋体" w:cs="宋体"/>
          <w:color w:val="auto"/>
          <w:kern w:val="0"/>
          <w:sz w:val="24"/>
          <w:szCs w:val="24"/>
          <w:highlight w:val="none"/>
          <w:lang w:val="en-US" w:eastAsia="zh-CN" w:bidi="ar"/>
        </w:rPr>
        <w:t>7、支付方式数据表格</w:t>
      </w:r>
    </w:p>
    <w:tbl>
      <w:tblPr>
        <w:tblStyle w:val="15"/>
        <w:tblW w:w="832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665"/>
        <w:gridCol w:w="1665"/>
        <w:gridCol w:w="4996"/>
      </w:tblGrid>
      <w:tr w14:paraId="3631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0" w:type="dxa"/>
          <w:jc w:val="center"/>
        </w:trPr>
        <w:tc>
          <w:tcPr>
            <w:tcW w:w="1665" w:type="dxa"/>
            <w:shd w:val="clear" w:color="auto" w:fill="auto"/>
            <w:vAlign w:val="center"/>
          </w:tcPr>
          <w:p w14:paraId="4420455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支付期次</w:t>
            </w:r>
          </w:p>
        </w:tc>
        <w:tc>
          <w:tcPr>
            <w:tcW w:w="1665" w:type="dxa"/>
            <w:shd w:val="clear" w:color="auto" w:fill="auto"/>
            <w:vAlign w:val="center"/>
          </w:tcPr>
          <w:p w14:paraId="741FD971">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支付比例(%)</w:t>
            </w:r>
          </w:p>
        </w:tc>
        <w:tc>
          <w:tcPr>
            <w:tcW w:w="4996" w:type="dxa"/>
            <w:shd w:val="clear" w:color="auto" w:fill="auto"/>
            <w:vAlign w:val="center"/>
          </w:tcPr>
          <w:p w14:paraId="0DA44E77">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支付期次说明</w:t>
            </w:r>
          </w:p>
        </w:tc>
      </w:tr>
      <w:tr w14:paraId="78CE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665" w:type="dxa"/>
            <w:shd w:val="clear" w:color="auto" w:fill="auto"/>
            <w:vAlign w:val="center"/>
          </w:tcPr>
          <w:p w14:paraId="6BFFA64F">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w:t>
            </w:r>
          </w:p>
        </w:tc>
        <w:tc>
          <w:tcPr>
            <w:tcW w:w="1665" w:type="dxa"/>
            <w:shd w:val="clear" w:color="auto" w:fill="auto"/>
            <w:vAlign w:val="center"/>
          </w:tcPr>
          <w:p w14:paraId="1E2CBA6C">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10</w:t>
            </w:r>
          </w:p>
        </w:tc>
        <w:tc>
          <w:tcPr>
            <w:tcW w:w="4996" w:type="dxa"/>
            <w:shd w:val="clear" w:color="auto" w:fill="auto"/>
            <w:vAlign w:val="center"/>
          </w:tcPr>
          <w:p w14:paraId="40855185">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签订合同后待财政款下达后15个工作日内支付合同总金额的10%。</w:t>
            </w:r>
          </w:p>
        </w:tc>
      </w:tr>
      <w:tr w14:paraId="294C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665" w:type="dxa"/>
            <w:shd w:val="clear" w:color="auto" w:fill="auto"/>
            <w:vAlign w:val="center"/>
          </w:tcPr>
          <w:p w14:paraId="44499F6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2</w:t>
            </w:r>
          </w:p>
        </w:tc>
        <w:tc>
          <w:tcPr>
            <w:tcW w:w="1665" w:type="dxa"/>
            <w:shd w:val="clear" w:color="auto" w:fill="auto"/>
            <w:vAlign w:val="center"/>
          </w:tcPr>
          <w:p w14:paraId="6C109C8A">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10</w:t>
            </w:r>
          </w:p>
        </w:tc>
        <w:tc>
          <w:tcPr>
            <w:tcW w:w="4996" w:type="dxa"/>
            <w:shd w:val="clear" w:color="auto" w:fill="auto"/>
            <w:vAlign w:val="center"/>
          </w:tcPr>
          <w:p w14:paraId="5EE91030">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项目初验后待财政款下达后15个工作日内支付合同总金额的10%。</w:t>
            </w:r>
          </w:p>
        </w:tc>
      </w:tr>
      <w:tr w14:paraId="43BB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665" w:type="dxa"/>
            <w:shd w:val="clear" w:color="auto" w:fill="auto"/>
            <w:vAlign w:val="center"/>
          </w:tcPr>
          <w:p w14:paraId="4B1653B8">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3</w:t>
            </w:r>
          </w:p>
        </w:tc>
        <w:tc>
          <w:tcPr>
            <w:tcW w:w="1665" w:type="dxa"/>
            <w:shd w:val="clear" w:color="auto" w:fill="auto"/>
            <w:vAlign w:val="center"/>
          </w:tcPr>
          <w:p w14:paraId="1EE40D25">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20</w:t>
            </w:r>
          </w:p>
        </w:tc>
        <w:tc>
          <w:tcPr>
            <w:tcW w:w="4996" w:type="dxa"/>
            <w:shd w:val="clear" w:color="auto" w:fill="auto"/>
            <w:vAlign w:val="center"/>
          </w:tcPr>
          <w:p w14:paraId="6C85E398">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项目终验后待财政款下达后15个工作日内支付合同总金额的20%。</w:t>
            </w:r>
          </w:p>
        </w:tc>
      </w:tr>
      <w:tr w14:paraId="6C92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665" w:type="dxa"/>
            <w:shd w:val="clear" w:color="auto" w:fill="auto"/>
            <w:vAlign w:val="center"/>
          </w:tcPr>
          <w:p w14:paraId="43AF01C9">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4</w:t>
            </w:r>
          </w:p>
        </w:tc>
        <w:tc>
          <w:tcPr>
            <w:tcW w:w="1665" w:type="dxa"/>
            <w:shd w:val="clear" w:color="auto" w:fill="auto"/>
            <w:vAlign w:val="center"/>
          </w:tcPr>
          <w:p w14:paraId="306FE74F">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60</w:t>
            </w:r>
          </w:p>
        </w:tc>
        <w:tc>
          <w:tcPr>
            <w:tcW w:w="4996" w:type="dxa"/>
            <w:shd w:val="clear" w:color="auto" w:fill="auto"/>
            <w:vAlign w:val="center"/>
          </w:tcPr>
          <w:p w14:paraId="14C85154">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val="en-US" w:eastAsia="zh-CN" w:bidi="ar"/>
              </w:rPr>
              <w:t>自终验合格算起，余下合同总额的60%作为项目运维款，运维保修期为3年，按运维年度分批次支付项目运维款，每年在待财政款下达后15个工作日内支付</w:t>
            </w:r>
          </w:p>
        </w:tc>
      </w:tr>
    </w:tbl>
    <w:p w14:paraId="6FBA711F">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4"/>
          <w:szCs w:val="24"/>
          <w:highlight w:val="none"/>
        </w:rPr>
        <w:t>8、投标人应按照本项目特点提供长期良好的售后服务，</w:t>
      </w:r>
      <w:r>
        <w:rPr>
          <w:rFonts w:hint="eastAsia" w:ascii="宋体" w:hAnsi="宋体" w:eastAsia="宋体" w:cs="宋体"/>
          <w:color w:val="auto"/>
          <w:sz w:val="24"/>
          <w:szCs w:val="24"/>
          <w:highlight w:val="none"/>
          <w:lang w:eastAsia="zh-CN"/>
        </w:rPr>
        <w:t>需根据国家住建部发布的与城市运行管理服务平台有关的标准要求配合开展项目验收工</w:t>
      </w:r>
      <w:r>
        <w:rPr>
          <w:rFonts w:hint="eastAsia" w:ascii="宋体" w:hAnsi="宋体" w:eastAsia="宋体" w:cs="宋体"/>
          <w:b w:val="0"/>
          <w:bCs w:val="0"/>
          <w:color w:val="auto"/>
          <w:sz w:val="24"/>
          <w:szCs w:val="24"/>
          <w:highlight w:val="none"/>
          <w:lang w:eastAsia="zh-CN"/>
        </w:rPr>
        <w:t>作，</w:t>
      </w:r>
      <w:r>
        <w:rPr>
          <w:rFonts w:hint="eastAsia" w:ascii="宋体" w:hAnsi="宋体" w:eastAsia="宋体" w:cs="宋体"/>
          <w:b/>
          <w:bCs/>
          <w:color w:val="auto"/>
          <w:sz w:val="24"/>
          <w:szCs w:val="24"/>
          <w:highlight w:val="none"/>
        </w:rPr>
        <w:t>并在投标文件中</w:t>
      </w:r>
      <w:r>
        <w:rPr>
          <w:rFonts w:hint="eastAsia" w:ascii="宋体" w:hAnsi="宋体" w:eastAsia="宋体" w:cs="宋体"/>
          <w:b/>
          <w:bCs/>
          <w:color w:val="auto"/>
          <w:sz w:val="24"/>
          <w:szCs w:val="24"/>
          <w:highlight w:val="none"/>
          <w:lang w:val="en-US" w:eastAsia="zh-Hans"/>
        </w:rPr>
        <w:t>提供相应承诺函</w:t>
      </w:r>
      <w:r>
        <w:rPr>
          <w:rFonts w:hint="eastAsia" w:ascii="宋体" w:hAnsi="宋体" w:eastAsia="宋体" w:cs="宋体"/>
          <w:b/>
          <w:bCs/>
          <w:color w:val="auto"/>
          <w:sz w:val="24"/>
          <w:szCs w:val="24"/>
          <w:highlight w:val="none"/>
          <w:lang w:val="en-US" w:eastAsia="zh-CN"/>
        </w:rPr>
        <w:t>（格式自拟）</w:t>
      </w:r>
      <w:r>
        <w:rPr>
          <w:rFonts w:hint="default" w:ascii="宋体" w:hAnsi="宋体" w:eastAsia="宋体" w:cs="宋体"/>
          <w:color w:val="auto"/>
          <w:sz w:val="24"/>
          <w:szCs w:val="24"/>
          <w:highlight w:val="none"/>
          <w:lang w:eastAsia="zh-Hans"/>
        </w:rPr>
        <w:t>。</w:t>
      </w:r>
    </w:p>
    <w:p w14:paraId="372E905D">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4"/>
          <w:szCs w:val="24"/>
          <w:highlight w:val="none"/>
        </w:rPr>
        <w:t>9、运维保修期（自项目终验通过后开始计算）为3年（除标书中另有要求除外）。运维保修期内，中标人应免费提供所有系统软件的运营维护，应及时免费提供系统软件的最新版本，提供1次免费数据更新服务。</w:t>
      </w:r>
    </w:p>
    <w:p w14:paraId="1A64E9F6">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4"/>
          <w:szCs w:val="24"/>
          <w:highlight w:val="none"/>
        </w:rPr>
        <w:t>10、中标人必须具有及时有效的维修手段，系统出现故障，接到采购人要求维修通知后，应赶到现场维修。若问题不能现场解决，应采取相应措施以保证系统正常运行，必要时包括更换必要的软件、硬件。</w:t>
      </w:r>
    </w:p>
    <w:p w14:paraId="6BB65C0B">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4"/>
          <w:szCs w:val="24"/>
          <w:highlight w:val="none"/>
        </w:rPr>
        <w:t>11、运维保修期内，中标人应免费提供相应的备件；并免费对软件进行升级服务。免费保修期结束后，中标人提供终身免费咨询，</w:t>
      </w:r>
      <w:r>
        <w:rPr>
          <w:rFonts w:hint="eastAsia" w:ascii="宋体" w:hAnsi="宋体" w:eastAsia="宋体" w:cs="宋体"/>
          <w:color w:val="auto"/>
          <w:sz w:val="24"/>
          <w:szCs w:val="24"/>
          <w:highlight w:val="none"/>
          <w:lang w:val="en-US" w:eastAsia="zh-Hans"/>
        </w:rPr>
        <w:t>且</w:t>
      </w:r>
      <w:r>
        <w:rPr>
          <w:rFonts w:hint="eastAsia" w:ascii="宋体" w:hAnsi="宋体" w:eastAsia="宋体" w:cs="宋体"/>
          <w:color w:val="auto"/>
          <w:sz w:val="24"/>
          <w:szCs w:val="24"/>
          <w:highlight w:val="none"/>
        </w:rPr>
        <w:t>货物一旦出现故障，中标人应提供维修所需的零配件，并派出检修人员在24小时内到货物安装现场对货物进行维修，只收取更换的零配件成本费和检修人员实际发生的差旅费。</w:t>
      </w:r>
    </w:p>
    <w:p w14:paraId="06712B36">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4"/>
          <w:szCs w:val="24"/>
          <w:highlight w:val="none"/>
        </w:rPr>
        <w:t>12、遇有重大事件与</w:t>
      </w:r>
      <w:r>
        <w:rPr>
          <w:rFonts w:hint="eastAsia" w:ascii="宋体" w:hAnsi="宋体" w:eastAsia="宋体" w:cs="宋体"/>
          <w:color w:val="auto"/>
          <w:sz w:val="24"/>
          <w:szCs w:val="24"/>
          <w:highlight w:val="none"/>
          <w:lang w:val="en-US" w:eastAsia="zh-Hans"/>
        </w:rPr>
        <w:t>采购人</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或</w:t>
      </w:r>
      <w:r>
        <w:rPr>
          <w:rFonts w:hint="eastAsia" w:ascii="宋体" w:hAnsi="宋体" w:eastAsia="宋体" w:cs="宋体"/>
          <w:color w:val="auto"/>
          <w:sz w:val="24"/>
          <w:szCs w:val="24"/>
          <w:highlight w:val="none"/>
        </w:rPr>
        <w:t>使用方</w:t>
      </w:r>
      <w:r>
        <w:rPr>
          <w:rFonts w:hint="default" w:ascii="宋体" w:hAnsi="宋体" w:eastAsia="宋体" w:cs="宋体"/>
          <w:color w:val="auto"/>
          <w:sz w:val="24"/>
          <w:szCs w:val="24"/>
          <w:highlight w:val="none"/>
        </w:rPr>
        <w:t>）</w:t>
      </w:r>
      <w:r>
        <w:rPr>
          <w:rFonts w:hint="eastAsia" w:ascii="宋体" w:hAnsi="宋体" w:eastAsia="宋体" w:cs="宋体"/>
          <w:color w:val="auto"/>
          <w:sz w:val="24"/>
          <w:szCs w:val="24"/>
          <w:highlight w:val="none"/>
        </w:rPr>
        <w:t>要求情况下，中标人必须派维护工程师提前到场，进行设备软硬件维护与保障。</w:t>
      </w:r>
    </w:p>
    <w:p w14:paraId="39F675FA">
      <w:pPr>
        <w:pStyle w:val="14"/>
        <w:keepNext w:val="0"/>
        <w:keepLines w:val="0"/>
        <w:widowControl/>
        <w:suppressLineNumbers w:val="0"/>
        <w:spacing w:before="75" w:beforeAutospacing="0" w:after="75" w:afterAutospacing="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定期巡检：每半年定期巡检一次，检查设备的运行情况，了解用户使用条件和负载是否合理，及时向用户建议改进和纠正措施，提供必要的技术支持。对使用和管理设备人员进行现场指导培训，确保设备稳定正常地工作。</w:t>
      </w:r>
    </w:p>
    <w:p w14:paraId="6958A41E">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★注意：本章节“三、商务条件”1-13条的内容均为不允许负偏离的实质性要求。</w:t>
      </w:r>
    </w:p>
    <w:p w14:paraId="7EBB194B">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spacing w:val="0"/>
          <w:kern w:val="0"/>
          <w:sz w:val="24"/>
          <w:szCs w:val="24"/>
          <w:highlight w:val="none"/>
          <w:lang w:val="en-US" w:eastAsia="zh-CN" w:bidi="ar"/>
        </w:rPr>
        <w:t> </w:t>
      </w:r>
    </w:p>
    <w:p w14:paraId="788CFDB3">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四、其他事项</w:t>
      </w:r>
    </w:p>
    <w:p w14:paraId="38E0F9F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1、除招标文件另有规定外，若出现有关法律、法规和规章有强制性规定但招标文件未列明的情形，则投标人应按照有关法律、法规和规章强制性规定执行。</w:t>
      </w:r>
    </w:p>
    <w:p w14:paraId="4A9D491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2、其他：</w:t>
      </w:r>
    </w:p>
    <w:p w14:paraId="0DA3FC69">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79547C88">
      <w:pPr>
        <w:rPr>
          <w:rStyle w:val="17"/>
          <w:rFonts w:hint="eastAsia" w:ascii="宋体" w:hAnsi="宋体" w:eastAsia="宋体" w:cs="宋体"/>
          <w:color w:val="auto"/>
          <w:spacing w:val="0"/>
          <w:sz w:val="31"/>
          <w:szCs w:val="31"/>
          <w:highlight w:val="none"/>
        </w:rPr>
      </w:pPr>
      <w:r>
        <w:rPr>
          <w:rStyle w:val="17"/>
          <w:rFonts w:hint="eastAsia" w:ascii="宋体" w:hAnsi="宋体" w:eastAsia="宋体" w:cs="宋体"/>
          <w:color w:val="auto"/>
          <w:spacing w:val="0"/>
          <w:sz w:val="31"/>
          <w:szCs w:val="31"/>
          <w:highlight w:val="none"/>
        </w:rPr>
        <w:br w:type="page"/>
      </w:r>
    </w:p>
    <w:p w14:paraId="5BA53D72">
      <w:pPr>
        <w:pStyle w:val="14"/>
        <w:keepNext w:val="0"/>
        <w:keepLines w:val="0"/>
        <w:widowControl/>
        <w:suppressLineNumbers w:val="0"/>
        <w:spacing w:before="75" w:beforeAutospacing="0" w:after="75" w:afterAutospacing="0"/>
        <w:ind w:left="0" w:right="0" w:firstLine="0"/>
        <w:jc w:val="center"/>
        <w:outlineLvl w:val="0"/>
        <w:rPr>
          <w:rFonts w:hint="eastAsia" w:ascii="宋体" w:hAnsi="宋体" w:eastAsia="宋体" w:cs="宋体"/>
          <w:color w:val="auto"/>
          <w:highlight w:val="none"/>
        </w:rPr>
      </w:pPr>
      <w:bookmarkStart w:id="9" w:name="_Toc12863"/>
      <w:r>
        <w:rPr>
          <w:rStyle w:val="17"/>
          <w:rFonts w:hint="eastAsia" w:ascii="宋体" w:hAnsi="宋体" w:eastAsia="宋体" w:cs="宋体"/>
          <w:color w:val="auto"/>
          <w:spacing w:val="0"/>
          <w:sz w:val="31"/>
          <w:szCs w:val="31"/>
          <w:highlight w:val="none"/>
        </w:rPr>
        <w:t>第六章   政府采购合同（参考文本）</w:t>
      </w:r>
      <w:bookmarkEnd w:id="9"/>
    </w:p>
    <w:p w14:paraId="361870D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7EC47007">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编制说明</w:t>
      </w:r>
    </w:p>
    <w:p w14:paraId="35F1F190">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1、签订合同应遵守政府采购法、民法典。</w:t>
      </w:r>
    </w:p>
    <w:p w14:paraId="3815707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2、签订合同时，采购人与中标人应结合招标文件第五章规定填列相应内容。招标文件第五章已有规定的，双方均不得变更或调整；招标文件第五章未作规定的，双方可通过友好协商进行约定。</w:t>
      </w:r>
    </w:p>
    <w:p w14:paraId="66AE060D">
      <w:pPr>
        <w:pStyle w:val="14"/>
        <w:keepNext w:val="0"/>
        <w:keepLines w:val="0"/>
        <w:widowControl/>
        <w:suppressLineNumbers w:val="0"/>
        <w:spacing w:before="75" w:beforeAutospacing="0" w:after="240" w:afterAutospacing="0"/>
        <w:ind w:left="0" w:right="0" w:firstLine="0"/>
        <w:rPr>
          <w:rFonts w:hint="eastAsia" w:ascii="宋体" w:hAnsi="宋体" w:eastAsia="宋体" w:cs="宋体"/>
          <w:color w:val="auto"/>
          <w:highlight w:val="none"/>
        </w:rPr>
      </w:pPr>
      <w:r>
        <w:rPr>
          <w:rStyle w:val="17"/>
          <w:rFonts w:hint="eastAsia" w:ascii="宋体" w:hAnsi="宋体" w:eastAsia="宋体" w:cs="宋体"/>
          <w:color w:val="auto"/>
          <w:spacing w:val="0"/>
          <w:sz w:val="24"/>
          <w:szCs w:val="24"/>
          <w:highlight w:val="none"/>
        </w:rPr>
        <w:t>3、国家有关部门对若干合同有规范文本的，可使用相应合同文本。</w:t>
      </w:r>
    </w:p>
    <w:p w14:paraId="70DC70D2">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甲方：</w:t>
      </w:r>
      <w:r>
        <w:rPr>
          <w:rFonts w:hint="eastAsia" w:ascii="宋体" w:hAnsi="宋体" w:eastAsia="宋体" w:cs="宋体"/>
          <w:color w:val="auto"/>
          <w:spacing w:val="0"/>
          <w:sz w:val="24"/>
          <w:szCs w:val="24"/>
          <w:highlight w:val="none"/>
          <w:u w:val="single"/>
        </w:rPr>
        <w:t>（采购人全称）</w:t>
      </w:r>
    </w:p>
    <w:p w14:paraId="2A81B01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乙方：</w:t>
      </w:r>
      <w:r>
        <w:rPr>
          <w:rFonts w:hint="eastAsia" w:ascii="宋体" w:hAnsi="宋体" w:eastAsia="宋体" w:cs="宋体"/>
          <w:color w:val="auto"/>
          <w:spacing w:val="0"/>
          <w:sz w:val="24"/>
          <w:szCs w:val="24"/>
          <w:highlight w:val="none"/>
          <w:u w:val="single"/>
        </w:rPr>
        <w:t>（中标人全称）</w:t>
      </w:r>
    </w:p>
    <w:p w14:paraId="122219C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1368A32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根据项目编号为</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u w:val="single"/>
        </w:rPr>
        <w:t>（填写“项目名称”）</w:t>
      </w:r>
      <w:r>
        <w:rPr>
          <w:rFonts w:hint="eastAsia" w:ascii="宋体" w:hAnsi="宋体" w:eastAsia="宋体" w:cs="宋体"/>
          <w:color w:val="auto"/>
          <w:spacing w:val="0"/>
          <w:sz w:val="24"/>
          <w:szCs w:val="24"/>
          <w:highlight w:val="none"/>
        </w:rPr>
        <w:t>项目（以下简称：“本项目”）的招标结果，乙方为中标人。现经甲乙双方友好协商，就以下事项达成一致并签订本合同：</w:t>
      </w:r>
    </w:p>
    <w:p w14:paraId="6CF6F1D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1、下列合同文件是构成本合同不可分割的部分：</w:t>
      </w:r>
    </w:p>
    <w:p w14:paraId="39051D0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1.1合同条款；</w:t>
      </w:r>
    </w:p>
    <w:p w14:paraId="759785A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1.2招标文件、乙方的投标文件；</w:t>
      </w:r>
    </w:p>
    <w:p w14:paraId="166D4E9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1.3其他文件或材料：□无。□</w:t>
      </w:r>
      <w:r>
        <w:rPr>
          <w:rFonts w:hint="eastAsia" w:ascii="宋体" w:hAnsi="宋体" w:eastAsia="宋体" w:cs="宋体"/>
          <w:color w:val="auto"/>
          <w:spacing w:val="0"/>
          <w:highlight w:val="none"/>
        </w:rPr>
        <w:t>（若有联合协议或分包意向协议）。</w:t>
      </w:r>
    </w:p>
    <w:p w14:paraId="4BA7531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2、合同标的</w:t>
      </w:r>
    </w:p>
    <w:p w14:paraId="68A4ECB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（按照实际情况编制填写，可以是表格或文字描述）</w:t>
      </w:r>
      <w:r>
        <w:rPr>
          <w:rFonts w:hint="eastAsia" w:ascii="宋体" w:hAnsi="宋体" w:eastAsia="宋体" w:cs="宋体"/>
          <w:color w:val="auto"/>
          <w:spacing w:val="0"/>
          <w:sz w:val="24"/>
          <w:szCs w:val="24"/>
          <w:highlight w:val="none"/>
        </w:rPr>
        <w:t>。</w:t>
      </w:r>
    </w:p>
    <w:p w14:paraId="0FD08AA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3、合同总金额</w:t>
      </w:r>
    </w:p>
    <w:p w14:paraId="556F9BC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3.1合同总金额为人民币大写：</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元（￥</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w:t>
      </w:r>
    </w:p>
    <w:p w14:paraId="2A1E014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4、合同标的交付时间、地点和条件</w:t>
      </w:r>
    </w:p>
    <w:p w14:paraId="368FB3A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4.1交付时间：</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w:t>
      </w:r>
    </w:p>
    <w:p w14:paraId="5A9841F8">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4.2交付地点：</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w:t>
      </w:r>
    </w:p>
    <w:p w14:paraId="0E1C05C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4.3交付条件：</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w:t>
      </w:r>
    </w:p>
    <w:p w14:paraId="37DF042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5、合同标的应符合招标文件、乙方投标文件的规定或约定，具体如下：</w:t>
      </w:r>
    </w:p>
    <w:p w14:paraId="58A2D10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（按照实际情况编制填写，可以是表格或文字描述）</w:t>
      </w:r>
      <w:r>
        <w:rPr>
          <w:rFonts w:hint="eastAsia" w:ascii="宋体" w:hAnsi="宋体" w:eastAsia="宋体" w:cs="宋体"/>
          <w:color w:val="auto"/>
          <w:spacing w:val="0"/>
          <w:sz w:val="24"/>
          <w:szCs w:val="24"/>
          <w:highlight w:val="none"/>
        </w:rPr>
        <w:t>。</w:t>
      </w:r>
    </w:p>
    <w:p w14:paraId="4B4311D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6、验收</w:t>
      </w:r>
    </w:p>
    <w:p w14:paraId="4EA3394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6.1验收应按照招标文件、乙方投标文件的规定或约定进行，具体如下：</w:t>
      </w:r>
    </w:p>
    <w:p w14:paraId="3DA1BA4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（按照实际情况编制填写，可以是表格或文字描述）</w:t>
      </w:r>
      <w:r>
        <w:rPr>
          <w:rFonts w:hint="eastAsia" w:ascii="宋体" w:hAnsi="宋体" w:eastAsia="宋体" w:cs="宋体"/>
          <w:color w:val="auto"/>
          <w:spacing w:val="0"/>
          <w:sz w:val="24"/>
          <w:szCs w:val="24"/>
          <w:highlight w:val="none"/>
        </w:rPr>
        <w:t>。</w:t>
      </w:r>
    </w:p>
    <w:p w14:paraId="1E0697B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6.2本项目是否邀请其他投标人参与验收：</w:t>
      </w:r>
    </w:p>
    <w:p w14:paraId="6EEB2979">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□不邀请。□邀请，具体如下：</w:t>
      </w:r>
      <w:r>
        <w:rPr>
          <w:rFonts w:hint="eastAsia" w:ascii="宋体" w:hAnsi="宋体" w:eastAsia="宋体" w:cs="宋体"/>
          <w:color w:val="auto"/>
          <w:spacing w:val="0"/>
          <w:sz w:val="24"/>
          <w:szCs w:val="24"/>
          <w:highlight w:val="none"/>
          <w:u w:val="single"/>
        </w:rPr>
        <w:t>（按照招标文件规定填写）</w:t>
      </w:r>
      <w:r>
        <w:rPr>
          <w:rFonts w:hint="eastAsia" w:ascii="宋体" w:hAnsi="宋体" w:eastAsia="宋体" w:cs="宋体"/>
          <w:color w:val="auto"/>
          <w:spacing w:val="0"/>
          <w:sz w:val="24"/>
          <w:szCs w:val="24"/>
          <w:highlight w:val="none"/>
        </w:rPr>
        <w:t>。</w:t>
      </w:r>
    </w:p>
    <w:p w14:paraId="47EB923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7、合同款项的支付应按照招标文件的规定进行，具体如下：</w:t>
      </w:r>
    </w:p>
    <w:p w14:paraId="3B3BC89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（按照实际情况编制填写，可以是表格或文字描述，包括一次性支付或分期支付等）</w:t>
      </w:r>
      <w:r>
        <w:rPr>
          <w:rFonts w:hint="eastAsia" w:ascii="宋体" w:hAnsi="宋体" w:eastAsia="宋体" w:cs="宋体"/>
          <w:color w:val="auto"/>
          <w:spacing w:val="0"/>
          <w:sz w:val="24"/>
          <w:szCs w:val="24"/>
          <w:highlight w:val="none"/>
        </w:rPr>
        <w:t>。</w:t>
      </w:r>
    </w:p>
    <w:p w14:paraId="0F909CA4">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8、履约保证金</w:t>
      </w:r>
    </w:p>
    <w:p w14:paraId="7CC14AF6">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□无。□有，具体如下：</w:t>
      </w:r>
      <w:r>
        <w:rPr>
          <w:rFonts w:hint="eastAsia" w:ascii="宋体" w:hAnsi="宋体" w:eastAsia="宋体" w:cs="宋体"/>
          <w:color w:val="auto"/>
          <w:spacing w:val="0"/>
          <w:sz w:val="24"/>
          <w:szCs w:val="24"/>
          <w:highlight w:val="none"/>
          <w:u w:val="single"/>
        </w:rPr>
        <w:t>（按照招标文件规定填写）</w:t>
      </w:r>
      <w:r>
        <w:rPr>
          <w:rFonts w:hint="eastAsia" w:ascii="宋体" w:hAnsi="宋体" w:eastAsia="宋体" w:cs="宋体"/>
          <w:color w:val="auto"/>
          <w:spacing w:val="0"/>
          <w:sz w:val="24"/>
          <w:szCs w:val="24"/>
          <w:highlight w:val="none"/>
        </w:rPr>
        <w:t>。</w:t>
      </w:r>
    </w:p>
    <w:p w14:paraId="73012F1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9、合同有效期</w:t>
      </w:r>
    </w:p>
    <w:p w14:paraId="2CE1806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（按照实际情况编制填写，可以是表格或文字描述）</w:t>
      </w:r>
      <w:r>
        <w:rPr>
          <w:rFonts w:hint="eastAsia" w:ascii="宋体" w:hAnsi="宋体" w:eastAsia="宋体" w:cs="宋体"/>
          <w:color w:val="auto"/>
          <w:spacing w:val="0"/>
          <w:sz w:val="24"/>
          <w:szCs w:val="24"/>
          <w:highlight w:val="none"/>
        </w:rPr>
        <w:t>。</w:t>
      </w:r>
    </w:p>
    <w:p w14:paraId="4D492CF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10、违约责任</w:t>
      </w:r>
    </w:p>
    <w:p w14:paraId="201BB4F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（按照实际情况编制填写，可以是表格或文字描述）</w:t>
      </w:r>
      <w:r>
        <w:rPr>
          <w:rFonts w:hint="eastAsia" w:ascii="宋体" w:hAnsi="宋体" w:eastAsia="宋体" w:cs="宋体"/>
          <w:color w:val="auto"/>
          <w:spacing w:val="0"/>
          <w:sz w:val="24"/>
          <w:szCs w:val="24"/>
          <w:highlight w:val="none"/>
        </w:rPr>
        <w:t>。</w:t>
      </w:r>
    </w:p>
    <w:p w14:paraId="39A3F11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11、知识产权</w:t>
      </w:r>
    </w:p>
    <w:p w14:paraId="777BCA1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2A708853">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color w:val="auto"/>
          <w:spacing w:val="0"/>
          <w:sz w:val="24"/>
          <w:szCs w:val="24"/>
          <w:highlight w:val="none"/>
          <w:u w:val="single"/>
        </w:rPr>
        <w:t>（按照实际情况编制填写）</w:t>
      </w:r>
      <w:r>
        <w:rPr>
          <w:rFonts w:hint="eastAsia" w:ascii="宋体" w:hAnsi="宋体" w:eastAsia="宋体" w:cs="宋体"/>
          <w:color w:val="auto"/>
          <w:spacing w:val="0"/>
          <w:sz w:val="24"/>
          <w:szCs w:val="24"/>
          <w:highlight w:val="none"/>
        </w:rPr>
        <w:t>。</w:t>
      </w:r>
    </w:p>
    <w:p w14:paraId="23E5CAF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12、解决争议的方法</w:t>
      </w:r>
    </w:p>
    <w:p w14:paraId="40DE3101">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12.1甲、乙双方协商解决。</w:t>
      </w:r>
    </w:p>
    <w:p w14:paraId="4954ED3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12.2若协商解决不成，则通过下列途径之一解决：</w:t>
      </w:r>
    </w:p>
    <w:p w14:paraId="629811B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□提交仲裁委员会仲裁，具体如下：</w:t>
      </w:r>
      <w:r>
        <w:rPr>
          <w:rFonts w:hint="eastAsia" w:ascii="宋体" w:hAnsi="宋体" w:eastAsia="宋体" w:cs="宋体"/>
          <w:color w:val="auto"/>
          <w:spacing w:val="0"/>
          <w:sz w:val="24"/>
          <w:szCs w:val="24"/>
          <w:highlight w:val="none"/>
          <w:u w:val="single"/>
        </w:rPr>
        <w:t>（按照实际情况编制填写）</w:t>
      </w:r>
      <w:r>
        <w:rPr>
          <w:rFonts w:hint="eastAsia" w:ascii="宋体" w:hAnsi="宋体" w:eastAsia="宋体" w:cs="宋体"/>
          <w:color w:val="auto"/>
          <w:spacing w:val="0"/>
          <w:sz w:val="24"/>
          <w:szCs w:val="24"/>
          <w:highlight w:val="none"/>
        </w:rPr>
        <w:t>。</w:t>
      </w:r>
    </w:p>
    <w:p w14:paraId="74FF1A5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□向人民法院提起诉讼，具体如下：</w:t>
      </w:r>
      <w:r>
        <w:rPr>
          <w:rFonts w:hint="eastAsia" w:ascii="宋体" w:hAnsi="宋体" w:eastAsia="宋体" w:cs="宋体"/>
          <w:color w:val="auto"/>
          <w:spacing w:val="0"/>
          <w:sz w:val="24"/>
          <w:szCs w:val="24"/>
          <w:highlight w:val="none"/>
          <w:u w:val="single"/>
        </w:rPr>
        <w:t>（按照实际情况编制填写）</w:t>
      </w:r>
      <w:r>
        <w:rPr>
          <w:rFonts w:hint="eastAsia" w:ascii="宋体" w:hAnsi="宋体" w:eastAsia="宋体" w:cs="宋体"/>
          <w:color w:val="auto"/>
          <w:spacing w:val="0"/>
          <w:sz w:val="24"/>
          <w:szCs w:val="24"/>
          <w:highlight w:val="none"/>
        </w:rPr>
        <w:t>。</w:t>
      </w:r>
    </w:p>
    <w:p w14:paraId="6FE1C83A">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13、不可抗力</w:t>
      </w:r>
    </w:p>
    <w:p w14:paraId="0996F47C">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0E2A9700">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14:paraId="3D308EE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14、合同条款</w:t>
      </w:r>
    </w:p>
    <w:p w14:paraId="49D9EB7F">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u w:val="single"/>
        </w:rPr>
        <w:t>（按照实际情况编制填写。招标文件第五章已有规定的，双方均不得变更或调整；招标文件第五章未作规定的，双方可通过友好协商进行约定）</w:t>
      </w:r>
      <w:r>
        <w:rPr>
          <w:rFonts w:hint="eastAsia" w:ascii="宋体" w:hAnsi="宋体" w:eastAsia="宋体" w:cs="宋体"/>
          <w:color w:val="auto"/>
          <w:spacing w:val="0"/>
          <w:sz w:val="24"/>
          <w:szCs w:val="24"/>
          <w:highlight w:val="none"/>
        </w:rPr>
        <w:t>。</w:t>
      </w:r>
    </w:p>
    <w:p w14:paraId="3E04ADF2">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15、其他约定</w:t>
      </w:r>
    </w:p>
    <w:p w14:paraId="48EF96D5">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15.1合同文件与本合同具有同等法律效力。</w:t>
      </w:r>
    </w:p>
    <w:p w14:paraId="1DC6CEAD">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15.2本合同未尽事宜，双方可另行补充。</w:t>
      </w:r>
    </w:p>
    <w:p w14:paraId="3CF3B30E">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15.3合同生效：自签订之日起生效；通过福建省政府采购网上公开信息系统采用电子形式签订合同的，签订之日以系统记载的双方使用各自CA证书在合同上加盖单位公章或合同章的日期中的最晚时间为准。</w:t>
      </w:r>
    </w:p>
    <w:p w14:paraId="1766D0C7">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15.4本合同一式</w:t>
      </w:r>
      <w:r>
        <w:rPr>
          <w:rFonts w:hint="eastAsia" w:ascii="宋体" w:hAnsi="宋体" w:eastAsia="宋体" w:cs="宋体"/>
          <w:color w:val="auto"/>
          <w:spacing w:val="0"/>
          <w:sz w:val="24"/>
          <w:szCs w:val="24"/>
          <w:highlight w:val="none"/>
          <w:u w:val="single"/>
        </w:rPr>
        <w:t>（填写具体份数）</w:t>
      </w:r>
      <w:r>
        <w:rPr>
          <w:rFonts w:hint="eastAsia" w:ascii="宋体" w:hAnsi="宋体" w:eastAsia="宋体" w:cs="宋体"/>
          <w:color w:val="auto"/>
          <w:spacing w:val="0"/>
          <w:sz w:val="24"/>
          <w:szCs w:val="24"/>
          <w:highlight w:val="none"/>
        </w:rPr>
        <w:t>份，经双方授权代表签字并盖章后生效。甲方、乙方各执</w:t>
      </w:r>
      <w:r>
        <w:rPr>
          <w:rFonts w:hint="eastAsia" w:ascii="宋体" w:hAnsi="宋体" w:eastAsia="宋体" w:cs="宋体"/>
          <w:color w:val="auto"/>
          <w:spacing w:val="0"/>
          <w:sz w:val="24"/>
          <w:szCs w:val="24"/>
          <w:highlight w:val="none"/>
          <w:u w:val="single"/>
        </w:rPr>
        <w:t>（填写具体份数）</w:t>
      </w:r>
      <w:r>
        <w:rPr>
          <w:rFonts w:hint="eastAsia" w:ascii="宋体" w:hAnsi="宋体" w:eastAsia="宋体" w:cs="宋体"/>
          <w:color w:val="auto"/>
          <w:spacing w:val="0"/>
          <w:sz w:val="24"/>
          <w:szCs w:val="24"/>
          <w:highlight w:val="none"/>
        </w:rPr>
        <w:t>份，送</w:t>
      </w:r>
      <w:r>
        <w:rPr>
          <w:rFonts w:hint="eastAsia" w:ascii="宋体" w:hAnsi="宋体" w:eastAsia="宋体" w:cs="宋体"/>
          <w:color w:val="auto"/>
          <w:spacing w:val="0"/>
          <w:sz w:val="24"/>
          <w:szCs w:val="24"/>
          <w:highlight w:val="none"/>
          <w:u w:val="single"/>
        </w:rPr>
        <w:t>（填写需要备案的监管部门的全称）</w:t>
      </w:r>
      <w:r>
        <w:rPr>
          <w:rFonts w:hint="eastAsia" w:ascii="宋体" w:hAnsi="宋体" w:eastAsia="宋体" w:cs="宋体"/>
          <w:color w:val="auto"/>
          <w:spacing w:val="0"/>
          <w:sz w:val="24"/>
          <w:szCs w:val="24"/>
          <w:highlight w:val="none"/>
        </w:rPr>
        <w:t>备案</w:t>
      </w:r>
      <w:r>
        <w:rPr>
          <w:rFonts w:hint="eastAsia" w:ascii="宋体" w:hAnsi="宋体" w:eastAsia="宋体" w:cs="宋体"/>
          <w:color w:val="auto"/>
          <w:spacing w:val="0"/>
          <w:sz w:val="24"/>
          <w:szCs w:val="24"/>
          <w:highlight w:val="none"/>
          <w:u w:val="single"/>
        </w:rPr>
        <w:t>（填写具体份数）</w:t>
      </w:r>
      <w:r>
        <w:rPr>
          <w:rFonts w:hint="eastAsia" w:ascii="宋体" w:hAnsi="宋体" w:eastAsia="宋体" w:cs="宋体"/>
          <w:color w:val="auto"/>
          <w:spacing w:val="0"/>
          <w:sz w:val="24"/>
          <w:szCs w:val="24"/>
          <w:highlight w:val="none"/>
        </w:rPr>
        <w:t>份，具有同等效力。</w:t>
      </w:r>
    </w:p>
    <w:p w14:paraId="57B52B6B">
      <w:pPr>
        <w:pStyle w:val="14"/>
        <w:keepNext w:val="0"/>
        <w:keepLines w:val="0"/>
        <w:widowControl/>
        <w:suppressLineNumbers w:val="0"/>
        <w:spacing w:before="75" w:beforeAutospacing="0" w:after="75" w:afterAutospacing="0"/>
        <w:ind w:left="0" w:right="0" w:firstLine="48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15.5其他：□无。□</w:t>
      </w:r>
      <w:r>
        <w:rPr>
          <w:rFonts w:hint="eastAsia" w:ascii="宋体" w:hAnsi="宋体" w:eastAsia="宋体" w:cs="宋体"/>
          <w:color w:val="auto"/>
          <w:spacing w:val="0"/>
          <w:sz w:val="24"/>
          <w:szCs w:val="24"/>
          <w:highlight w:val="none"/>
          <w:u w:val="single"/>
        </w:rPr>
        <w:t>（按照实际情况编制填写需要增加的内容）</w:t>
      </w:r>
      <w:r>
        <w:rPr>
          <w:rFonts w:hint="eastAsia" w:ascii="宋体" w:hAnsi="宋体" w:eastAsia="宋体" w:cs="宋体"/>
          <w:color w:val="auto"/>
          <w:spacing w:val="0"/>
          <w:sz w:val="24"/>
          <w:szCs w:val="24"/>
          <w:highlight w:val="none"/>
        </w:rPr>
        <w:t>。</w:t>
      </w:r>
    </w:p>
    <w:p w14:paraId="08E1F49E">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（以下无正文）</w:t>
      </w:r>
    </w:p>
    <w:p w14:paraId="2DA14B24">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0B76B34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14333FC9">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甲方：                 乙方：</w:t>
      </w:r>
    </w:p>
    <w:p w14:paraId="34EEDFDF">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住所：                 住所：</w:t>
      </w:r>
    </w:p>
    <w:p w14:paraId="22B451D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单位负责人：              单位负责人：</w:t>
      </w:r>
    </w:p>
    <w:p w14:paraId="3E46B8D8">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委托代理人：              委托代理人：</w:t>
      </w:r>
    </w:p>
    <w:p w14:paraId="01251C9E">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联系方法：                   联系方法：</w:t>
      </w:r>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rPr>
        <w:t>纳税人识别号：                 纳税人识别号：</w:t>
      </w:r>
    </w:p>
    <w:p w14:paraId="1447F8D7">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开户银行：               开户银行：</w:t>
      </w:r>
    </w:p>
    <w:p w14:paraId="499EF52C">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账号：                 账号：</w:t>
      </w:r>
    </w:p>
    <w:p w14:paraId="4DED7E2B">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7B4A4E1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614E3EFC">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签订地点：</w:t>
      </w:r>
      <w:r>
        <w:rPr>
          <w:rFonts w:hint="eastAsia" w:ascii="宋体" w:hAnsi="宋体" w:eastAsia="宋体" w:cs="宋体"/>
          <w:color w:val="auto"/>
          <w:spacing w:val="0"/>
          <w:sz w:val="24"/>
          <w:szCs w:val="24"/>
          <w:highlight w:val="none"/>
          <w:u w:val="single"/>
        </w:rPr>
        <w:t>                </w:t>
      </w:r>
    </w:p>
    <w:p w14:paraId="73567286">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签订日期：</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月</w:t>
      </w:r>
      <w:r>
        <w:rPr>
          <w:rFonts w:hint="eastAsia" w:ascii="宋体" w:hAnsi="宋体" w:eastAsia="宋体" w:cs="宋体"/>
          <w:color w:val="auto"/>
          <w:spacing w:val="0"/>
          <w:sz w:val="24"/>
          <w:szCs w:val="24"/>
          <w:highlight w:val="none"/>
          <w:u w:val="single"/>
        </w:rPr>
        <w:t>   </w:t>
      </w:r>
      <w:r>
        <w:rPr>
          <w:rFonts w:hint="eastAsia" w:ascii="宋体" w:hAnsi="宋体" w:eastAsia="宋体" w:cs="宋体"/>
          <w:color w:val="auto"/>
          <w:spacing w:val="0"/>
          <w:sz w:val="24"/>
          <w:szCs w:val="24"/>
          <w:highlight w:val="none"/>
        </w:rPr>
        <w:t>日</w:t>
      </w:r>
    </w:p>
    <w:p w14:paraId="1CFCF5C3">
      <w:pPr>
        <w:pStyle w:val="14"/>
        <w:keepNext w:val="0"/>
        <w:keepLines w:val="0"/>
        <w:widowControl/>
        <w:suppressLineNumbers w:val="0"/>
        <w:spacing w:before="75" w:beforeAutospacing="0" w:after="75" w:afterAutospacing="0"/>
        <w:ind w:left="0" w:right="0" w:firstLine="0"/>
        <w:jc w:val="center"/>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4582EB28">
      <w:pPr>
        <w:pStyle w:val="14"/>
        <w:keepNext w:val="0"/>
        <w:keepLines w:val="0"/>
        <w:widowControl/>
        <w:suppressLineNumbers w:val="0"/>
        <w:spacing w:before="75" w:beforeAutospacing="0" w:after="240"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4"/>
          <w:szCs w:val="24"/>
          <w:highlight w:val="none"/>
        </w:rPr>
        <w:t> </w:t>
      </w:r>
    </w:p>
    <w:p w14:paraId="38C3541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1"/>
          <w:szCs w:val="21"/>
          <w:highlight w:val="none"/>
        </w:rPr>
        <w:t>                                                                                  </w:t>
      </w:r>
    </w:p>
    <w:p w14:paraId="03A60D98">
      <w:pPr>
        <w:rPr>
          <w:rStyle w:val="17"/>
          <w:rFonts w:hint="eastAsia" w:ascii="宋体" w:hAnsi="宋体" w:eastAsia="宋体" w:cs="宋体"/>
          <w:color w:val="auto"/>
          <w:spacing w:val="0"/>
          <w:sz w:val="31"/>
          <w:szCs w:val="31"/>
          <w:highlight w:val="none"/>
        </w:rPr>
      </w:pPr>
      <w:r>
        <w:rPr>
          <w:rStyle w:val="17"/>
          <w:rFonts w:hint="eastAsia" w:ascii="宋体" w:hAnsi="宋体" w:eastAsia="宋体" w:cs="宋体"/>
          <w:color w:val="auto"/>
          <w:spacing w:val="0"/>
          <w:sz w:val="31"/>
          <w:szCs w:val="31"/>
          <w:highlight w:val="none"/>
        </w:rPr>
        <w:br w:type="page"/>
      </w:r>
    </w:p>
    <w:p w14:paraId="35CCA1F1">
      <w:pPr>
        <w:pStyle w:val="14"/>
        <w:keepNext w:val="0"/>
        <w:keepLines w:val="0"/>
        <w:widowControl/>
        <w:suppressLineNumbers w:val="0"/>
        <w:spacing w:before="75" w:beforeAutospacing="0" w:after="75" w:afterAutospacing="0"/>
        <w:ind w:left="0" w:right="0" w:firstLine="0"/>
        <w:jc w:val="center"/>
        <w:outlineLvl w:val="0"/>
        <w:rPr>
          <w:rFonts w:hint="eastAsia" w:ascii="宋体" w:hAnsi="宋体" w:eastAsia="宋体" w:cs="宋体"/>
          <w:color w:val="auto"/>
          <w:highlight w:val="none"/>
        </w:rPr>
      </w:pPr>
      <w:bookmarkStart w:id="10" w:name="_Toc30408"/>
      <w:r>
        <w:rPr>
          <w:rStyle w:val="17"/>
          <w:rFonts w:hint="eastAsia" w:ascii="宋体" w:hAnsi="宋体" w:eastAsia="宋体" w:cs="宋体"/>
          <w:color w:val="auto"/>
          <w:spacing w:val="0"/>
          <w:sz w:val="31"/>
          <w:szCs w:val="31"/>
          <w:highlight w:val="none"/>
        </w:rPr>
        <w:t>第七章   投标文件格式</w:t>
      </w:r>
      <w:bookmarkEnd w:id="10"/>
    </w:p>
    <w:p w14:paraId="0666E9E6">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编制说明</w:t>
      </w:r>
    </w:p>
    <w:p w14:paraId="00836DE9">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1、除招标文件另有规定外，本章中：</w:t>
      </w:r>
    </w:p>
    <w:p w14:paraId="6296A1DB">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1.1涉及投标人的</w:t>
      </w:r>
      <w:r>
        <w:rPr>
          <w:rStyle w:val="17"/>
          <w:rFonts w:hint="eastAsia" w:ascii="宋体" w:hAnsi="宋体" w:eastAsia="宋体" w:cs="宋体"/>
          <w:color w:val="auto"/>
          <w:sz w:val="24"/>
          <w:szCs w:val="24"/>
          <w:highlight w:val="none"/>
        </w:rPr>
        <w:t>“全称”</w:t>
      </w:r>
      <w:r>
        <w:rPr>
          <w:rFonts w:hint="eastAsia" w:ascii="宋体" w:hAnsi="宋体" w:eastAsia="宋体" w:cs="宋体"/>
          <w:color w:val="auto"/>
          <w:sz w:val="24"/>
          <w:szCs w:val="24"/>
          <w:highlight w:val="none"/>
        </w:rPr>
        <w:t>：</w:t>
      </w:r>
    </w:p>
    <w:p w14:paraId="7CEADE08">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（1）不接受联合体投标的，指</w:t>
      </w:r>
      <w:r>
        <w:rPr>
          <w:rStyle w:val="17"/>
          <w:rFonts w:hint="eastAsia" w:ascii="宋体" w:hAnsi="宋体" w:eastAsia="宋体" w:cs="宋体"/>
          <w:color w:val="auto"/>
          <w:sz w:val="24"/>
          <w:szCs w:val="24"/>
          <w:highlight w:val="none"/>
        </w:rPr>
        <w:t>投标人的全称</w:t>
      </w:r>
      <w:r>
        <w:rPr>
          <w:rFonts w:hint="eastAsia" w:ascii="宋体" w:hAnsi="宋体" w:eastAsia="宋体" w:cs="宋体"/>
          <w:color w:val="auto"/>
          <w:sz w:val="24"/>
          <w:szCs w:val="24"/>
          <w:highlight w:val="none"/>
        </w:rPr>
        <w:t>。</w:t>
      </w:r>
    </w:p>
    <w:p w14:paraId="1051E990">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（2）接受联合体投标且投标人为联合体的，指</w:t>
      </w:r>
      <w:r>
        <w:rPr>
          <w:rStyle w:val="17"/>
          <w:rFonts w:hint="eastAsia" w:ascii="宋体" w:hAnsi="宋体" w:eastAsia="宋体" w:cs="宋体"/>
          <w:color w:val="auto"/>
          <w:sz w:val="24"/>
          <w:szCs w:val="24"/>
          <w:highlight w:val="none"/>
        </w:rPr>
        <w:t>牵头方的全称</w:t>
      </w:r>
      <w:r>
        <w:rPr>
          <w:rFonts w:hint="eastAsia" w:ascii="宋体" w:hAnsi="宋体" w:eastAsia="宋体" w:cs="宋体"/>
          <w:color w:val="auto"/>
          <w:sz w:val="24"/>
          <w:szCs w:val="24"/>
          <w:highlight w:val="none"/>
        </w:rPr>
        <w:t>并加注</w:t>
      </w:r>
      <w:r>
        <w:rPr>
          <w:rStyle w:val="17"/>
          <w:rFonts w:hint="eastAsia" w:ascii="宋体" w:hAnsi="宋体" w:eastAsia="宋体" w:cs="宋体"/>
          <w:color w:val="auto"/>
          <w:sz w:val="24"/>
          <w:szCs w:val="24"/>
          <w:highlight w:val="none"/>
        </w:rPr>
        <w:t>（联合体牵头方）</w:t>
      </w:r>
      <w:r>
        <w:rPr>
          <w:rFonts w:hint="eastAsia" w:ascii="宋体" w:hAnsi="宋体" w:eastAsia="宋体" w:cs="宋体"/>
          <w:color w:val="auto"/>
          <w:sz w:val="24"/>
          <w:szCs w:val="24"/>
          <w:highlight w:val="none"/>
        </w:rPr>
        <w:t>，即应表述为：</w:t>
      </w:r>
      <w:r>
        <w:rPr>
          <w:rStyle w:val="17"/>
          <w:rFonts w:hint="eastAsia" w:ascii="宋体" w:hAnsi="宋体" w:eastAsia="宋体" w:cs="宋体"/>
          <w:color w:val="auto"/>
          <w:sz w:val="24"/>
          <w:szCs w:val="24"/>
          <w:highlight w:val="none"/>
        </w:rPr>
        <w:t>“牵头方的全称（联合体牵头方）”</w:t>
      </w:r>
      <w:r>
        <w:rPr>
          <w:rFonts w:hint="eastAsia" w:ascii="宋体" w:hAnsi="宋体" w:eastAsia="宋体" w:cs="宋体"/>
          <w:color w:val="auto"/>
          <w:sz w:val="24"/>
          <w:szCs w:val="24"/>
          <w:highlight w:val="none"/>
        </w:rPr>
        <w:t>。</w:t>
      </w:r>
    </w:p>
    <w:p w14:paraId="01BA525B">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1.2涉及投标人</w:t>
      </w:r>
      <w:r>
        <w:rPr>
          <w:rStyle w:val="17"/>
          <w:rFonts w:hint="eastAsia" w:ascii="宋体" w:hAnsi="宋体" w:eastAsia="宋体" w:cs="宋体"/>
          <w:color w:val="auto"/>
          <w:sz w:val="24"/>
          <w:szCs w:val="24"/>
          <w:highlight w:val="none"/>
        </w:rPr>
        <w:t>“加盖单位公章”</w:t>
      </w:r>
      <w:r>
        <w:rPr>
          <w:rFonts w:hint="eastAsia" w:ascii="宋体" w:hAnsi="宋体" w:eastAsia="宋体" w:cs="宋体"/>
          <w:color w:val="auto"/>
          <w:sz w:val="24"/>
          <w:szCs w:val="24"/>
          <w:highlight w:val="none"/>
        </w:rPr>
        <w:t>：</w:t>
      </w:r>
    </w:p>
    <w:p w14:paraId="4CF13B6F">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（1）不接受联合体投标的，指</w:t>
      </w:r>
      <w:r>
        <w:rPr>
          <w:rStyle w:val="17"/>
          <w:rFonts w:hint="eastAsia" w:ascii="宋体" w:hAnsi="宋体" w:eastAsia="宋体" w:cs="宋体"/>
          <w:color w:val="auto"/>
          <w:sz w:val="24"/>
          <w:szCs w:val="24"/>
          <w:highlight w:val="none"/>
        </w:rPr>
        <w:t>加盖投标人的单位公章</w:t>
      </w:r>
      <w:r>
        <w:rPr>
          <w:rFonts w:hint="eastAsia" w:ascii="宋体" w:hAnsi="宋体" w:eastAsia="宋体" w:cs="宋体"/>
          <w:color w:val="auto"/>
          <w:sz w:val="24"/>
          <w:szCs w:val="24"/>
          <w:highlight w:val="none"/>
        </w:rPr>
        <w:t>。</w:t>
      </w:r>
    </w:p>
    <w:p w14:paraId="64B7F5D4">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（2）接受联合体投标且投标人为联合体的，指</w:t>
      </w:r>
      <w:r>
        <w:rPr>
          <w:rStyle w:val="17"/>
          <w:rFonts w:hint="eastAsia" w:ascii="宋体" w:hAnsi="宋体" w:eastAsia="宋体" w:cs="宋体"/>
          <w:color w:val="auto"/>
          <w:sz w:val="24"/>
          <w:szCs w:val="24"/>
          <w:highlight w:val="none"/>
        </w:rPr>
        <w:t>加盖联合体牵头方的单位公章</w:t>
      </w:r>
      <w:r>
        <w:rPr>
          <w:rFonts w:hint="eastAsia" w:ascii="宋体" w:hAnsi="宋体" w:eastAsia="宋体" w:cs="宋体"/>
          <w:color w:val="auto"/>
          <w:sz w:val="24"/>
          <w:szCs w:val="24"/>
          <w:highlight w:val="none"/>
        </w:rPr>
        <w:t>。</w:t>
      </w:r>
    </w:p>
    <w:p w14:paraId="719C9264">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1.3涉及</w:t>
      </w:r>
      <w:r>
        <w:rPr>
          <w:rStyle w:val="17"/>
          <w:rFonts w:hint="eastAsia" w:ascii="宋体" w:hAnsi="宋体" w:eastAsia="宋体" w:cs="宋体"/>
          <w:color w:val="auto"/>
          <w:sz w:val="24"/>
          <w:szCs w:val="24"/>
          <w:highlight w:val="none"/>
        </w:rPr>
        <w:t>“投标人代表签字”</w:t>
      </w:r>
      <w:r>
        <w:rPr>
          <w:rFonts w:hint="eastAsia" w:ascii="宋体" w:hAnsi="宋体" w:eastAsia="宋体" w:cs="宋体"/>
          <w:color w:val="auto"/>
          <w:sz w:val="24"/>
          <w:szCs w:val="24"/>
          <w:highlight w:val="none"/>
        </w:rPr>
        <w:t>：</w:t>
      </w:r>
    </w:p>
    <w:p w14:paraId="3DA2D1B0">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（1）不接受联合体投标的，指由</w:t>
      </w:r>
      <w:r>
        <w:rPr>
          <w:rStyle w:val="17"/>
          <w:rFonts w:hint="eastAsia" w:ascii="宋体" w:hAnsi="宋体" w:eastAsia="宋体" w:cs="宋体"/>
          <w:color w:val="auto"/>
          <w:sz w:val="24"/>
          <w:szCs w:val="24"/>
          <w:highlight w:val="none"/>
        </w:rPr>
        <w:t>投标人的单位负责人或其授权的委托代理人签字</w:t>
      </w:r>
      <w:r>
        <w:rPr>
          <w:rFonts w:hint="eastAsia" w:ascii="宋体" w:hAnsi="宋体" w:eastAsia="宋体" w:cs="宋体"/>
          <w:color w:val="auto"/>
          <w:sz w:val="24"/>
          <w:szCs w:val="24"/>
          <w:highlight w:val="none"/>
        </w:rPr>
        <w:t>，由委托代理人签字的，应提供“单位授权书”。</w:t>
      </w:r>
    </w:p>
    <w:p w14:paraId="22F99054">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（2）接受联合体投标且投标人为联合体的，指由</w:t>
      </w:r>
      <w:r>
        <w:rPr>
          <w:rStyle w:val="17"/>
          <w:rFonts w:hint="eastAsia" w:ascii="宋体" w:hAnsi="宋体" w:eastAsia="宋体" w:cs="宋体"/>
          <w:color w:val="auto"/>
          <w:sz w:val="24"/>
          <w:szCs w:val="24"/>
          <w:highlight w:val="none"/>
        </w:rPr>
        <w:t>联合体牵头方的单位负责人或其授权的委托代理人签字</w:t>
      </w:r>
      <w:r>
        <w:rPr>
          <w:rFonts w:hint="eastAsia" w:ascii="宋体" w:hAnsi="宋体" w:eastAsia="宋体" w:cs="宋体"/>
          <w:color w:val="auto"/>
          <w:sz w:val="24"/>
          <w:szCs w:val="24"/>
          <w:highlight w:val="none"/>
        </w:rPr>
        <w:t>，由委托代理人签字的，应提供“单位授权书”。</w:t>
      </w:r>
    </w:p>
    <w:p w14:paraId="41C6DDAB">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1.4</w:t>
      </w:r>
      <w:r>
        <w:rPr>
          <w:rStyle w:val="17"/>
          <w:rFonts w:hint="eastAsia" w:ascii="宋体" w:hAnsi="宋体" w:eastAsia="宋体" w:cs="宋体"/>
          <w:color w:val="auto"/>
          <w:sz w:val="24"/>
          <w:szCs w:val="24"/>
          <w:highlight w:val="none"/>
        </w:rPr>
        <w:t>“其他组织”</w:t>
      </w:r>
      <w:r>
        <w:rPr>
          <w:rFonts w:hint="eastAsia" w:ascii="宋体" w:hAnsi="宋体" w:eastAsia="宋体" w:cs="宋体"/>
          <w:color w:val="auto"/>
          <w:sz w:val="24"/>
          <w:szCs w:val="24"/>
          <w:highlight w:val="none"/>
        </w:rPr>
        <w:t>指合伙企业、非企业专业服务机构、个体工商户、农村承包经营户等。</w:t>
      </w:r>
    </w:p>
    <w:p w14:paraId="6E1181EF">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1.5</w:t>
      </w:r>
      <w:r>
        <w:rPr>
          <w:rStyle w:val="17"/>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rPr>
        <w:t>指具有完全民事行为能力、能够承担民事责任和义务的中国公民。</w:t>
      </w:r>
    </w:p>
    <w:p w14:paraId="5536675A">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2、除招标文件另有规定外，本章中</w:t>
      </w:r>
      <w:r>
        <w:rPr>
          <w:rStyle w:val="17"/>
          <w:rFonts w:hint="eastAsia" w:ascii="宋体" w:hAnsi="宋体" w:eastAsia="宋体" w:cs="宋体"/>
          <w:color w:val="auto"/>
          <w:sz w:val="24"/>
          <w:szCs w:val="24"/>
          <w:highlight w:val="none"/>
        </w:rPr>
        <w:t>“投标人的资格及资信证明文件”</w:t>
      </w:r>
      <w:r>
        <w:rPr>
          <w:rFonts w:hint="eastAsia" w:ascii="宋体" w:hAnsi="宋体" w:eastAsia="宋体" w:cs="宋体"/>
          <w:color w:val="auto"/>
          <w:sz w:val="24"/>
          <w:szCs w:val="24"/>
          <w:highlight w:val="none"/>
        </w:rPr>
        <w:t>：</w:t>
      </w:r>
    </w:p>
    <w:p w14:paraId="4E8D1757">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2.1投标人应按照招标文件第四章第1.3条第（2）款规定及本章规定进行编制，如有必要，可增加附页，附页作为资格及资信文件的组成部分。</w:t>
      </w:r>
    </w:p>
    <w:p w14:paraId="1EAE5AFD">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2.2接受联合体投标且投标人为联合体的，联合体中的各方均应按照本章第2.1条规定提交相应的全部资料。</w:t>
      </w:r>
    </w:p>
    <w:p w14:paraId="196AAF57">
      <w:pPr>
        <w:pStyle w:val="14"/>
        <w:keepNext w:val="0"/>
        <w:keepLines w:val="0"/>
        <w:widowControl/>
        <w:suppressLineNumbers w:val="0"/>
        <w:ind w:left="0" w:firstLine="480"/>
        <w:rPr>
          <w:rFonts w:hint="eastAsia" w:ascii="宋体" w:hAnsi="宋体" w:eastAsia="宋体" w:cs="宋体"/>
          <w:color w:val="auto"/>
          <w:highlight w:val="none"/>
        </w:rPr>
      </w:pPr>
      <w:r>
        <w:rPr>
          <w:rFonts w:hint="eastAsia" w:ascii="宋体" w:hAnsi="宋体" w:eastAsia="宋体" w:cs="宋体"/>
          <w:color w:val="auto"/>
          <w:sz w:val="24"/>
          <w:szCs w:val="24"/>
          <w:highlight w:val="none"/>
        </w:rPr>
        <w:t>3、投标人对投标文件的索引应编制页码。</w:t>
      </w:r>
    </w:p>
    <w:p w14:paraId="5809CF49">
      <w:pPr>
        <w:pStyle w:val="14"/>
        <w:keepNext w:val="0"/>
        <w:keepLines w:val="0"/>
        <w:widowControl/>
        <w:suppressLineNumbers w:val="0"/>
        <w:ind w:left="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4、本章提供格式仅供参考，投标人应根据自身实际情况制作投标文件。</w:t>
      </w:r>
    </w:p>
    <w:p w14:paraId="17A913DC">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CFAFBA9">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封面格式</w:t>
      </w:r>
    </w:p>
    <w:p w14:paraId="3D7B0F85">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48"/>
          <w:szCs w:val="48"/>
          <w:highlight w:val="none"/>
        </w:rPr>
        <w:t>福建省政府采购投标文件</w:t>
      </w:r>
    </w:p>
    <w:p w14:paraId="0012EE20">
      <w:pPr>
        <w:pStyle w:val="14"/>
        <w:keepNext w:val="0"/>
        <w:keepLines w:val="0"/>
        <w:widowControl/>
        <w:suppressLineNumbers w:val="0"/>
        <w:jc w:val="center"/>
        <w:outlineLvl w:val="1"/>
        <w:rPr>
          <w:rFonts w:hint="eastAsia" w:ascii="宋体" w:hAnsi="宋体" w:eastAsia="宋体" w:cs="宋体"/>
          <w:color w:val="auto"/>
          <w:highlight w:val="none"/>
        </w:rPr>
      </w:pPr>
      <w:bookmarkStart w:id="11" w:name="_Toc20032"/>
      <w:r>
        <w:rPr>
          <w:rStyle w:val="17"/>
          <w:rFonts w:hint="eastAsia" w:ascii="宋体" w:hAnsi="宋体" w:eastAsia="宋体" w:cs="宋体"/>
          <w:color w:val="auto"/>
          <w:sz w:val="48"/>
          <w:szCs w:val="48"/>
          <w:highlight w:val="none"/>
        </w:rPr>
        <w:t>（资格及资信证明部分）</w:t>
      </w:r>
      <w:bookmarkEnd w:id="11"/>
    </w:p>
    <w:p w14:paraId="1D5673B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13E0713E">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6"/>
          <w:szCs w:val="36"/>
          <w:highlight w:val="none"/>
          <w:u w:val="single"/>
        </w:rPr>
        <w:t>（填写正本或副本）</w:t>
      </w:r>
    </w:p>
    <w:p w14:paraId="0241C13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18B411D2">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项目名称：</w:t>
      </w:r>
      <w:r>
        <w:rPr>
          <w:rStyle w:val="17"/>
          <w:rFonts w:hint="eastAsia" w:ascii="宋体" w:hAnsi="宋体" w:eastAsia="宋体" w:cs="宋体"/>
          <w:color w:val="auto"/>
          <w:sz w:val="31"/>
          <w:szCs w:val="31"/>
          <w:highlight w:val="none"/>
          <w:u w:val="single"/>
        </w:rPr>
        <w:t>（由投标人填写）</w:t>
      </w:r>
    </w:p>
    <w:p w14:paraId="67FA8602">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备案编号：</w:t>
      </w:r>
      <w:r>
        <w:rPr>
          <w:rStyle w:val="17"/>
          <w:rFonts w:hint="eastAsia" w:ascii="宋体" w:hAnsi="宋体" w:eastAsia="宋体" w:cs="宋体"/>
          <w:color w:val="auto"/>
          <w:sz w:val="31"/>
          <w:szCs w:val="31"/>
          <w:highlight w:val="none"/>
          <w:u w:val="single"/>
        </w:rPr>
        <w:t>（由投标人填写）</w:t>
      </w:r>
    </w:p>
    <w:p w14:paraId="0D6DB2E9">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项目编号：</w:t>
      </w:r>
      <w:r>
        <w:rPr>
          <w:rStyle w:val="17"/>
          <w:rFonts w:hint="eastAsia" w:ascii="宋体" w:hAnsi="宋体" w:eastAsia="宋体" w:cs="宋体"/>
          <w:color w:val="auto"/>
          <w:sz w:val="31"/>
          <w:szCs w:val="31"/>
          <w:highlight w:val="none"/>
          <w:u w:val="single"/>
        </w:rPr>
        <w:t>（由投标人填写）</w:t>
      </w:r>
    </w:p>
    <w:p w14:paraId="06B37E43">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所投采购包：</w:t>
      </w:r>
      <w:r>
        <w:rPr>
          <w:rStyle w:val="17"/>
          <w:rFonts w:hint="eastAsia" w:ascii="宋体" w:hAnsi="宋体" w:eastAsia="宋体" w:cs="宋体"/>
          <w:color w:val="auto"/>
          <w:sz w:val="31"/>
          <w:szCs w:val="31"/>
          <w:highlight w:val="none"/>
          <w:u w:val="single"/>
        </w:rPr>
        <w:t>（由投标人填写）</w:t>
      </w:r>
    </w:p>
    <w:p w14:paraId="428B8CF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67E18418">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投标人：</w:t>
      </w:r>
      <w:r>
        <w:rPr>
          <w:rStyle w:val="17"/>
          <w:rFonts w:hint="eastAsia" w:ascii="宋体" w:hAnsi="宋体" w:eastAsia="宋体" w:cs="宋体"/>
          <w:color w:val="auto"/>
          <w:sz w:val="31"/>
          <w:szCs w:val="31"/>
          <w:highlight w:val="none"/>
          <w:u w:val="single"/>
        </w:rPr>
        <w:t>（填写“全称”）</w:t>
      </w:r>
    </w:p>
    <w:p w14:paraId="51778494">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u w:val="single"/>
        </w:rPr>
        <w:t>（由投标人填写）</w:t>
      </w:r>
      <w:r>
        <w:rPr>
          <w:rStyle w:val="17"/>
          <w:rFonts w:hint="eastAsia" w:ascii="宋体" w:hAnsi="宋体" w:eastAsia="宋体" w:cs="宋体"/>
          <w:color w:val="auto"/>
          <w:sz w:val="31"/>
          <w:szCs w:val="31"/>
          <w:highlight w:val="none"/>
        </w:rPr>
        <w:t>年</w:t>
      </w:r>
      <w:r>
        <w:rPr>
          <w:rStyle w:val="17"/>
          <w:rFonts w:hint="eastAsia" w:ascii="宋体" w:hAnsi="宋体" w:eastAsia="宋体" w:cs="宋体"/>
          <w:color w:val="auto"/>
          <w:sz w:val="31"/>
          <w:szCs w:val="31"/>
          <w:highlight w:val="none"/>
          <w:u w:val="single"/>
        </w:rPr>
        <w:t>（由投标人填写）</w:t>
      </w:r>
      <w:r>
        <w:rPr>
          <w:rStyle w:val="17"/>
          <w:rFonts w:hint="eastAsia" w:ascii="宋体" w:hAnsi="宋体" w:eastAsia="宋体" w:cs="宋体"/>
          <w:color w:val="auto"/>
          <w:sz w:val="31"/>
          <w:szCs w:val="31"/>
          <w:highlight w:val="none"/>
        </w:rPr>
        <w:t>月</w:t>
      </w:r>
    </w:p>
    <w:p w14:paraId="2A2D9AB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2E8D378">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3EB1087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B7336F0">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索引</w:t>
      </w:r>
    </w:p>
    <w:p w14:paraId="51F9689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一、投标函</w:t>
      </w:r>
    </w:p>
    <w:p w14:paraId="3ECAC1E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二、投标人的资格及资信证明文件</w:t>
      </w:r>
    </w:p>
    <w:p w14:paraId="00F064D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三、投标保证金</w:t>
      </w:r>
    </w:p>
    <w:p w14:paraId="75608EF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1A8548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1ADBC2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F2B58C6">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7DE3E164">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资格及资信证明部分中不得出现报价部分的全部或部分的投标报价信息（或组成资料），否则</w:t>
      </w:r>
      <w:r>
        <w:rPr>
          <w:rStyle w:val="17"/>
          <w:rFonts w:hint="eastAsia" w:ascii="宋体" w:hAnsi="宋体" w:eastAsia="宋体" w:cs="宋体"/>
          <w:color w:val="auto"/>
          <w:sz w:val="21"/>
          <w:szCs w:val="21"/>
          <w:highlight w:val="none"/>
        </w:rPr>
        <w:t>资格审查不合格</w:t>
      </w:r>
      <w:r>
        <w:rPr>
          <w:rFonts w:hint="eastAsia" w:ascii="宋体" w:hAnsi="宋体" w:eastAsia="宋体" w:cs="宋体"/>
          <w:color w:val="auto"/>
          <w:sz w:val="21"/>
          <w:szCs w:val="21"/>
          <w:highlight w:val="none"/>
        </w:rPr>
        <w:t>。（联合体协议及分包意向协议中的比例规定，不适用本条款）</w:t>
      </w:r>
    </w:p>
    <w:p w14:paraId="70242FC8">
      <w:pPr>
        <w:pStyle w:val="14"/>
        <w:keepNext w:val="0"/>
        <w:keepLines w:val="0"/>
        <w:widowControl/>
        <w:suppressLineNumbers w:val="0"/>
        <w:rPr>
          <w:rFonts w:hint="eastAsia" w:ascii="宋体" w:hAnsi="宋体" w:eastAsia="宋体" w:cs="宋体"/>
          <w:color w:val="auto"/>
          <w:highlight w:val="none"/>
        </w:rPr>
      </w:pPr>
    </w:p>
    <w:p w14:paraId="658ED760">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57E1B612">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一、投标函</w:t>
      </w:r>
    </w:p>
    <w:p w14:paraId="21A52BD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w:t>
      </w:r>
    </w:p>
    <w:p w14:paraId="3A7FDFEF">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兹收到贵单位关于</w:t>
      </w:r>
      <w:r>
        <w:rPr>
          <w:rFonts w:hint="eastAsia" w:ascii="宋体" w:hAnsi="宋体" w:eastAsia="宋体" w:cs="宋体"/>
          <w:color w:val="auto"/>
          <w:sz w:val="21"/>
          <w:szCs w:val="21"/>
          <w:highlight w:val="none"/>
          <w:u w:val="single"/>
        </w:rPr>
        <w:t>（填写“项目名称”）</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）的投标邀请，本投标人代表</w:t>
      </w:r>
      <w:r>
        <w:rPr>
          <w:rFonts w:hint="eastAsia" w:ascii="宋体" w:hAnsi="宋体" w:eastAsia="宋体" w:cs="宋体"/>
          <w:color w:val="auto"/>
          <w:sz w:val="21"/>
          <w:szCs w:val="21"/>
          <w:highlight w:val="none"/>
          <w:u w:val="single"/>
        </w:rPr>
        <w:t>（填写“全名”）</w:t>
      </w:r>
      <w:r>
        <w:rPr>
          <w:rFonts w:hint="eastAsia" w:ascii="宋体" w:hAnsi="宋体" w:eastAsia="宋体" w:cs="宋体"/>
          <w:color w:val="auto"/>
          <w:sz w:val="21"/>
          <w:szCs w:val="21"/>
          <w:highlight w:val="none"/>
        </w:rPr>
        <w:t>已获得我方正式授权并代表投标人</w:t>
      </w:r>
      <w:r>
        <w:rPr>
          <w:rFonts w:hint="eastAsia" w:ascii="宋体" w:hAnsi="宋体" w:eastAsia="宋体" w:cs="宋体"/>
          <w:color w:val="auto"/>
          <w:sz w:val="21"/>
          <w:szCs w:val="21"/>
          <w:highlight w:val="none"/>
          <w:u w:val="single"/>
        </w:rPr>
        <w:t>（填写“全称”）</w:t>
      </w:r>
      <w:r>
        <w:rPr>
          <w:rFonts w:hint="eastAsia" w:ascii="宋体" w:hAnsi="宋体" w:eastAsia="宋体" w:cs="宋体"/>
          <w:color w:val="auto"/>
          <w:sz w:val="21"/>
          <w:szCs w:val="21"/>
          <w:highlight w:val="none"/>
        </w:rPr>
        <w:t>参加投标，并提交招标文件。我方提交的全部投标文件均由下述部分组成：</w:t>
      </w:r>
    </w:p>
    <w:p w14:paraId="45B36B00">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（1）资格及资信证明部分</w:t>
      </w:r>
    </w:p>
    <w:p w14:paraId="76863CD8">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①投标函</w:t>
      </w:r>
    </w:p>
    <w:p w14:paraId="58479DB2">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②投标人的资格及资信证明文件</w:t>
      </w:r>
    </w:p>
    <w:p w14:paraId="6406A091">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③投标保证金</w:t>
      </w:r>
    </w:p>
    <w:p w14:paraId="12BB80E9">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（2）报价部分</w:t>
      </w:r>
    </w:p>
    <w:p w14:paraId="610EF02A">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①开标一览表</w:t>
      </w:r>
    </w:p>
    <w:p w14:paraId="1B7CD59B">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②投标分项报价表</w:t>
      </w:r>
    </w:p>
    <w:p w14:paraId="4E8800BD">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③招标文件规定的价格扣除证明材料（若有）</w:t>
      </w:r>
    </w:p>
    <w:p w14:paraId="2DA3DAF5">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④招标文件规定的加分证明材料（若有）</w:t>
      </w:r>
    </w:p>
    <w:p w14:paraId="58F10B07">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（3）技术商务部分</w:t>
      </w:r>
    </w:p>
    <w:p w14:paraId="4702E22D">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①标的说明一览表</w:t>
      </w:r>
    </w:p>
    <w:p w14:paraId="2BD90399">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②技术和服务要求响应表</w:t>
      </w:r>
    </w:p>
    <w:p w14:paraId="7F47A875">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③商务条件响应表</w:t>
      </w:r>
    </w:p>
    <w:p w14:paraId="372BDA39">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④投标人提交的其他资料（若有）</w:t>
      </w:r>
    </w:p>
    <w:p w14:paraId="1D062D0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根据本函，本投标人代表宣布我方保证遵守招标文件的全部规定，同时：</w:t>
      </w:r>
    </w:p>
    <w:p w14:paraId="7E627016">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r>
        <w:rPr>
          <w:rStyle w:val="17"/>
          <w:rFonts w:hint="eastAsia" w:ascii="宋体" w:hAnsi="宋体" w:eastAsia="宋体" w:cs="宋体"/>
          <w:color w:val="auto"/>
          <w:sz w:val="21"/>
          <w:szCs w:val="21"/>
          <w:highlight w:val="none"/>
        </w:rPr>
        <w:t>确认：</w:t>
      </w:r>
    </w:p>
    <w:p w14:paraId="6AE71C5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1.1所投采购包的投标报价详见“开标一览表”及“投标分项报价表”。</w:t>
      </w:r>
    </w:p>
    <w:p w14:paraId="796FC1D9">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1.2我方已详细审查全部招标文件[包括但不限于：有关附件（若有）、澄清或修改（若有）等]，并自行承担因对全部招标文件理解不正确或误解而产生的相应后果和责任。</w:t>
      </w:r>
    </w:p>
    <w:p w14:paraId="7BCF524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r>
        <w:rPr>
          <w:rStyle w:val="17"/>
          <w:rFonts w:hint="eastAsia" w:ascii="宋体" w:hAnsi="宋体" w:eastAsia="宋体" w:cs="宋体"/>
          <w:color w:val="auto"/>
          <w:sz w:val="21"/>
          <w:szCs w:val="21"/>
          <w:highlight w:val="none"/>
        </w:rPr>
        <w:t>承诺及声明：</w:t>
      </w:r>
    </w:p>
    <w:p w14:paraId="20F61CE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2.1我方具备招标文件第一章载明的“投标人的资格要求”且符合招标文件第三章载明的“二、投标人”之规定，否则</w:t>
      </w:r>
      <w:r>
        <w:rPr>
          <w:rStyle w:val="17"/>
          <w:rFonts w:hint="eastAsia" w:ascii="宋体" w:hAnsi="宋体" w:eastAsia="宋体" w:cs="宋体"/>
          <w:color w:val="auto"/>
          <w:sz w:val="21"/>
          <w:szCs w:val="21"/>
          <w:highlight w:val="none"/>
        </w:rPr>
        <w:t>投标无效。</w:t>
      </w:r>
    </w:p>
    <w:p w14:paraId="1CEBD744">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2.2我方提交的投标文件各组成部分的全部内容及资料是不可割离且真实、有效、准确、完整和不具有任何误导性的，否则产生不利后果由我方承担责任。</w:t>
      </w:r>
    </w:p>
    <w:p w14:paraId="5813511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2.3我方提供的标的价格不高于同期市场价格，否则产生不利后果由我方承担责任。</w:t>
      </w:r>
    </w:p>
    <w:p w14:paraId="5F068C2E">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2.4投标保证金：若出现招标文件第三章规定的不予退还情形，同意贵单位不予退还。</w:t>
      </w:r>
    </w:p>
    <w:p w14:paraId="6E3E971E">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2.5投标有效期：按照招标文件第三章规定执行，并在招标文件第二章载明的期限内保持有效。</w:t>
      </w:r>
    </w:p>
    <w:p w14:paraId="1BFACDA9">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2.6若中标，将按照招标文件、我方投标文件及政府采购合同履行责任和义务。</w:t>
      </w:r>
    </w:p>
    <w:p w14:paraId="773C7BDD">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2.7若贵单位要求，我方同意提供与本项目投标有关的一切资料、数据或文件，并完全理解贵单位不一定要接受最低的投标报价或收到的任何投标。</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2.8我方承诺投标文件所提供的全部资料真实可靠，并接受评标委员会、采购人、采购代理机构、监管部门进一步审查其中任何资料真实性的要求。</w:t>
      </w:r>
    </w:p>
    <w:p w14:paraId="32DC0F82">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2.9除招标文件另有规定外，对于贵单位按照下述联络方式发出的任何信息或通知，均视为我方已收悉前述信息或通知的全部内容：</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w:t>
      </w:r>
      <w:r>
        <w:rPr>
          <w:rFonts w:hint="eastAsia" w:ascii="宋体" w:hAnsi="宋体" w:eastAsia="宋体" w:cs="宋体"/>
          <w:color w:val="auto"/>
          <w:sz w:val="21"/>
          <w:szCs w:val="21"/>
          <w:highlight w:val="none"/>
          <w:u w:val="none"/>
        </w:rPr>
        <w:t>通信地址：                                        </w:t>
      </w:r>
      <w:r>
        <w:rPr>
          <w:rFonts w:hint="eastAsia" w:ascii="宋体" w:hAnsi="宋体" w:eastAsia="宋体" w:cs="宋体"/>
          <w:color w:val="auto"/>
          <w:sz w:val="21"/>
          <w:szCs w:val="21"/>
          <w:highlight w:val="none"/>
          <w:u w:val="none"/>
        </w:rPr>
        <w:br w:type="textWrapping"/>
      </w:r>
      <w:r>
        <w:rPr>
          <w:rFonts w:hint="eastAsia" w:ascii="宋体" w:hAnsi="宋体" w:eastAsia="宋体" w:cs="宋体"/>
          <w:color w:val="auto"/>
          <w:sz w:val="21"/>
          <w:szCs w:val="21"/>
          <w:highlight w:val="none"/>
          <w:u w:val="none"/>
        </w:rPr>
        <w:t>  邮编：                                           </w:t>
      </w:r>
      <w:r>
        <w:rPr>
          <w:rFonts w:hint="eastAsia" w:ascii="宋体" w:hAnsi="宋体" w:eastAsia="宋体" w:cs="宋体"/>
          <w:color w:val="auto"/>
          <w:sz w:val="21"/>
          <w:szCs w:val="21"/>
          <w:highlight w:val="none"/>
          <w:u w:val="none"/>
        </w:rPr>
        <w:br w:type="textWrapping"/>
      </w:r>
      <w:r>
        <w:rPr>
          <w:rFonts w:hint="eastAsia" w:ascii="宋体" w:hAnsi="宋体" w:eastAsia="宋体" w:cs="宋体"/>
          <w:color w:val="auto"/>
          <w:sz w:val="21"/>
          <w:szCs w:val="21"/>
          <w:highlight w:val="none"/>
          <w:u w:val="none"/>
        </w:rPr>
        <w:t>  联系方法：（包括但不限于：联系人、联系电话、手机、传真、电子邮箱等）</w:t>
      </w:r>
      <w:r>
        <w:rPr>
          <w:rFonts w:hint="eastAsia" w:ascii="宋体" w:hAnsi="宋体" w:eastAsia="宋体" w:cs="宋体"/>
          <w:color w:val="auto"/>
          <w:sz w:val="21"/>
          <w:szCs w:val="21"/>
          <w:highlight w:val="none"/>
          <w:u w:val="none"/>
        </w:rPr>
        <w:br w:type="textWrapping"/>
      </w:r>
      <w:r>
        <w:rPr>
          <w:rFonts w:hint="eastAsia" w:ascii="宋体" w:hAnsi="宋体" w:eastAsia="宋体" w:cs="宋体"/>
          <w:color w:val="auto"/>
          <w:sz w:val="21"/>
          <w:szCs w:val="21"/>
          <w:highlight w:val="none"/>
          <w:u w:val="none"/>
        </w:rPr>
        <w:t>  投标人：（全称并加盖单位公章）</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w:t>
      </w:r>
      <w:r>
        <w:rPr>
          <w:rFonts w:hint="eastAsia" w:ascii="宋体" w:hAnsi="宋体" w:eastAsia="宋体" w:cs="宋体"/>
          <w:color w:val="auto"/>
          <w:sz w:val="21"/>
          <w:szCs w:val="21"/>
          <w:highlight w:val="none"/>
          <w:u w:val="none"/>
        </w:rPr>
        <w:t>日期：    年   月   日</w:t>
      </w:r>
    </w:p>
    <w:p w14:paraId="4958ADE6">
      <w:pPr>
        <w:pStyle w:val="14"/>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textWrapping"/>
      </w:r>
    </w:p>
    <w:p w14:paraId="5D043F6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D75A950">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二、投标人的资格及资信证明文件</w:t>
      </w:r>
    </w:p>
    <w:p w14:paraId="5C93F9AF">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二-1单位授权书（若有）</w:t>
      </w:r>
    </w:p>
    <w:p w14:paraId="246CD5F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1C240E36">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我方的单位负责人</w:t>
      </w:r>
      <w:r>
        <w:rPr>
          <w:rFonts w:hint="eastAsia" w:ascii="宋体" w:hAnsi="宋体" w:eastAsia="宋体" w:cs="宋体"/>
          <w:color w:val="auto"/>
          <w:sz w:val="21"/>
          <w:szCs w:val="21"/>
          <w:highlight w:val="none"/>
          <w:u w:val="single"/>
        </w:rPr>
        <w:t>（填写“单位负责人全名”）</w:t>
      </w:r>
      <w:r>
        <w:rPr>
          <w:rFonts w:hint="eastAsia" w:ascii="宋体" w:hAnsi="宋体" w:eastAsia="宋体" w:cs="宋体"/>
          <w:color w:val="auto"/>
          <w:sz w:val="21"/>
          <w:szCs w:val="21"/>
          <w:highlight w:val="none"/>
        </w:rPr>
        <w:t>授权</w:t>
      </w:r>
      <w:r>
        <w:rPr>
          <w:rFonts w:hint="eastAsia" w:ascii="宋体" w:hAnsi="宋体" w:eastAsia="宋体" w:cs="宋体"/>
          <w:color w:val="auto"/>
          <w:sz w:val="21"/>
          <w:szCs w:val="21"/>
          <w:highlight w:val="none"/>
          <w:u w:val="single"/>
        </w:rPr>
        <w:t>（填写“投标人代表全名”）</w:t>
      </w:r>
      <w:r>
        <w:rPr>
          <w:rFonts w:hint="eastAsia" w:ascii="宋体" w:hAnsi="宋体" w:eastAsia="宋体" w:cs="宋体"/>
          <w:color w:val="auto"/>
          <w:sz w:val="21"/>
          <w:szCs w:val="21"/>
          <w:highlight w:val="none"/>
        </w:rPr>
        <w:t>为投标人代表，代表我方参加</w:t>
      </w:r>
      <w:r>
        <w:rPr>
          <w:rFonts w:hint="eastAsia" w:ascii="宋体" w:hAnsi="宋体" w:eastAsia="宋体" w:cs="宋体"/>
          <w:color w:val="auto"/>
          <w:sz w:val="21"/>
          <w:szCs w:val="21"/>
          <w:highlight w:val="none"/>
          <w:u w:val="single"/>
        </w:rPr>
        <w:t>（填写“项目名称”）</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DF53082">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投标人代表无转委权。特此授权。</w:t>
      </w:r>
    </w:p>
    <w:p w14:paraId="5B48B464">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（以下无正文）</w:t>
      </w:r>
    </w:p>
    <w:p w14:paraId="26299BA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D76B1F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单位负责人：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手机：</w:t>
      </w:r>
      <w:r>
        <w:rPr>
          <w:rFonts w:hint="eastAsia" w:ascii="宋体" w:hAnsi="宋体" w:eastAsia="宋体" w:cs="宋体"/>
          <w:color w:val="auto"/>
          <w:sz w:val="21"/>
          <w:szCs w:val="21"/>
          <w:highlight w:val="none"/>
          <w:u w:val="single"/>
        </w:rPr>
        <w:t>              </w:t>
      </w:r>
    </w:p>
    <w:p w14:paraId="434EE80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投标人代表：</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手机：</w:t>
      </w:r>
      <w:r>
        <w:rPr>
          <w:rFonts w:hint="eastAsia" w:ascii="宋体" w:hAnsi="宋体" w:eastAsia="宋体" w:cs="宋体"/>
          <w:color w:val="auto"/>
          <w:sz w:val="21"/>
          <w:szCs w:val="21"/>
          <w:highlight w:val="none"/>
          <w:u w:val="single"/>
        </w:rPr>
        <w:t>              </w:t>
      </w:r>
    </w:p>
    <w:p w14:paraId="7B8731A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0AF116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授权方</w:t>
      </w:r>
    </w:p>
    <w:p w14:paraId="3AA123F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61741F4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451094A">
      <w:pPr>
        <w:pStyle w:val="14"/>
        <w:keepNext w:val="0"/>
        <w:keepLines w:val="0"/>
        <w:widowControl/>
        <w:suppressLineNumbers w:val="0"/>
        <w:jc w:val="right"/>
        <w:rPr>
          <w:rFonts w:hint="eastAsia" w:ascii="宋体" w:hAnsi="宋体" w:eastAsia="宋体" w:cs="宋体"/>
          <w:color w:val="auto"/>
          <w:highlight w:val="none"/>
        </w:rPr>
      </w:pPr>
      <w:r>
        <w:rPr>
          <w:rFonts w:hint="eastAsia" w:ascii="宋体" w:hAnsi="宋体" w:eastAsia="宋体" w:cs="宋体"/>
          <w:color w:val="auto"/>
          <w:sz w:val="21"/>
          <w:szCs w:val="21"/>
          <w:highlight w:val="none"/>
        </w:rPr>
        <w:t>签署日期：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01AAD82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778A87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附：单位负责人、投标人代表的身份证正反面复印件</w:t>
      </w:r>
    </w:p>
    <w:tbl>
      <w:tblPr>
        <w:tblStyle w:val="15"/>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8520"/>
      </w:tblGrid>
      <w:tr w14:paraId="2B331F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8460" w:type="dxa"/>
            <w:tcBorders>
              <w:top w:val="nil"/>
              <w:left w:val="nil"/>
              <w:bottom w:val="nil"/>
              <w:right w:val="nil"/>
            </w:tcBorders>
            <w:shd w:val="clear" w:color="auto" w:fill="auto"/>
            <w:tcMar>
              <w:top w:w="0" w:type="dxa"/>
              <w:left w:w="105" w:type="dxa"/>
              <w:bottom w:w="0" w:type="dxa"/>
              <w:right w:w="105" w:type="dxa"/>
            </w:tcMar>
            <w:vAlign w:val="center"/>
          </w:tcPr>
          <w:p w14:paraId="4AF33C61">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1DF23EDA">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要求：真实有效且内容完整、清晰、整洁。</w:t>
            </w:r>
          </w:p>
          <w:p w14:paraId="74156518">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tc>
      </w:tr>
    </w:tbl>
    <w:p w14:paraId="4E10109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6456FD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0967A96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1、企业（银行、保险、石油石化、电力、电信等行业除外）、事业单位和社会团体法人的“单位负责人”指</w:t>
      </w:r>
      <w:r>
        <w:rPr>
          <w:rStyle w:val="17"/>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rPr>
        <w:t>，即与实际提交的“营业执照等证明文件”载明的一致。</w:t>
      </w:r>
    </w:p>
    <w:p w14:paraId="3F32CD7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79CAC2C">
      <w:pPr>
        <w:pStyle w:val="14"/>
        <w:keepNext w:val="0"/>
        <w:keepLines w:val="0"/>
        <w:widowControl/>
        <w:suppressLineNumbers w:val="0"/>
        <w:spacing w:after="240"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3、投标人（自然人除外）：若投标人代表为单位授权的委托代理人，应提供本授权书；若投标人代表为单位负责人，应在此项下提交其身份证正反面复印件，可不提供本授权书。</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4、投标人为自然人的，可不填写本授权书。</w:t>
      </w:r>
    </w:p>
    <w:p w14:paraId="16EF3FE8">
      <w:pPr>
        <w:pStyle w:val="14"/>
        <w:keepNext w:val="0"/>
        <w:keepLines w:val="0"/>
        <w:widowControl/>
        <w:suppressLineNumbers w:val="0"/>
        <w:rPr>
          <w:rFonts w:hint="eastAsia" w:ascii="宋体" w:hAnsi="宋体" w:eastAsia="宋体" w:cs="宋体"/>
          <w:color w:val="auto"/>
          <w:highlight w:val="none"/>
        </w:rPr>
      </w:pPr>
    </w:p>
    <w:p w14:paraId="689F842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38F041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DD8B24E">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6FB9FEC2">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二-2营业执照等证明文件</w:t>
      </w:r>
    </w:p>
    <w:p w14:paraId="2059B77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C93B9A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4DD5EA57">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）投标人为法人（包括企业、事业单位和社会团体）的</w:t>
      </w:r>
    </w:p>
    <w:p w14:paraId="7FB755C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现附上由</w:t>
      </w:r>
      <w:r>
        <w:rPr>
          <w:rFonts w:hint="eastAsia" w:ascii="宋体" w:hAnsi="宋体" w:eastAsia="宋体" w:cs="宋体"/>
          <w:color w:val="auto"/>
          <w:sz w:val="21"/>
          <w:szCs w:val="21"/>
          <w:highlight w:val="none"/>
          <w:u w:val="single"/>
        </w:rPr>
        <w:t>（填写“签发机关全称”）</w:t>
      </w:r>
      <w:r>
        <w:rPr>
          <w:rFonts w:hint="eastAsia" w:ascii="宋体" w:hAnsi="宋体" w:eastAsia="宋体" w:cs="宋体"/>
          <w:color w:val="auto"/>
          <w:sz w:val="21"/>
          <w:szCs w:val="21"/>
          <w:highlight w:val="none"/>
        </w:rPr>
        <w:t>签发的我方统一社会信用代码</w:t>
      </w:r>
      <w:r>
        <w:rPr>
          <w:rFonts w:hint="eastAsia" w:ascii="宋体" w:hAnsi="宋体" w:eastAsia="宋体" w:cs="宋体"/>
          <w:color w:val="auto"/>
          <w:sz w:val="21"/>
          <w:szCs w:val="21"/>
          <w:highlight w:val="none"/>
          <w:u w:val="single"/>
        </w:rPr>
        <w:t>（请填写法人的具体证照名称）</w:t>
      </w:r>
      <w:r>
        <w:rPr>
          <w:rFonts w:hint="eastAsia" w:ascii="宋体" w:hAnsi="宋体" w:eastAsia="宋体" w:cs="宋体"/>
          <w:color w:val="auto"/>
          <w:sz w:val="21"/>
          <w:szCs w:val="21"/>
          <w:highlight w:val="none"/>
        </w:rPr>
        <w:t>复印件，该证明材料真实有效，否则我方负全部责任。</w:t>
      </w:r>
    </w:p>
    <w:p w14:paraId="7DFCB84D">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）投标人为非法人（包括其他组织、自然人）的</w:t>
      </w:r>
    </w:p>
    <w:p w14:paraId="5AB4E775">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□现附上由</w:t>
      </w:r>
      <w:r>
        <w:rPr>
          <w:rFonts w:hint="eastAsia" w:ascii="宋体" w:hAnsi="宋体" w:eastAsia="宋体" w:cs="宋体"/>
          <w:color w:val="auto"/>
          <w:sz w:val="21"/>
          <w:szCs w:val="21"/>
          <w:highlight w:val="none"/>
          <w:u w:val="single"/>
        </w:rPr>
        <w:t>（填写“签发机关全称”）</w:t>
      </w:r>
      <w:r>
        <w:rPr>
          <w:rFonts w:hint="eastAsia" w:ascii="宋体" w:hAnsi="宋体" w:eastAsia="宋体" w:cs="宋体"/>
          <w:color w:val="auto"/>
          <w:sz w:val="21"/>
          <w:szCs w:val="21"/>
          <w:highlight w:val="none"/>
        </w:rPr>
        <w:t>签发的我方</w:t>
      </w:r>
      <w:r>
        <w:rPr>
          <w:rFonts w:hint="eastAsia" w:ascii="宋体" w:hAnsi="宋体" w:eastAsia="宋体" w:cs="宋体"/>
          <w:color w:val="auto"/>
          <w:sz w:val="21"/>
          <w:szCs w:val="21"/>
          <w:highlight w:val="none"/>
          <w:u w:val="single"/>
        </w:rPr>
        <w:t>（请填写非自然人的非法人的具体证照名称）</w:t>
      </w:r>
      <w:r>
        <w:rPr>
          <w:rFonts w:hint="eastAsia" w:ascii="宋体" w:hAnsi="宋体" w:eastAsia="宋体" w:cs="宋体"/>
          <w:color w:val="auto"/>
          <w:sz w:val="21"/>
          <w:szCs w:val="21"/>
          <w:highlight w:val="none"/>
        </w:rPr>
        <w:t>复印件，该证明材料真实有效，否则我方负全部责任。</w:t>
      </w:r>
    </w:p>
    <w:p w14:paraId="2BA84CD8">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□现附上由</w:t>
      </w:r>
      <w:r>
        <w:rPr>
          <w:rFonts w:hint="eastAsia" w:ascii="宋体" w:hAnsi="宋体" w:eastAsia="宋体" w:cs="宋体"/>
          <w:color w:val="auto"/>
          <w:sz w:val="21"/>
          <w:szCs w:val="21"/>
          <w:highlight w:val="none"/>
          <w:u w:val="single"/>
        </w:rPr>
        <w:t>（填写“签发机关全称”）</w:t>
      </w:r>
      <w:r>
        <w:rPr>
          <w:rFonts w:hint="eastAsia" w:ascii="宋体" w:hAnsi="宋体" w:eastAsia="宋体" w:cs="宋体"/>
          <w:color w:val="auto"/>
          <w:sz w:val="21"/>
          <w:szCs w:val="21"/>
          <w:highlight w:val="none"/>
        </w:rPr>
        <w:t>签发的我方</w:t>
      </w:r>
      <w:r>
        <w:rPr>
          <w:rFonts w:hint="eastAsia" w:ascii="宋体" w:hAnsi="宋体" w:eastAsia="宋体" w:cs="宋体"/>
          <w:color w:val="auto"/>
          <w:sz w:val="21"/>
          <w:szCs w:val="21"/>
          <w:highlight w:val="none"/>
          <w:u w:val="single"/>
        </w:rPr>
        <w:t>（请填写自然人的身份证件名称）</w:t>
      </w:r>
      <w:r>
        <w:rPr>
          <w:rFonts w:hint="eastAsia" w:ascii="宋体" w:hAnsi="宋体" w:eastAsia="宋体" w:cs="宋体"/>
          <w:color w:val="auto"/>
          <w:sz w:val="21"/>
          <w:szCs w:val="21"/>
          <w:highlight w:val="none"/>
        </w:rPr>
        <w:t>复印件，该证明材料真实有效，否则我方负全部责任。</w:t>
      </w:r>
    </w:p>
    <w:p w14:paraId="090D470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DB4142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480E81D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1、请投标人按照实际情况编制填写，在相应的（）中打“√”并选择相应的“□”（若有）后，再按照本格式的要求提供相应证明材料的复印件。</w:t>
      </w:r>
    </w:p>
    <w:p w14:paraId="2F6DD9A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59C4D87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66F769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74E11B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63FFE03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5D23FF9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05F1DD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F544747">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621E4CA4">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二-3财务状况报告（财务报告、或资信证明）</w:t>
      </w:r>
    </w:p>
    <w:p w14:paraId="29D7F18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80776B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7FF32164">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）投标人提供财务报告的</w:t>
      </w:r>
    </w:p>
    <w:p w14:paraId="3B6C34A8">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□企业适用：现附上我方</w:t>
      </w:r>
      <w:r>
        <w:rPr>
          <w:rFonts w:hint="eastAsia" w:ascii="宋体" w:hAnsi="宋体" w:eastAsia="宋体" w:cs="宋体"/>
          <w:color w:val="auto"/>
          <w:sz w:val="21"/>
          <w:szCs w:val="21"/>
          <w:highlight w:val="none"/>
          <w:u w:val="single"/>
        </w:rPr>
        <w:t>（填写“具体的年度、或半年度、或季度”）</w:t>
      </w:r>
      <w:r>
        <w:rPr>
          <w:rFonts w:hint="eastAsia" w:ascii="宋体" w:hAnsi="宋体" w:eastAsia="宋体" w:cs="宋体"/>
          <w:color w:val="auto"/>
          <w:sz w:val="21"/>
          <w:szCs w:val="21"/>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53CA6449">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□事业单位适用：现附上我方</w:t>
      </w:r>
      <w:r>
        <w:rPr>
          <w:rFonts w:hint="eastAsia" w:ascii="宋体" w:hAnsi="宋体" w:eastAsia="宋体" w:cs="宋体"/>
          <w:color w:val="auto"/>
          <w:sz w:val="21"/>
          <w:szCs w:val="21"/>
          <w:highlight w:val="none"/>
          <w:u w:val="single"/>
        </w:rPr>
        <w:t>（填写“具体的年度、或半年度、或季度”）</w:t>
      </w:r>
      <w:r>
        <w:rPr>
          <w:rFonts w:hint="eastAsia" w:ascii="宋体" w:hAnsi="宋体" w:eastAsia="宋体" w:cs="宋体"/>
          <w:color w:val="auto"/>
          <w:sz w:val="21"/>
          <w:szCs w:val="21"/>
          <w:highlight w:val="none"/>
        </w:rPr>
        <w:t>财务报告复印件，包括资产负债表、收入支出表（或收入费用表）、财政补助收入支出表（若有）、会计师事务所营业执照和注册会计师资格证书，上述证明材料真实有效，否则我方负全部责任。</w:t>
      </w:r>
    </w:p>
    <w:p w14:paraId="4E242BAC">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□社会团体、民办非企适用：现附上我方</w:t>
      </w:r>
      <w:r>
        <w:rPr>
          <w:rFonts w:hint="eastAsia" w:ascii="宋体" w:hAnsi="宋体" w:eastAsia="宋体" w:cs="宋体"/>
          <w:color w:val="auto"/>
          <w:sz w:val="21"/>
          <w:szCs w:val="21"/>
          <w:highlight w:val="none"/>
          <w:u w:val="single"/>
        </w:rPr>
        <w:t>（填写“具体的年度、或半年度、或季度”）</w:t>
      </w:r>
      <w:r>
        <w:rPr>
          <w:rFonts w:hint="eastAsia" w:ascii="宋体" w:hAnsi="宋体" w:eastAsia="宋体" w:cs="宋体"/>
          <w:color w:val="auto"/>
          <w:sz w:val="21"/>
          <w:szCs w:val="21"/>
          <w:highlight w:val="none"/>
        </w:rPr>
        <w:t>财务报告复印件，包括资产负债表、业务活动表、现金流量表、会计师事务所营业执照和注册会计师资格证书，上述证明材料真实有效，否则我方负全部责任。</w:t>
      </w:r>
    </w:p>
    <w:p w14:paraId="0E60E7E7">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）投标人提供资信证明的</w:t>
      </w:r>
    </w:p>
    <w:p w14:paraId="5A574701">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□非自然人适用（包括企业、事业单位、社会团体和其他组织）：现附上我方银行：（填写“开户银行全称”）出具的资信证明复印件，上述证明材料真实有效，否则我方负全部责任。</w:t>
      </w:r>
    </w:p>
    <w:p w14:paraId="39BFEE65">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□自然人适用：现附上我方银行：</w:t>
      </w:r>
      <w:r>
        <w:rPr>
          <w:rFonts w:hint="eastAsia" w:ascii="宋体" w:hAnsi="宋体" w:eastAsia="宋体" w:cs="宋体"/>
          <w:color w:val="auto"/>
          <w:sz w:val="21"/>
          <w:szCs w:val="21"/>
          <w:highlight w:val="none"/>
          <w:u w:val="single"/>
        </w:rPr>
        <w:t>（填写自然人的“个人账户的开户银行全称”）</w:t>
      </w:r>
      <w:r>
        <w:rPr>
          <w:rFonts w:hint="eastAsia" w:ascii="宋体" w:hAnsi="宋体" w:eastAsia="宋体" w:cs="宋体"/>
          <w:color w:val="auto"/>
          <w:sz w:val="21"/>
          <w:szCs w:val="21"/>
          <w:highlight w:val="none"/>
        </w:rPr>
        <w:t>出具的资信证明复印件，上述证明材料真实有效，否则我方负全部责任。</w:t>
      </w:r>
    </w:p>
    <w:p w14:paraId="20A757F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2967AF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35432E5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1、请投标人按照实际情况编制填写，在相应的（）中打“√”并选择相应的“□”（若有）后，再按照本格式的要求提供相应证明材料的复印件。</w:t>
      </w:r>
    </w:p>
    <w:p w14:paraId="3BB6717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2、投标人提供的财务报告复印件（成立年限按照投标截止时间推算）应符合下列规定：</w:t>
      </w:r>
    </w:p>
    <w:p w14:paraId="176A56D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2.1成立年限满1年及以上的投标人，提供经审计的招标文件规定的年度财务报告。</w:t>
      </w:r>
    </w:p>
    <w:p w14:paraId="712480E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2.2成立年限满半年但不足1年的投标人，提供该半年度中任一季度的季度财务报告或该半年度的半年度财务报告。</w:t>
      </w:r>
    </w:p>
    <w:p w14:paraId="1CE0A454">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2F185956">
      <w:pPr>
        <w:pStyle w:val="14"/>
        <w:keepNext w:val="0"/>
        <w:keepLines w:val="0"/>
        <w:widowControl/>
        <w:suppressLineNumbers w:val="0"/>
        <w:spacing w:after="240" w:afterAutospacing="0"/>
        <w:rPr>
          <w:rFonts w:hint="eastAsia" w:ascii="宋体" w:hAnsi="宋体" w:eastAsia="宋体" w:cs="宋体"/>
          <w:color w:val="auto"/>
          <w:highlight w:val="none"/>
        </w:rPr>
      </w:pPr>
    </w:p>
    <w:p w14:paraId="2E797AA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70EB34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4CCFD4B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713EF3A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8F4B45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B47777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623D43E">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二</w:t>
      </w:r>
      <w:r>
        <w:rPr>
          <w:rStyle w:val="17"/>
          <w:rFonts w:hint="eastAsia" w:ascii="宋体" w:hAnsi="宋体" w:eastAsia="宋体" w:cs="宋体"/>
          <w:color w:val="auto"/>
          <w:sz w:val="21"/>
          <w:szCs w:val="21"/>
          <w:highlight w:val="none"/>
        </w:rPr>
        <w:t>-4依法缴纳税收证明材料</w:t>
      </w:r>
    </w:p>
    <w:p w14:paraId="60090F3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E362D7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716456B6">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1、依法缴纳税收的投标人</w:t>
      </w:r>
    </w:p>
    <w:p w14:paraId="7D1CDE99">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）法人（包括企业、事业单位和社会团体）的</w:t>
      </w:r>
    </w:p>
    <w:p w14:paraId="7CE56A7E">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现附上自</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日至</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日期间我方缴纳</w:t>
      </w:r>
      <w:r>
        <w:rPr>
          <w:rFonts w:hint="eastAsia" w:ascii="宋体" w:hAnsi="宋体" w:eastAsia="宋体" w:cs="宋体"/>
          <w:color w:val="auto"/>
          <w:sz w:val="21"/>
          <w:szCs w:val="21"/>
          <w:highlight w:val="none"/>
          <w:u w:val="single"/>
        </w:rPr>
        <w:t>（包括但不限于税务机关出具的专用收据、税收缴纳证明或税收代缴银行的缴款收讫凭证）等</w:t>
      </w:r>
      <w:r>
        <w:rPr>
          <w:rFonts w:hint="eastAsia" w:ascii="宋体" w:hAnsi="宋体" w:eastAsia="宋体" w:cs="宋体"/>
          <w:color w:val="auto"/>
          <w:sz w:val="21"/>
          <w:szCs w:val="21"/>
          <w:highlight w:val="none"/>
        </w:rPr>
        <w:t>税收凭据复印件，上述证明材料真实有效，否则我方负全部责任。</w:t>
      </w:r>
    </w:p>
    <w:p w14:paraId="14DDF332">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）非法人（包括其他组织、自然人）的</w:t>
      </w:r>
    </w:p>
    <w:p w14:paraId="672D82C8">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现附上自</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日至</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日期间我方缴纳</w:t>
      </w:r>
      <w:r>
        <w:rPr>
          <w:rFonts w:hint="eastAsia" w:ascii="宋体" w:hAnsi="宋体" w:eastAsia="宋体" w:cs="宋体"/>
          <w:color w:val="auto"/>
          <w:sz w:val="21"/>
          <w:szCs w:val="21"/>
          <w:highlight w:val="none"/>
          <w:u w:val="single"/>
        </w:rPr>
        <w:t>（包括但不限于税务机关出具的专用收据、税收缴纳证明或税收代缴银行的缴款收讫凭证）等</w:t>
      </w:r>
      <w:r>
        <w:rPr>
          <w:rFonts w:hint="eastAsia" w:ascii="宋体" w:hAnsi="宋体" w:eastAsia="宋体" w:cs="宋体"/>
          <w:color w:val="auto"/>
          <w:sz w:val="21"/>
          <w:szCs w:val="21"/>
          <w:highlight w:val="none"/>
        </w:rPr>
        <w:t>税收凭据复印件，上述证明材料真实有效，否则我方负全部责任。</w:t>
      </w:r>
    </w:p>
    <w:p w14:paraId="074DCBDF">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2、依法免税的投标人</w:t>
      </w:r>
    </w:p>
    <w:p w14:paraId="0489F79A">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）现附上我方依法免税证明材料复印件，上述证明材料真实有效，否则我方负全部责任。</w:t>
      </w:r>
    </w:p>
    <w:p w14:paraId="4BF53D0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5DA8691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1、请投标人按照实际情况编制填写，在相应的（）中打“√”，并按照本格式的要求提供相应证明材料的复印件。</w:t>
      </w:r>
    </w:p>
    <w:p w14:paraId="162E064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2、投标人提供的税收凭据复印件应符合下列规定：</w:t>
      </w:r>
    </w:p>
    <w:p w14:paraId="1171862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2.1投标截止时间前（不含投标截止时间的当月）已依法缴纳税收的投标人，提供投标截止时间前六个月（不含投标截止时间的当月）中任一月份的税收凭据复印件。</w:t>
      </w:r>
    </w:p>
    <w:p w14:paraId="6D50E83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2.2投标截止时间的当月成立且已依法缴纳税收的投标人，提供投标截止时间当月的税收凭据复印件。</w:t>
      </w:r>
    </w:p>
    <w:p w14:paraId="2206FAD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2.3投标截止时间的当月成立但因税务机关原因导致其尚未依法缴纳税收的投标人，提供依法缴纳税收承诺书（格式自拟），该承诺书视同税收凭据。</w:t>
      </w:r>
    </w:p>
    <w:p w14:paraId="782BB32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30C68F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69CA9562">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7A8AEF2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5314396">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二-5依法缴纳社会保障资金证明材料</w:t>
      </w:r>
    </w:p>
    <w:p w14:paraId="5880AA2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478DCAED">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1、依法缴纳社会保障资金的投标人</w:t>
      </w:r>
    </w:p>
    <w:p w14:paraId="71B67678">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）法人（包括企业、事业单位和社会团体）的</w:t>
      </w:r>
    </w:p>
    <w:p w14:paraId="110381D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现附上自</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日至</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6A55925C">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）非法人（包括其他组织、自然人）的</w:t>
      </w:r>
    </w:p>
    <w:p w14:paraId="4C96255D">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日至</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1AC29DEE">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2、依法不需要缴纳社会保障资金的投标人</w:t>
      </w:r>
    </w:p>
    <w:p w14:paraId="1FAD3D0B">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）现附上我方依法不需要缴纳社会保障资金证明材料复印件，上述证明材料真实有效，否则我方负全部责任。</w:t>
      </w:r>
    </w:p>
    <w:p w14:paraId="471686A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70EA362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1、请投标人按照实际情况编制填写，在相应的（）中打“√”，并按照本格式的要求提供相应证明材料的复印件。</w:t>
      </w:r>
    </w:p>
    <w:p w14:paraId="0C2816F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2、投标人提供的社会保险凭据复印件应符合下列规定：</w:t>
      </w:r>
    </w:p>
    <w:p w14:paraId="65118E4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2.1投标截止时间前（不含投标截止时间的当月）已依法缴纳社会保障资金的投标人，提供投标截止时间前六个月（不含投标截止时间的当月）中任一月份的社会保险凭据复印件。</w:t>
      </w:r>
    </w:p>
    <w:p w14:paraId="4A76627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2.2投标截止时间的当月成立且已依法缴纳社会保障资金的投标人，提供投标截止时间当月的社会保险凭据复印件。</w:t>
      </w:r>
    </w:p>
    <w:p w14:paraId="146B741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2.3投标截止时间的当月成立但因税务机关/社会保障资金管理机关原因导致其尚未依法缴纳社会保障资金的投标人，提供依法缴纳社会保障资金承诺书（格式自拟），该承诺书视同社会保险凭据。</w:t>
      </w:r>
    </w:p>
    <w:p w14:paraId="698032A0">
      <w:pPr>
        <w:pStyle w:val="14"/>
        <w:keepNext w:val="0"/>
        <w:keepLines w:val="0"/>
        <w:widowControl/>
        <w:suppressLineNumbers w:val="0"/>
        <w:rPr>
          <w:rFonts w:hint="eastAsia" w:ascii="宋体" w:hAnsi="宋体" w:eastAsia="宋体" w:cs="宋体"/>
          <w:color w:val="auto"/>
          <w:highlight w:val="none"/>
        </w:rPr>
      </w:pPr>
    </w:p>
    <w:p w14:paraId="000CBEC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75F4D4E9">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6FBE196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20122F7">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二</w:t>
      </w:r>
      <w:r>
        <w:rPr>
          <w:rStyle w:val="17"/>
          <w:rFonts w:hint="eastAsia" w:ascii="宋体" w:hAnsi="宋体" w:eastAsia="宋体" w:cs="宋体"/>
          <w:color w:val="auto"/>
          <w:sz w:val="21"/>
          <w:szCs w:val="21"/>
          <w:highlight w:val="none"/>
        </w:rPr>
        <w:t>-6具备履行合同所必需设备和专业技术能力的声明函（若有）</w:t>
      </w:r>
    </w:p>
    <w:p w14:paraId="59A494A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9C46D2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080E846C">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我方具备履行合同所必需的设备和专业技术能力，否则产生不利后果由我方承担责任。</w:t>
      </w:r>
    </w:p>
    <w:p w14:paraId="0A75BD9F">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特此声明。</w:t>
      </w:r>
    </w:p>
    <w:p w14:paraId="40ABB5C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682249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0879C86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1、招标文件未要求投标人提供“具备履行合同所必需的设备和专业技术能力专项证明材料”的，投标人应提供本声明函。</w:t>
      </w:r>
    </w:p>
    <w:p w14:paraId="3DE6725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2、招标文件要求投标人提供“具备履行合同所必需的设备和专业技术能力专项证明材料”的，投标人可不提供本声明函。</w:t>
      </w:r>
    </w:p>
    <w:p w14:paraId="4F790C9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3、请投标人根据实际情况如实声明，否则</w:t>
      </w:r>
      <w:r>
        <w:rPr>
          <w:rStyle w:val="17"/>
          <w:rFonts w:hint="eastAsia" w:ascii="宋体" w:hAnsi="宋体" w:eastAsia="宋体" w:cs="宋体"/>
          <w:color w:val="auto"/>
          <w:sz w:val="21"/>
          <w:szCs w:val="21"/>
          <w:highlight w:val="none"/>
        </w:rPr>
        <w:t>视为提供虚假材料。</w:t>
      </w:r>
    </w:p>
    <w:p w14:paraId="577E0F8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D292EB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028654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3899095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6A04AD1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3D685F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044E6B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60CD5D4">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二</w:t>
      </w:r>
      <w:r>
        <w:rPr>
          <w:rStyle w:val="17"/>
          <w:rFonts w:hint="eastAsia" w:ascii="宋体" w:hAnsi="宋体" w:eastAsia="宋体" w:cs="宋体"/>
          <w:color w:val="auto"/>
          <w:sz w:val="21"/>
          <w:szCs w:val="21"/>
          <w:highlight w:val="none"/>
        </w:rPr>
        <w:t>-7参加采购活动前三年内在经营活动中没有重大违法记录书面声明</w:t>
      </w:r>
    </w:p>
    <w:p w14:paraId="08BD730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866CB0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1874F34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797743AF">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特此声明。</w:t>
      </w:r>
    </w:p>
    <w:p w14:paraId="3C92EA6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C46CF9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5B63A2D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AD5243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请投标人根据实际情况如实声明，否则</w:t>
      </w:r>
      <w:r>
        <w:rPr>
          <w:rStyle w:val="17"/>
          <w:rFonts w:hint="eastAsia" w:ascii="宋体" w:hAnsi="宋体" w:eastAsia="宋体" w:cs="宋体"/>
          <w:color w:val="auto"/>
          <w:sz w:val="21"/>
          <w:szCs w:val="21"/>
          <w:highlight w:val="none"/>
        </w:rPr>
        <w:t>视为提供虚假材料。</w:t>
      </w:r>
    </w:p>
    <w:p w14:paraId="7DBFB3F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E8126B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0BF6F7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758D445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0BDAD33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42C515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0B29FA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5F7D2ED">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二</w:t>
      </w:r>
      <w:r>
        <w:rPr>
          <w:rStyle w:val="17"/>
          <w:rFonts w:hint="eastAsia" w:ascii="宋体" w:hAnsi="宋体" w:eastAsia="宋体" w:cs="宋体"/>
          <w:color w:val="auto"/>
          <w:sz w:val="21"/>
          <w:szCs w:val="21"/>
          <w:highlight w:val="none"/>
        </w:rPr>
        <w:t>-8信用记录查询提示</w:t>
      </w:r>
    </w:p>
    <w:p w14:paraId="09BA137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F9BD414">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highlight w:val="none"/>
        </w:rPr>
        <w:t>  1、由资格审查小组通过网站查询并打印投标人的信用记录。</w:t>
      </w:r>
    </w:p>
    <w:p w14:paraId="5EB6639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highlight w:val="none"/>
        </w:rPr>
        <w:t>  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3E45498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highlight w:val="none"/>
        </w:rPr>
        <w:t>  3、投标人应了解投标人自身的信用记录情况。当投标人受到200万以上罚款的行政处罚且该罚款不属较大数额罚款时，投标人应在投标文件中提供此项罚款不属于较大数额罚款的依据（如提供：相关法律制度的规定、行政执法机构对该罚款不属于较大数额罚款的认定或者其他有效依据）。</w:t>
      </w:r>
    </w:p>
    <w:p w14:paraId="5C4F5C74">
      <w:pPr>
        <w:pStyle w:val="14"/>
        <w:keepNext w:val="0"/>
        <w:keepLines w:val="0"/>
        <w:widowControl/>
        <w:suppressLineNumbers w:val="0"/>
        <w:rPr>
          <w:rFonts w:hint="eastAsia" w:ascii="宋体" w:hAnsi="宋体" w:eastAsia="宋体" w:cs="宋体"/>
          <w:color w:val="auto"/>
          <w:highlight w:val="none"/>
        </w:rPr>
      </w:pPr>
    </w:p>
    <w:p w14:paraId="64D016C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1234A2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3F0E8B5">
      <w:pPr>
        <w:rPr>
          <w:rStyle w:val="17"/>
          <w:rFonts w:hint="eastAsia" w:ascii="宋体" w:hAnsi="宋体" w:eastAsia="宋体" w:cs="宋体"/>
          <w:color w:val="auto"/>
          <w:highlight w:val="none"/>
        </w:rPr>
      </w:pPr>
      <w:r>
        <w:rPr>
          <w:rStyle w:val="17"/>
          <w:rFonts w:hint="eastAsia" w:ascii="宋体" w:hAnsi="宋体" w:eastAsia="宋体" w:cs="宋体"/>
          <w:color w:val="auto"/>
          <w:highlight w:val="none"/>
        </w:rPr>
        <w:br w:type="page"/>
      </w:r>
    </w:p>
    <w:p w14:paraId="7D7EB976">
      <w:pPr>
        <w:keepNext w:val="0"/>
        <w:keepLines w:val="0"/>
        <w:widowControl/>
        <w:suppressLineNumbers w:val="0"/>
        <w:spacing w:before="150" w:beforeAutospacing="0" w:after="150" w:afterAutospacing="0"/>
        <w:jc w:val="center"/>
        <w:outlineLvl w:val="9"/>
        <w:rPr>
          <w:rFonts w:hint="eastAsia" w:ascii="宋体" w:hAnsi="宋体" w:eastAsia="宋体" w:cs="宋体"/>
          <w:color w:val="auto"/>
          <w:highlight w:val="none"/>
        </w:rPr>
      </w:pPr>
      <w:r>
        <w:rPr>
          <w:rStyle w:val="17"/>
          <w:rFonts w:hint="eastAsia" w:ascii="宋体" w:hAnsi="宋体" w:eastAsia="宋体" w:cs="宋体"/>
          <w:color w:val="auto"/>
          <w:highlight w:val="none"/>
        </w:rPr>
        <w:t>二-9中小企业声明函</w:t>
      </w:r>
    </w:p>
    <w:p w14:paraId="388AE630">
      <w:pPr>
        <w:pStyle w:val="14"/>
        <w:keepNext w:val="0"/>
        <w:keepLines w:val="0"/>
        <w:widowControl/>
        <w:suppressLineNumbers w:val="0"/>
        <w:spacing w:after="240" w:afterAutospacing="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（以资格条件落实中小企业扶持政策时适用，若有）</w:t>
      </w:r>
    </w:p>
    <w:p w14:paraId="042FEE4F">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中小企业声明函（货物）</w:t>
      </w:r>
    </w:p>
    <w:p w14:paraId="05B47545">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采购活动，提供的货物全部由符合政策要求的中小企业制造。相关企业（含联合体中的中小企业、签订分包意向协议的中小企业）的具体情况如下：</w:t>
      </w:r>
    </w:p>
    <w:p w14:paraId="3B0554FD">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1. </w:t>
      </w:r>
      <w:r>
        <w:rPr>
          <w:rFonts w:hint="eastAsia" w:ascii="宋体" w:hAnsi="宋体" w:eastAsia="宋体" w:cs="宋体"/>
          <w:color w:val="auto"/>
          <w:sz w:val="21"/>
          <w:szCs w:val="21"/>
          <w:highlight w:val="none"/>
          <w:u w:val="single"/>
        </w:rPr>
        <w:t> （标的名称） </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（采购文件中明确的所属行业）行业</w:t>
      </w:r>
      <w:r>
        <w:rPr>
          <w:rFonts w:hint="eastAsia" w:ascii="宋体" w:hAnsi="宋体" w:eastAsia="宋体" w:cs="宋体"/>
          <w:color w:val="auto"/>
          <w:sz w:val="21"/>
          <w:szCs w:val="21"/>
          <w:highlight w:val="none"/>
        </w:rPr>
        <w:t>；制造商为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w:t>
      </w:r>
      <w:r>
        <w:rPr>
          <w:rFonts w:hint="eastAsia" w:ascii="宋体" w:hAnsi="宋体" w:eastAsia="宋体" w:cs="宋体"/>
          <w:color w:val="auto"/>
          <w:sz w:val="21"/>
          <w:szCs w:val="21"/>
          <w:highlight w:val="none"/>
          <w:vertAlign w:val="superscript"/>
        </w:rPr>
        <w:t>1</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（中型企业、小型企业、微型企业）；</w:t>
      </w:r>
    </w:p>
    <w:p w14:paraId="48326005">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2. </w:t>
      </w:r>
      <w:r>
        <w:rPr>
          <w:rFonts w:hint="eastAsia" w:ascii="宋体" w:hAnsi="宋体" w:eastAsia="宋体" w:cs="宋体"/>
          <w:color w:val="auto"/>
          <w:sz w:val="21"/>
          <w:szCs w:val="21"/>
          <w:highlight w:val="none"/>
          <w:u w:val="single"/>
        </w:rPr>
        <w:t> （标的名称） </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 （采购文件中明确的所属行业 ）行业；</w:t>
      </w:r>
      <w:r>
        <w:rPr>
          <w:rFonts w:hint="eastAsia" w:ascii="宋体" w:hAnsi="宋体" w:eastAsia="宋体" w:cs="宋体"/>
          <w:color w:val="auto"/>
          <w:sz w:val="21"/>
          <w:szCs w:val="21"/>
          <w:highlight w:val="none"/>
        </w:rPr>
        <w:t>制造商为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p>
    <w:p w14:paraId="3437EFFF">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28C7DFDD">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p w14:paraId="5C322D13">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398865B">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113E2FD4">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8165D27">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040F1607">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企业名称（盖章）：</w:t>
      </w:r>
    </w:p>
    <w:p w14:paraId="6A4428E4">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日期：</w:t>
      </w:r>
    </w:p>
    <w:p w14:paraId="5EBED523">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33E95C2">
      <w:pPr>
        <w:pStyle w:val="14"/>
        <w:keepNext w:val="0"/>
        <w:keepLines w:val="0"/>
        <w:widowControl/>
        <w:suppressLineNumbers w:val="0"/>
        <w:spacing w:before="75" w:beforeAutospacing="0" w:after="75" w:afterAutospacing="0"/>
        <w:ind w:right="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※注意：</w:t>
      </w:r>
    </w:p>
    <w:p w14:paraId="64981F47">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1、从业人员、营业收入、资产总额填报上一年度数据，无上一年度数据的新成立企业可不填报。</w:t>
      </w:r>
    </w:p>
    <w:p w14:paraId="508B2E48">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1BF398C">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327EEF7">
      <w:pPr>
        <w:pStyle w:val="14"/>
        <w:keepNext w:val="0"/>
        <w:keepLines w:val="0"/>
        <w:widowControl/>
        <w:suppressLineNumbers w:val="0"/>
        <w:spacing w:after="240" w:afterAutospacing="0"/>
        <w:rPr>
          <w:rFonts w:hint="eastAsia" w:ascii="宋体" w:hAnsi="宋体" w:eastAsia="宋体" w:cs="宋体"/>
          <w:color w:val="auto"/>
          <w:highlight w:val="none"/>
        </w:rPr>
      </w:pPr>
    </w:p>
    <w:p w14:paraId="1F3250CC">
      <w:pPr>
        <w:keepNext w:val="0"/>
        <w:keepLines w:val="0"/>
        <w:widowControl/>
        <w:suppressLineNumbers w:val="0"/>
        <w:spacing w:before="150" w:beforeAutospacing="0" w:after="150" w:afterAutospacing="0"/>
        <w:jc w:val="center"/>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中小企业声明函（工程、服务）</w:t>
      </w:r>
    </w:p>
    <w:p w14:paraId="63E8246E">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5A4690D">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；承建（承接）企业为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w:t>
      </w:r>
      <w:r>
        <w:rPr>
          <w:rFonts w:hint="eastAsia" w:ascii="宋体" w:hAnsi="宋体" w:eastAsia="宋体" w:cs="宋体"/>
          <w:color w:val="auto"/>
          <w:sz w:val="21"/>
          <w:szCs w:val="21"/>
          <w:highlight w:val="none"/>
          <w:vertAlign w:val="superscript"/>
        </w:rPr>
        <w:t>1</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（中型企业、小型企业、微型企业）；</w:t>
      </w:r>
    </w:p>
    <w:p w14:paraId="5770310F">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承建（承接）企业为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p>
    <w:p w14:paraId="55BF598B">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D581ABF">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p w14:paraId="0EC1CC51">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1EFEC5D">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以上企业，不属于大企业的分支机构，不存在控股股东为大企业的情形，也不存在与大企业的负责人为同一人的情形。</w:t>
      </w:r>
    </w:p>
    <w:p w14:paraId="522F6EA5">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D85D808">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本企业对上述声明内容的真实性负责。如有虚假，将依法承担相应责任。</w:t>
      </w:r>
    </w:p>
    <w:p w14:paraId="33223C59">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566B5D4">
      <w:pPr>
        <w:pStyle w:val="14"/>
        <w:keepNext w:val="0"/>
        <w:keepLines w:val="0"/>
        <w:widowControl/>
        <w:suppressLineNumbers w:val="0"/>
        <w:spacing w:before="75" w:beforeAutospacing="0" w:after="75" w:afterAutospacing="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企业名称（盖章）：                                   </w:t>
      </w:r>
    </w:p>
    <w:p w14:paraId="16C58158">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p>
    <w:p w14:paraId="27147F74">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5A4E520">
      <w:pPr>
        <w:pStyle w:val="14"/>
        <w:keepNext w:val="0"/>
        <w:keepLines w:val="0"/>
        <w:widowControl/>
        <w:suppressLineNumbers w:val="0"/>
        <w:spacing w:before="75" w:beforeAutospacing="0" w:after="75" w:afterAutospacing="0"/>
        <w:ind w:right="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※注意：</w:t>
      </w:r>
    </w:p>
    <w:p w14:paraId="12A98679">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1、从业人员、营业收入、资产总额填报上一年度数据，无上一年度数据的新成立企业可不填报。</w:t>
      </w:r>
    </w:p>
    <w:p w14:paraId="2C57AED3">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r>
        <w:rPr>
          <w:rStyle w:val="17"/>
          <w:rFonts w:hint="eastAsia" w:ascii="宋体" w:hAnsi="宋体" w:eastAsia="宋体" w:cs="宋体"/>
          <w:color w:val="auto"/>
          <w:sz w:val="21"/>
          <w:szCs w:val="21"/>
          <w:highlight w:val="none"/>
        </w:rPr>
        <w:br w:type="textWrapping"/>
      </w:r>
      <w:r>
        <w:rPr>
          <w:rStyle w:val="17"/>
          <w:rFonts w:hint="eastAsia" w:ascii="宋体" w:hAnsi="宋体" w:eastAsia="宋体" w:cs="宋体"/>
          <w:color w:val="auto"/>
          <w:sz w:val="21"/>
          <w:szCs w:val="21"/>
          <w:highlight w:val="none"/>
        </w:rPr>
        <w:t>  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     </w:t>
      </w:r>
      <w:r>
        <w:rPr>
          <w:rFonts w:hint="eastAsia" w:ascii="宋体" w:hAnsi="宋体" w:eastAsia="宋体" w:cs="宋体"/>
          <w:color w:val="auto"/>
          <w:sz w:val="21"/>
          <w:szCs w:val="21"/>
          <w:highlight w:val="none"/>
        </w:rPr>
        <w:t>          </w:t>
      </w:r>
    </w:p>
    <w:p w14:paraId="770CE762">
      <w:pPr>
        <w:pStyle w:val="14"/>
        <w:keepNext w:val="0"/>
        <w:keepLines w:val="0"/>
        <w:widowControl/>
        <w:suppressLineNumbers w:val="0"/>
        <w:spacing w:after="240" w:afterAutospacing="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textWrapping"/>
      </w:r>
    </w:p>
    <w:p w14:paraId="1D5A18C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8E34361">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附：</w:t>
      </w:r>
    </w:p>
    <w:p w14:paraId="00225C69">
      <w:pPr>
        <w:pStyle w:val="14"/>
        <w:keepNext w:val="0"/>
        <w:keepLines w:val="0"/>
        <w:widowControl/>
        <w:suppressLineNumbers w:val="0"/>
        <w:spacing w:before="75" w:beforeAutospacing="0" w:after="75" w:afterAutospacing="0"/>
        <w:jc w:val="center"/>
        <w:rPr>
          <w:rFonts w:hint="eastAsia" w:ascii="宋体" w:hAnsi="宋体" w:eastAsia="宋体" w:cs="宋体"/>
          <w:color w:val="auto"/>
          <w:highlight w:val="none"/>
        </w:rPr>
      </w:pPr>
      <w:r>
        <w:rPr>
          <w:rStyle w:val="17"/>
          <w:rFonts w:hint="eastAsia" w:ascii="宋体" w:hAnsi="宋体" w:eastAsia="宋体" w:cs="宋体"/>
          <w:color w:val="auto"/>
          <w:highlight w:val="none"/>
        </w:rPr>
        <w:t>残疾人福利性单位声明函</w:t>
      </w:r>
    </w:p>
    <w:p w14:paraId="33ABBAFF">
      <w:pPr>
        <w:pStyle w:val="14"/>
        <w:keepNext w:val="0"/>
        <w:keepLines w:val="0"/>
        <w:widowControl/>
        <w:suppressLineNumbers w:val="0"/>
        <w:spacing w:before="75" w:beforeAutospacing="0" w:after="75" w:afterAutospacing="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（以资格条件落实中小企业扶持政策时适用，若有）</w:t>
      </w:r>
    </w:p>
    <w:p w14:paraId="6B362F1F">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1D704D9C">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color w:val="auto"/>
          <w:sz w:val="21"/>
          <w:szCs w:val="21"/>
          <w:highlight w:val="none"/>
          <w:u w:val="single"/>
        </w:rPr>
        <w:t>（填写“项目名称”）</w:t>
      </w:r>
      <w:r>
        <w:rPr>
          <w:rFonts w:hint="eastAsia" w:ascii="宋体" w:hAnsi="宋体" w:eastAsia="宋体" w:cs="宋体"/>
          <w:color w:val="auto"/>
          <w:sz w:val="21"/>
          <w:szCs w:val="21"/>
          <w:highlight w:val="none"/>
        </w:rPr>
        <w:t>项目采购活动：</w:t>
      </w:r>
    </w:p>
    <w:p w14:paraId="1860BE46">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）提供本投标人制造的</w:t>
      </w:r>
      <w:r>
        <w:rPr>
          <w:rFonts w:hint="eastAsia" w:ascii="宋体" w:hAnsi="宋体" w:eastAsia="宋体" w:cs="宋体"/>
          <w:color w:val="auto"/>
          <w:sz w:val="21"/>
          <w:szCs w:val="21"/>
          <w:highlight w:val="none"/>
          <w:u w:val="single"/>
        </w:rPr>
        <w:t>（填写“所投采购包、品目号”）</w:t>
      </w:r>
      <w:r>
        <w:rPr>
          <w:rFonts w:hint="eastAsia" w:ascii="宋体" w:hAnsi="宋体" w:eastAsia="宋体" w:cs="宋体"/>
          <w:color w:val="auto"/>
          <w:sz w:val="21"/>
          <w:szCs w:val="21"/>
          <w:highlight w:val="none"/>
        </w:rPr>
        <w:t>货物，或提供其他残疾人福利性单位制造的</w:t>
      </w:r>
      <w:r>
        <w:rPr>
          <w:rFonts w:hint="eastAsia" w:ascii="宋体" w:hAnsi="宋体" w:eastAsia="宋体" w:cs="宋体"/>
          <w:color w:val="auto"/>
          <w:sz w:val="21"/>
          <w:szCs w:val="21"/>
          <w:highlight w:val="none"/>
          <w:u w:val="single"/>
        </w:rPr>
        <w:t>（填写“所投采购包、品目号”）</w:t>
      </w:r>
      <w:r>
        <w:rPr>
          <w:rFonts w:hint="eastAsia" w:ascii="宋体" w:hAnsi="宋体" w:eastAsia="宋体" w:cs="宋体"/>
          <w:color w:val="auto"/>
          <w:sz w:val="21"/>
          <w:szCs w:val="21"/>
          <w:highlight w:val="none"/>
        </w:rPr>
        <w:t>货物（不包括使用非残疾人福利性单位注册商标的货物）。（说明：只有部分货物由残疾人福利企业制造的，在该货物后标</w:t>
      </w:r>
      <w:r>
        <w:rPr>
          <w:rFonts w:hint="eastAsia" w:ascii="宋体" w:hAnsi="宋体" w:eastAsia="宋体" w:cs="宋体"/>
          <w:color w:val="auto"/>
          <w:sz w:val="19"/>
          <w:szCs w:val="19"/>
          <w:highlight w:val="none"/>
          <w:shd w:val="clear" w:fill="FFFFFF"/>
        </w:rPr>
        <w:t>※</w:t>
      </w:r>
      <w:r>
        <w:rPr>
          <w:rFonts w:hint="eastAsia" w:ascii="宋体" w:hAnsi="宋体" w:eastAsia="宋体" w:cs="宋体"/>
          <w:color w:val="auto"/>
          <w:sz w:val="21"/>
          <w:szCs w:val="21"/>
          <w:highlight w:val="none"/>
        </w:rPr>
        <w:t>）</w:t>
      </w:r>
    </w:p>
    <w:p w14:paraId="199DB33B">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）由本投标人承建的（填写“所投采购包、品目号”）工程</w:t>
      </w:r>
    </w:p>
    <w:p w14:paraId="6BED1A2B">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）由本投标人承接的（填写“所投采购包、品目号”）服务；</w:t>
      </w:r>
    </w:p>
    <w:p w14:paraId="4A97A48C">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本投标人对上述声明的真实性负责。如有虚假，将依法承担相应责任。</w:t>
      </w:r>
    </w:p>
    <w:p w14:paraId="7F0A7C2D">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8839C44">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备注：</w:t>
      </w:r>
    </w:p>
    <w:p w14:paraId="7FA89477">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1、请投标人按照实际情况编制填写本声明函，并在相应的（）中打“√”。</w:t>
      </w:r>
    </w:p>
    <w:p w14:paraId="2D0E4EAB">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2、若《残疾人福利性单位声明函》内容不真实，</w:t>
      </w:r>
      <w:r>
        <w:rPr>
          <w:rStyle w:val="17"/>
          <w:rFonts w:hint="eastAsia" w:ascii="宋体" w:hAnsi="宋体" w:eastAsia="宋体" w:cs="宋体"/>
          <w:color w:val="auto"/>
          <w:sz w:val="21"/>
          <w:szCs w:val="21"/>
          <w:highlight w:val="none"/>
        </w:rPr>
        <w:t>视为提供虚假材料。</w:t>
      </w:r>
    </w:p>
    <w:p w14:paraId="1AA369B9">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E9924C8">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0461C3D">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61C0CEF0">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20932B02">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5D94AFFC">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18818190">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03A9FD8">
      <w:pPr>
        <w:pStyle w:val="14"/>
        <w:keepNext w:val="0"/>
        <w:keepLines w:val="0"/>
        <w:widowControl/>
        <w:suppressLineNumbers w:val="0"/>
        <w:spacing w:before="75" w:beforeAutospacing="0" w:after="75" w:afterAutospacing="0"/>
        <w:ind w:left="0" w:firstLine="0"/>
        <w:rPr>
          <w:rFonts w:hint="eastAsia" w:ascii="宋体" w:hAnsi="宋体" w:eastAsia="宋体" w:cs="宋体"/>
          <w:color w:val="auto"/>
          <w:highlight w:val="none"/>
        </w:rPr>
      </w:pPr>
      <w:r>
        <w:rPr>
          <w:rFonts w:hint="eastAsia" w:ascii="宋体" w:hAnsi="宋体" w:eastAsia="宋体" w:cs="宋体"/>
          <w:color w:val="auto"/>
          <w:sz w:val="21"/>
          <w:szCs w:val="21"/>
          <w:highlight w:val="none"/>
        </w:rPr>
        <w:t>附：                          </w:t>
      </w:r>
    </w:p>
    <w:p w14:paraId="34AB6757">
      <w:pPr>
        <w:pStyle w:val="14"/>
        <w:keepNext w:val="0"/>
        <w:keepLines w:val="0"/>
        <w:widowControl/>
        <w:suppressLineNumbers w:val="0"/>
        <w:spacing w:before="75" w:beforeAutospacing="0" w:after="75" w:afterAutospacing="0"/>
        <w:ind w:left="0" w:firstLine="0"/>
        <w:jc w:val="center"/>
        <w:rPr>
          <w:rFonts w:hint="eastAsia" w:ascii="宋体" w:hAnsi="宋体" w:eastAsia="宋体" w:cs="宋体"/>
          <w:color w:val="auto"/>
          <w:highlight w:val="none"/>
        </w:rPr>
      </w:pPr>
      <w:r>
        <w:rPr>
          <w:rStyle w:val="17"/>
          <w:rFonts w:hint="eastAsia" w:ascii="宋体" w:hAnsi="宋体" w:eastAsia="宋体" w:cs="宋体"/>
          <w:color w:val="auto"/>
          <w:highlight w:val="none"/>
        </w:rPr>
        <w:t>监狱企业证明材料</w:t>
      </w:r>
    </w:p>
    <w:p w14:paraId="6555B487">
      <w:pPr>
        <w:pStyle w:val="14"/>
        <w:keepNext w:val="0"/>
        <w:keepLines w:val="0"/>
        <w:widowControl/>
        <w:suppressLineNumbers w:val="0"/>
        <w:spacing w:before="75" w:beforeAutospacing="0" w:after="75" w:afterAutospacing="0"/>
        <w:ind w:left="0" w:firstLine="0"/>
        <w:jc w:val="center"/>
        <w:rPr>
          <w:rFonts w:hint="eastAsia" w:ascii="宋体" w:hAnsi="宋体" w:eastAsia="宋体" w:cs="宋体"/>
          <w:color w:val="auto"/>
          <w:highlight w:val="none"/>
        </w:rPr>
      </w:pPr>
      <w:r>
        <w:rPr>
          <w:rStyle w:val="17"/>
          <w:rFonts w:hint="eastAsia" w:ascii="宋体" w:hAnsi="宋体" w:eastAsia="宋体" w:cs="宋体"/>
          <w:color w:val="auto"/>
          <w:highlight w:val="none"/>
        </w:rPr>
        <w:t> </w:t>
      </w:r>
    </w:p>
    <w:p w14:paraId="73FD5EE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4"/>
          <w:szCs w:val="24"/>
          <w:highlight w:val="none"/>
          <w:shd w:val="clear" w:fill="FFFFFF"/>
        </w:rPr>
        <w:t>投标人为监狱企业，提供本单位制造的货物（承接的服务），并在投标文件中提供省级以上监狱管理局、戒毒管理局（含新疆生产建设兵团）出具的属于监狱企业的证明文件。</w:t>
      </w:r>
    </w:p>
    <w:p w14:paraId="1D848D0E">
      <w:pPr>
        <w:pStyle w:val="14"/>
        <w:keepNext w:val="0"/>
        <w:keepLines w:val="0"/>
        <w:widowControl/>
        <w:suppressLineNumbers w:val="0"/>
        <w:spacing w:after="240"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p>
    <w:p w14:paraId="614ABF3A">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7210BC79">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二-10联合体协议</w:t>
      </w:r>
    </w:p>
    <w:p w14:paraId="199DDB7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DE6ADA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2A01EAA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兹有</w:t>
      </w:r>
      <w:r>
        <w:rPr>
          <w:rFonts w:hint="eastAsia" w:ascii="宋体" w:hAnsi="宋体" w:eastAsia="宋体" w:cs="宋体"/>
          <w:color w:val="auto"/>
          <w:sz w:val="21"/>
          <w:szCs w:val="21"/>
          <w:highlight w:val="none"/>
          <w:u w:val="single"/>
        </w:rPr>
        <w:t>（填写“联合体中各方的全称”，各方的全称之间请用“、”分割）</w:t>
      </w:r>
      <w:r>
        <w:rPr>
          <w:rFonts w:hint="eastAsia" w:ascii="宋体" w:hAnsi="宋体" w:eastAsia="宋体" w:cs="宋体"/>
          <w:color w:val="auto"/>
          <w:sz w:val="21"/>
          <w:szCs w:val="21"/>
          <w:highlight w:val="none"/>
        </w:rPr>
        <w:t>自愿组成联合体，共同参加</w:t>
      </w:r>
      <w:r>
        <w:rPr>
          <w:rFonts w:hint="eastAsia" w:ascii="宋体" w:hAnsi="宋体" w:eastAsia="宋体" w:cs="宋体"/>
          <w:color w:val="auto"/>
          <w:sz w:val="21"/>
          <w:szCs w:val="21"/>
          <w:highlight w:val="none"/>
          <w:u w:val="single"/>
        </w:rPr>
        <w:t>（填写“项目名称”） </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）的投标。现就联合体参加本项目投标的有关事宜达成下列协议：</w:t>
      </w:r>
    </w:p>
    <w:p w14:paraId="22DBC1E8">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一、联合体各方应承担的工作和义务具体如下：</w:t>
      </w:r>
    </w:p>
    <w:p w14:paraId="6DF717D7">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1、牵头方（</w:t>
      </w:r>
      <w:r>
        <w:rPr>
          <w:rFonts w:hint="eastAsia" w:ascii="宋体" w:hAnsi="宋体" w:eastAsia="宋体" w:cs="宋体"/>
          <w:color w:val="auto"/>
          <w:sz w:val="21"/>
          <w:szCs w:val="21"/>
          <w:highlight w:val="none"/>
          <w:u w:val="single"/>
        </w:rPr>
        <w:t>全称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（填写“工作及义务的具体内容”） </w:t>
      </w:r>
      <w:r>
        <w:rPr>
          <w:rFonts w:hint="eastAsia" w:ascii="宋体" w:hAnsi="宋体" w:eastAsia="宋体" w:cs="宋体"/>
          <w:color w:val="auto"/>
          <w:sz w:val="21"/>
          <w:szCs w:val="21"/>
          <w:highlight w:val="none"/>
        </w:rPr>
        <w:t>；</w:t>
      </w:r>
    </w:p>
    <w:p w14:paraId="020D5740">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2、成员方：</w:t>
      </w:r>
    </w:p>
    <w:p w14:paraId="09BDD49C">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u w:val="single"/>
        </w:rPr>
        <w:t>（成员一的全称）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（填写“工作及义务的具体内容”） </w:t>
      </w:r>
      <w:r>
        <w:rPr>
          <w:rFonts w:hint="eastAsia" w:ascii="宋体" w:hAnsi="宋体" w:eastAsia="宋体" w:cs="宋体"/>
          <w:color w:val="auto"/>
          <w:sz w:val="21"/>
          <w:szCs w:val="21"/>
          <w:highlight w:val="none"/>
        </w:rPr>
        <w:t>；</w:t>
      </w:r>
    </w:p>
    <w:p w14:paraId="19434CAF">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p w14:paraId="3B8621A7">
      <w:pPr>
        <w:pStyle w:val="14"/>
        <w:keepNext w:val="0"/>
        <w:keepLines w:val="0"/>
        <w:widowControl/>
        <w:suppressLineNumbers w:val="0"/>
        <w:spacing w:before="75" w:beforeAutospacing="0" w:after="75" w:afterAutospacing="0" w:line="360" w:lineRule="atLeast"/>
        <w:ind w:left="0" w:firstLine="435"/>
        <w:rPr>
          <w:rFonts w:hint="eastAsia" w:ascii="宋体" w:hAnsi="宋体" w:eastAsia="宋体" w:cs="宋体"/>
          <w:color w:val="auto"/>
          <w:highlight w:val="none"/>
        </w:rPr>
      </w:pPr>
      <w:r>
        <w:rPr>
          <w:rFonts w:hint="eastAsia" w:ascii="宋体" w:hAnsi="宋体" w:eastAsia="宋体" w:cs="宋体"/>
          <w:color w:val="auto"/>
          <w:sz w:val="21"/>
          <w:szCs w:val="21"/>
          <w:highlight w:val="none"/>
        </w:rPr>
        <w:t>二、联合体各方的合同金额占比，具体如下：</w:t>
      </w:r>
    </w:p>
    <w:p w14:paraId="12D52EB4">
      <w:pPr>
        <w:pStyle w:val="14"/>
        <w:keepNext w:val="0"/>
        <w:keepLines w:val="0"/>
        <w:widowControl/>
        <w:suppressLineNumbers w:val="0"/>
        <w:spacing w:line="360" w:lineRule="atLeast"/>
        <w:ind w:left="0" w:firstLine="435"/>
        <w:rPr>
          <w:rFonts w:hint="eastAsia" w:ascii="宋体" w:hAnsi="宋体" w:eastAsia="宋体" w:cs="宋体"/>
          <w:color w:val="auto"/>
          <w:highlight w:val="none"/>
        </w:rPr>
      </w:pPr>
      <w:r>
        <w:rPr>
          <w:rFonts w:hint="eastAsia" w:ascii="宋体" w:hAnsi="宋体" w:eastAsia="宋体" w:cs="宋体"/>
          <w:color w:val="auto"/>
          <w:sz w:val="21"/>
          <w:szCs w:val="21"/>
          <w:highlight w:val="none"/>
        </w:rPr>
        <w:t>1.牵头方（</w:t>
      </w:r>
      <w:r>
        <w:rPr>
          <w:rFonts w:hint="eastAsia" w:ascii="宋体" w:hAnsi="宋体" w:eastAsia="宋体" w:cs="宋体"/>
          <w:color w:val="auto"/>
          <w:sz w:val="21"/>
          <w:szCs w:val="21"/>
          <w:highlight w:val="none"/>
          <w:u w:val="single"/>
        </w:rPr>
        <w:t>  全称 </w:t>
      </w:r>
      <w:r>
        <w:rPr>
          <w:rFonts w:hint="eastAsia" w:ascii="宋体" w:hAnsi="宋体" w:eastAsia="宋体" w:cs="宋体"/>
          <w:color w:val="auto"/>
          <w:sz w:val="21"/>
          <w:szCs w:val="21"/>
          <w:highlight w:val="none"/>
        </w:rPr>
        <w:t>）的合同金额占合同总额的＿%；</w:t>
      </w:r>
    </w:p>
    <w:p w14:paraId="0A91DCE5">
      <w:pPr>
        <w:pStyle w:val="14"/>
        <w:keepNext w:val="0"/>
        <w:keepLines w:val="0"/>
        <w:widowControl/>
        <w:suppressLineNumbers w:val="0"/>
        <w:spacing w:line="360" w:lineRule="atLeast"/>
        <w:ind w:left="0" w:firstLine="435"/>
        <w:rPr>
          <w:rFonts w:hint="eastAsia" w:ascii="宋体" w:hAnsi="宋体" w:eastAsia="宋体" w:cs="宋体"/>
          <w:color w:val="auto"/>
          <w:highlight w:val="none"/>
        </w:rPr>
      </w:pPr>
      <w:r>
        <w:rPr>
          <w:rFonts w:hint="eastAsia" w:ascii="宋体" w:hAnsi="宋体" w:eastAsia="宋体" w:cs="宋体"/>
          <w:color w:val="auto"/>
          <w:sz w:val="21"/>
          <w:szCs w:val="21"/>
          <w:highlight w:val="none"/>
        </w:rPr>
        <w:t>2.成员方：</w:t>
      </w:r>
    </w:p>
    <w:p w14:paraId="01902DC5">
      <w:pPr>
        <w:pStyle w:val="14"/>
        <w:keepNext w:val="0"/>
        <w:keepLines w:val="0"/>
        <w:widowControl/>
        <w:suppressLineNumbers w:val="0"/>
        <w:spacing w:line="360" w:lineRule="atLeast"/>
        <w:ind w:left="0" w:firstLine="435"/>
        <w:rPr>
          <w:rFonts w:hint="eastAsia" w:ascii="宋体" w:hAnsi="宋体" w:eastAsia="宋体" w:cs="宋体"/>
          <w:color w:val="auto"/>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u w:val="single"/>
        </w:rPr>
        <w:t> 成员1的全称 </w:t>
      </w:r>
      <w:r>
        <w:rPr>
          <w:rFonts w:hint="eastAsia" w:ascii="宋体" w:hAnsi="宋体" w:eastAsia="宋体" w:cs="宋体"/>
          <w:color w:val="auto"/>
          <w:sz w:val="21"/>
          <w:szCs w:val="21"/>
          <w:highlight w:val="none"/>
        </w:rPr>
        <w:t>）的合同金额占合同总额的＿%；</w:t>
      </w:r>
    </w:p>
    <w:p w14:paraId="246C58B9">
      <w:pPr>
        <w:pStyle w:val="14"/>
        <w:keepNext w:val="0"/>
        <w:keepLines w:val="0"/>
        <w:widowControl/>
        <w:suppressLineNumbers w:val="0"/>
        <w:spacing w:before="75" w:beforeAutospacing="0" w:after="75" w:afterAutospacing="0" w:line="360" w:lineRule="atLeast"/>
        <w:ind w:left="0" w:right="0" w:firstLine="435"/>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p w14:paraId="63EB55FD">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三、联合体各方约定：</w:t>
      </w:r>
    </w:p>
    <w:p w14:paraId="58023B84">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1、由</w:t>
      </w:r>
      <w:r>
        <w:rPr>
          <w:rFonts w:hint="eastAsia" w:ascii="宋体" w:hAnsi="宋体" w:eastAsia="宋体" w:cs="宋体"/>
          <w:color w:val="auto"/>
          <w:sz w:val="21"/>
          <w:szCs w:val="21"/>
          <w:highlight w:val="none"/>
          <w:u w:val="single"/>
        </w:rPr>
        <w:t>（填写“牵头方的全称”）</w:t>
      </w:r>
      <w:r>
        <w:rPr>
          <w:rFonts w:hint="eastAsia" w:ascii="宋体" w:hAnsi="宋体" w:eastAsia="宋体" w:cs="宋体"/>
          <w:color w:val="auto"/>
          <w:sz w:val="21"/>
          <w:szCs w:val="21"/>
          <w:highlight w:val="none"/>
        </w:rPr>
        <w:t>代表联合体办理参加本项目投标的有关事宜（包括但不限于：注册账号、派出投标人代表、提交投标文件及参加开标、谈判、澄清等），在此过程中，投标人代表签字的一切文件和处理结果，联合体均予以认可并对此承担责任。</w:t>
      </w:r>
    </w:p>
    <w:p w14:paraId="082D3633">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2、联合体各方约定由</w:t>
      </w:r>
      <w:r>
        <w:rPr>
          <w:rFonts w:hint="eastAsia" w:ascii="宋体" w:hAnsi="宋体" w:eastAsia="宋体" w:cs="宋体"/>
          <w:color w:val="auto"/>
          <w:sz w:val="21"/>
          <w:szCs w:val="21"/>
          <w:highlight w:val="none"/>
          <w:u w:val="single"/>
        </w:rPr>
        <w:t>（填写“牵头方的全称”）</w:t>
      </w:r>
      <w:r>
        <w:rPr>
          <w:rFonts w:hint="eastAsia" w:ascii="宋体" w:hAnsi="宋体" w:eastAsia="宋体" w:cs="宋体"/>
          <w:color w:val="auto"/>
          <w:sz w:val="21"/>
          <w:szCs w:val="21"/>
          <w:highlight w:val="none"/>
        </w:rPr>
        <w:t>代表联合体办理投标保证金事宜。</w:t>
      </w:r>
    </w:p>
    <w:p w14:paraId="39CBC56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3、</w:t>
      </w:r>
      <w:r>
        <w:rPr>
          <w:rFonts w:hint="eastAsia" w:ascii="宋体" w:hAnsi="宋体" w:eastAsia="宋体" w:cs="宋体"/>
          <w:i w:val="0"/>
          <w:iCs w:val="0"/>
          <w:color w:val="auto"/>
          <w:spacing w:val="0"/>
          <w:sz w:val="21"/>
          <w:szCs w:val="21"/>
          <w:highlight w:val="none"/>
        </w:rPr>
        <w:t>根据福建省财政厅文件（闽财购[2008]10号）的规定，若本项目采用综合评分法，则联合体只能确定由其中一方的条件参与商务部分的评标。因此，联合体各方约定以</w:t>
      </w:r>
      <w:r>
        <w:rPr>
          <w:rFonts w:hint="eastAsia" w:ascii="宋体" w:hAnsi="宋体" w:eastAsia="宋体" w:cs="宋体"/>
          <w:i w:val="0"/>
          <w:iCs w:val="0"/>
          <w:color w:val="auto"/>
          <w:spacing w:val="0"/>
          <w:sz w:val="21"/>
          <w:szCs w:val="21"/>
          <w:highlight w:val="none"/>
          <w:u w:val="single"/>
        </w:rPr>
        <w:t>（应填写“其中一方的全称”，如：联合体确定以成员一的条件参与商务部分的评标，则填写“成员一的全称”…；否则填写“无”）</w:t>
      </w:r>
      <w:r>
        <w:rPr>
          <w:rFonts w:hint="eastAsia" w:ascii="宋体" w:hAnsi="宋体" w:eastAsia="宋体" w:cs="宋体"/>
          <w:i w:val="0"/>
          <w:iCs w:val="0"/>
          <w:color w:val="auto"/>
          <w:spacing w:val="0"/>
          <w:sz w:val="21"/>
          <w:szCs w:val="21"/>
          <w:highlight w:val="none"/>
        </w:rPr>
        <w:t>的条件参与商务部分的评标。</w:t>
      </w:r>
    </w:p>
    <w:p w14:paraId="3B74701C">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1DB5FEFE">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五、本协议自签署之日起生效，政府采购合同履行完毕后自动失效。</w:t>
      </w:r>
    </w:p>
    <w:p w14:paraId="4B6D6898">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六、本协议一式</w:t>
      </w:r>
      <w:r>
        <w:rPr>
          <w:rFonts w:hint="eastAsia" w:ascii="宋体" w:hAnsi="宋体" w:eastAsia="宋体" w:cs="宋体"/>
          <w:color w:val="auto"/>
          <w:sz w:val="21"/>
          <w:szCs w:val="21"/>
          <w:highlight w:val="none"/>
          <w:u w:val="single"/>
        </w:rPr>
        <w:t>（填写具体份数）</w:t>
      </w:r>
      <w:r>
        <w:rPr>
          <w:rFonts w:hint="eastAsia" w:ascii="宋体" w:hAnsi="宋体" w:eastAsia="宋体" w:cs="宋体"/>
          <w:color w:val="auto"/>
          <w:sz w:val="21"/>
          <w:szCs w:val="21"/>
          <w:highlight w:val="none"/>
        </w:rPr>
        <w:t>份，联合体各方各执一份，投标文件中提交一份。</w:t>
      </w:r>
    </w:p>
    <w:p w14:paraId="77DB0F2F">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（以下无正文）</w:t>
      </w:r>
    </w:p>
    <w:p w14:paraId="1B717CC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02EA95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牵头方：</w:t>
      </w:r>
      <w:r>
        <w:rPr>
          <w:rFonts w:hint="eastAsia" w:ascii="宋体" w:hAnsi="宋体" w:eastAsia="宋体" w:cs="宋体"/>
          <w:color w:val="auto"/>
          <w:sz w:val="21"/>
          <w:szCs w:val="21"/>
          <w:highlight w:val="none"/>
          <w:u w:val="single"/>
        </w:rPr>
        <w:t>（全称并加盖单位公章）</w:t>
      </w:r>
    </w:p>
    <w:p w14:paraId="1B604F4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（签字或盖章）  </w:t>
      </w:r>
    </w:p>
    <w:p w14:paraId="3461479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B1FE7F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成员一：</w:t>
      </w:r>
      <w:r>
        <w:rPr>
          <w:rFonts w:hint="eastAsia" w:ascii="宋体" w:hAnsi="宋体" w:eastAsia="宋体" w:cs="宋体"/>
          <w:color w:val="auto"/>
          <w:sz w:val="21"/>
          <w:szCs w:val="21"/>
          <w:highlight w:val="none"/>
          <w:u w:val="single"/>
        </w:rPr>
        <w:t>（全称并加盖成员一的单位公章）</w:t>
      </w:r>
    </w:p>
    <w:p w14:paraId="44DF6ED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（签字或盖章）  </w:t>
      </w:r>
    </w:p>
    <w:p w14:paraId="743960B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p w14:paraId="4359F19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5BCF8C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成员**：</w:t>
      </w:r>
      <w:r>
        <w:rPr>
          <w:rFonts w:hint="eastAsia" w:ascii="宋体" w:hAnsi="宋体" w:eastAsia="宋体" w:cs="宋体"/>
          <w:color w:val="auto"/>
          <w:sz w:val="21"/>
          <w:szCs w:val="21"/>
          <w:highlight w:val="none"/>
          <w:u w:val="single"/>
        </w:rPr>
        <w:t>（全称并加盖成员**的单位公章）</w:t>
      </w:r>
    </w:p>
    <w:p w14:paraId="5CD6316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（签字或盖章）  </w:t>
      </w:r>
    </w:p>
    <w:p w14:paraId="6CFFF0C6">
      <w:pPr>
        <w:pStyle w:val="14"/>
        <w:keepNext w:val="0"/>
        <w:keepLines w:val="0"/>
        <w:widowControl/>
        <w:suppressLineNumbers w:val="0"/>
        <w:jc w:val="right"/>
        <w:rPr>
          <w:rFonts w:hint="eastAsia" w:ascii="宋体" w:hAnsi="宋体" w:eastAsia="宋体" w:cs="宋体"/>
          <w:color w:val="auto"/>
          <w:sz w:val="21"/>
          <w:szCs w:val="21"/>
          <w:highlight w:val="none"/>
        </w:rPr>
      </w:pPr>
    </w:p>
    <w:p w14:paraId="583EC1B1">
      <w:pPr>
        <w:pStyle w:val="14"/>
        <w:keepNext w:val="0"/>
        <w:keepLines w:val="0"/>
        <w:widowControl/>
        <w:suppressLineNumbers w:val="0"/>
        <w:jc w:val="right"/>
        <w:rPr>
          <w:rFonts w:hint="eastAsia" w:ascii="宋体" w:hAnsi="宋体" w:eastAsia="宋体" w:cs="宋体"/>
          <w:color w:val="auto"/>
          <w:highlight w:val="none"/>
        </w:rPr>
      </w:pPr>
      <w:r>
        <w:rPr>
          <w:rFonts w:hint="eastAsia" w:ascii="宋体" w:hAnsi="宋体" w:eastAsia="宋体" w:cs="宋体"/>
          <w:color w:val="auto"/>
          <w:sz w:val="21"/>
          <w:szCs w:val="21"/>
          <w:highlight w:val="none"/>
        </w:rPr>
        <w:t>签署日期：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0BF17D1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30CBA6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7489C55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1、招标文件接受联合体投标且投标人为联合体的，投标人应提供本协议；否则无须提供。</w:t>
      </w:r>
    </w:p>
    <w:p w14:paraId="7695C72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2、本协议由委托代理人签字或盖章的，应按照本章载明的格式提供“单位授权书”。</w:t>
      </w:r>
    </w:p>
    <w:p w14:paraId="77828EFB">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3、在以联合体形式落实中小企业预留份额项目中，投标人除了要提供《中小企业声明函》，还需提供本协议。 </w:t>
      </w:r>
    </w:p>
    <w:p w14:paraId="58B9838E">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56E0502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946A811">
      <w:pPr>
        <w:keepNext w:val="0"/>
        <w:keepLines w:val="0"/>
        <w:widowControl/>
        <w:suppressLineNumbers w:val="0"/>
        <w:spacing w:before="0" w:beforeAutospacing="0" w:after="240" w:afterAutospacing="0"/>
        <w:jc w:val="center"/>
        <w:outlineLvl w:val="9"/>
        <w:rPr>
          <w:rFonts w:hint="eastAsia" w:ascii="宋体" w:hAnsi="宋体" w:eastAsia="宋体" w:cs="宋体"/>
          <w:color w:val="auto"/>
          <w:highlight w:val="none"/>
        </w:rPr>
      </w:pPr>
      <w:r>
        <w:rPr>
          <w:rStyle w:val="17"/>
          <w:rFonts w:hint="eastAsia" w:ascii="宋体" w:hAnsi="宋体" w:eastAsia="宋体" w:cs="宋体"/>
          <w:color w:val="auto"/>
          <w:highlight w:val="none"/>
        </w:rPr>
        <w:t>二-11分包意向协议</w:t>
      </w:r>
    </w:p>
    <w:p w14:paraId="318EFC1A">
      <w:pPr>
        <w:pStyle w:val="14"/>
        <w:keepNext w:val="0"/>
        <w:keepLines w:val="0"/>
        <w:widowControl/>
        <w:suppressLineNumbers w:val="0"/>
        <w:spacing w:line="435" w:lineRule="atLeast"/>
        <w:rPr>
          <w:rFonts w:hint="eastAsia" w:ascii="宋体" w:hAnsi="宋体" w:eastAsia="宋体" w:cs="宋体"/>
          <w:color w:val="auto"/>
          <w:highlight w:val="none"/>
        </w:rPr>
      </w:pPr>
      <w:r>
        <w:rPr>
          <w:rFonts w:hint="eastAsia" w:ascii="宋体" w:hAnsi="宋体" w:eastAsia="宋体" w:cs="宋体"/>
          <w:color w:val="auto"/>
          <w:sz w:val="21"/>
          <w:szCs w:val="21"/>
          <w:highlight w:val="none"/>
        </w:rPr>
        <w:t>甲方（总包方）：</w:t>
      </w:r>
      <w:r>
        <w:rPr>
          <w:rFonts w:hint="eastAsia" w:ascii="宋体" w:hAnsi="宋体" w:eastAsia="宋体" w:cs="宋体"/>
          <w:color w:val="auto"/>
          <w:sz w:val="21"/>
          <w:szCs w:val="21"/>
          <w:highlight w:val="none"/>
          <w:u w:val="single"/>
        </w:rPr>
        <w:t>                          　　　     </w:t>
      </w:r>
      <w:r>
        <w:rPr>
          <w:rFonts w:hint="eastAsia" w:ascii="宋体" w:hAnsi="宋体" w:eastAsia="宋体" w:cs="宋体"/>
          <w:color w:val="auto"/>
          <w:highlight w:val="none"/>
          <w:u w:val="single"/>
        </w:rPr>
        <w:t>　</w:t>
      </w:r>
      <w:r>
        <w:rPr>
          <w:rFonts w:hint="eastAsia" w:ascii="宋体" w:hAnsi="宋体" w:eastAsia="宋体" w:cs="宋体"/>
          <w:color w:val="auto"/>
          <w:sz w:val="21"/>
          <w:szCs w:val="21"/>
          <w:highlight w:val="none"/>
        </w:rPr>
        <w:t>（即本项目的投标人）</w:t>
      </w:r>
    </w:p>
    <w:p w14:paraId="529E2B98">
      <w:pPr>
        <w:pStyle w:val="14"/>
        <w:keepNext w:val="0"/>
        <w:keepLines w:val="0"/>
        <w:widowControl/>
        <w:suppressLineNumbers w:val="0"/>
        <w:spacing w:before="75" w:beforeAutospacing="0" w:after="75" w:afterAutospacing="0" w:line="360" w:lineRule="atLeast"/>
        <w:rPr>
          <w:rFonts w:hint="eastAsia" w:ascii="宋体" w:hAnsi="宋体" w:eastAsia="宋体" w:cs="宋体"/>
          <w:color w:val="auto"/>
          <w:highlight w:val="none"/>
        </w:rPr>
      </w:pPr>
      <w:r>
        <w:rPr>
          <w:rFonts w:hint="eastAsia" w:ascii="宋体" w:hAnsi="宋体" w:eastAsia="宋体" w:cs="宋体"/>
          <w:color w:val="auto"/>
          <w:sz w:val="21"/>
          <w:szCs w:val="21"/>
          <w:highlight w:val="none"/>
        </w:rPr>
        <w:t>乙方（分包方）：</w:t>
      </w:r>
      <w:r>
        <w:rPr>
          <w:rFonts w:hint="eastAsia" w:ascii="宋体" w:hAnsi="宋体" w:eastAsia="宋体" w:cs="宋体"/>
          <w:color w:val="auto"/>
          <w:sz w:val="21"/>
          <w:szCs w:val="21"/>
          <w:highlight w:val="none"/>
          <w:u w:val="single"/>
        </w:rPr>
        <w:t>                     　　　　　　　    </w:t>
      </w:r>
    </w:p>
    <w:p w14:paraId="0CE5E4A5">
      <w:pPr>
        <w:pStyle w:val="14"/>
        <w:keepNext w:val="0"/>
        <w:keepLines w:val="0"/>
        <w:widowControl/>
        <w:suppressLineNumbers w:val="0"/>
        <w:spacing w:before="75" w:beforeAutospacing="0" w:after="75" w:afterAutospacing="0" w:line="360" w:lineRule="atLeast"/>
        <w:ind w:left="0" w:firstLine="435"/>
        <w:rPr>
          <w:rFonts w:hint="eastAsia" w:ascii="宋体" w:hAnsi="宋体" w:eastAsia="宋体" w:cs="宋体"/>
          <w:color w:val="auto"/>
          <w:highlight w:val="none"/>
        </w:rPr>
      </w:pPr>
      <w:r>
        <w:rPr>
          <w:rFonts w:hint="eastAsia" w:ascii="宋体" w:hAnsi="宋体" w:eastAsia="宋体" w:cs="宋体"/>
          <w:color w:val="auto"/>
          <w:sz w:val="21"/>
          <w:szCs w:val="21"/>
          <w:highlight w:val="none"/>
        </w:rPr>
        <w:t>兹有甲方参加</w:t>
      </w:r>
      <w:r>
        <w:rPr>
          <w:rFonts w:hint="eastAsia" w:ascii="宋体" w:hAnsi="宋体" w:eastAsia="宋体" w:cs="宋体"/>
          <w:color w:val="auto"/>
          <w:sz w:val="21"/>
          <w:szCs w:val="21"/>
          <w:highlight w:val="none"/>
          <w:u w:val="single"/>
        </w:rPr>
        <w:t>（填写“项目名称”） </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）的政府采购活动。甲方期望将采购项目的部分采购标的分包给乙方完成，而乙方保证能够向甲方提供本协议项下的采购标的，甲、乙双方就合同分包的有关事宜达成下列协议：</w:t>
      </w:r>
    </w:p>
    <w:p w14:paraId="47539F5E">
      <w:pPr>
        <w:pStyle w:val="14"/>
        <w:keepNext w:val="0"/>
        <w:keepLines w:val="0"/>
        <w:widowControl/>
        <w:suppressLineNumbers w:val="0"/>
        <w:spacing w:before="0" w:beforeAutospacing="0" w:after="0" w:afterAutospacing="0" w:line="360" w:lineRule="atLeast"/>
        <w:ind w:left="0" w:firstLine="48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一、分包标的</w:t>
      </w:r>
    </w:p>
    <w:p w14:paraId="24F11ACA">
      <w:pPr>
        <w:pStyle w:val="14"/>
        <w:keepNext w:val="0"/>
        <w:keepLines w:val="0"/>
        <w:widowControl/>
        <w:suppressLineNumbers w:val="0"/>
        <w:spacing w:before="0" w:beforeAutospacing="0" w:after="0" w:afterAutospacing="0" w:line="360" w:lineRule="atLeast"/>
        <w:ind w:left="0" w:firstLine="480"/>
        <w:rPr>
          <w:rFonts w:hint="eastAsia" w:ascii="宋体" w:hAnsi="宋体" w:eastAsia="宋体" w:cs="宋体"/>
          <w:color w:val="auto"/>
          <w:highlight w:val="none"/>
        </w:rPr>
      </w:pPr>
      <w:r>
        <w:rPr>
          <w:rFonts w:hint="eastAsia" w:ascii="宋体" w:hAnsi="宋体" w:eastAsia="宋体" w:cs="宋体"/>
          <w:color w:val="auto"/>
          <w:sz w:val="21"/>
          <w:szCs w:val="21"/>
          <w:highlight w:val="none"/>
          <w:u w:val="single"/>
        </w:rPr>
        <w:t>（根据双方的意向填写，可以是表格或文字描述）</w:t>
      </w:r>
      <w:r>
        <w:rPr>
          <w:rFonts w:hint="eastAsia" w:ascii="宋体" w:hAnsi="宋体" w:eastAsia="宋体" w:cs="宋体"/>
          <w:color w:val="auto"/>
          <w:sz w:val="21"/>
          <w:szCs w:val="21"/>
          <w:highlight w:val="none"/>
        </w:rPr>
        <w:t>。</w:t>
      </w:r>
    </w:p>
    <w:p w14:paraId="457BFE29">
      <w:pPr>
        <w:pStyle w:val="14"/>
        <w:keepNext w:val="0"/>
        <w:keepLines w:val="0"/>
        <w:widowControl/>
        <w:suppressLineNumbers w:val="0"/>
        <w:spacing w:before="0" w:beforeAutospacing="0" w:after="0" w:afterAutospacing="0" w:line="360" w:lineRule="atLeast"/>
        <w:ind w:left="0" w:firstLine="48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二、分包合同金额占比</w:t>
      </w:r>
    </w:p>
    <w:p w14:paraId="64CEDF88">
      <w:pPr>
        <w:pStyle w:val="14"/>
        <w:keepNext w:val="0"/>
        <w:keepLines w:val="0"/>
        <w:widowControl/>
        <w:suppressLineNumbers w:val="0"/>
        <w:spacing w:before="0" w:beforeAutospacing="0" w:after="0" w:afterAutospacing="0" w:line="360" w:lineRule="atLeast"/>
        <w:ind w:left="0" w:firstLine="480"/>
        <w:rPr>
          <w:rFonts w:hint="eastAsia" w:ascii="宋体" w:hAnsi="宋体" w:eastAsia="宋体" w:cs="宋体"/>
          <w:color w:val="auto"/>
          <w:highlight w:val="none"/>
        </w:rPr>
      </w:pPr>
      <w:r>
        <w:rPr>
          <w:rFonts w:hint="eastAsia" w:ascii="宋体" w:hAnsi="宋体" w:eastAsia="宋体" w:cs="宋体"/>
          <w:color w:val="auto"/>
          <w:sz w:val="21"/>
          <w:szCs w:val="21"/>
          <w:highlight w:val="none"/>
        </w:rPr>
        <w:t>分包合同价占投标总价的比例：　　%</w:t>
      </w:r>
    </w:p>
    <w:p w14:paraId="658043B2">
      <w:pPr>
        <w:pStyle w:val="14"/>
        <w:keepNext w:val="0"/>
        <w:keepLines w:val="0"/>
        <w:widowControl/>
        <w:suppressLineNumbers w:val="0"/>
        <w:spacing w:before="0" w:beforeAutospacing="0" w:after="0" w:afterAutospacing="0" w:line="360" w:lineRule="atLeast"/>
        <w:ind w:left="0" w:firstLine="48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三、其他条款</w:t>
      </w:r>
    </w:p>
    <w:p w14:paraId="6F54D894">
      <w:pPr>
        <w:pStyle w:val="14"/>
        <w:keepNext w:val="0"/>
        <w:keepLines w:val="0"/>
        <w:widowControl/>
        <w:suppressLineNumbers w:val="0"/>
        <w:spacing w:before="0" w:beforeAutospacing="0" w:after="0" w:afterAutospacing="0" w:line="360" w:lineRule="atLeast"/>
        <w:ind w:left="0" w:firstLine="480"/>
        <w:rPr>
          <w:rFonts w:hint="eastAsia" w:ascii="宋体" w:hAnsi="宋体" w:eastAsia="宋体" w:cs="宋体"/>
          <w:color w:val="auto"/>
          <w:highlight w:val="none"/>
        </w:rPr>
      </w:pPr>
      <w:r>
        <w:rPr>
          <w:rFonts w:hint="eastAsia" w:ascii="宋体" w:hAnsi="宋体" w:eastAsia="宋体" w:cs="宋体"/>
          <w:color w:val="auto"/>
          <w:sz w:val="21"/>
          <w:szCs w:val="21"/>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p w14:paraId="2787C703">
      <w:pPr>
        <w:pStyle w:val="14"/>
        <w:keepNext w:val="0"/>
        <w:keepLines w:val="0"/>
        <w:widowControl/>
        <w:suppressLineNumbers w:val="0"/>
        <w:spacing w:before="0" w:beforeAutospacing="0" w:after="0" w:afterAutospacing="0" w:line="360" w:lineRule="atLeast"/>
        <w:ind w:left="0" w:firstLine="48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tbl>
      <w:tblPr>
        <w:tblStyle w:val="15"/>
        <w:tblW w:w="840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290"/>
        <w:gridCol w:w="4110"/>
      </w:tblGrid>
      <w:tr w14:paraId="2B9A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4245" w:type="dxa"/>
            <w:shd w:val="clear" w:color="auto" w:fill="auto"/>
            <w:tcMar>
              <w:top w:w="0" w:type="dxa"/>
              <w:left w:w="105" w:type="dxa"/>
              <w:bottom w:w="0" w:type="dxa"/>
              <w:right w:w="105" w:type="dxa"/>
            </w:tcMar>
            <w:vAlign w:val="center"/>
          </w:tcPr>
          <w:p w14:paraId="66BCDC74">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甲方：</w:t>
            </w:r>
          </w:p>
        </w:tc>
        <w:tc>
          <w:tcPr>
            <w:tcW w:w="4065" w:type="dxa"/>
            <w:shd w:val="clear" w:color="auto" w:fill="auto"/>
            <w:tcMar>
              <w:top w:w="0" w:type="dxa"/>
              <w:left w:w="105" w:type="dxa"/>
              <w:bottom w:w="0" w:type="dxa"/>
              <w:right w:w="105" w:type="dxa"/>
            </w:tcMar>
            <w:vAlign w:val="center"/>
          </w:tcPr>
          <w:p w14:paraId="46B90553">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乙方：</w:t>
            </w:r>
          </w:p>
        </w:tc>
      </w:tr>
      <w:tr w14:paraId="0E77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45" w:type="dxa"/>
            <w:shd w:val="clear" w:color="auto" w:fill="auto"/>
            <w:tcMar>
              <w:top w:w="0" w:type="dxa"/>
              <w:left w:w="105" w:type="dxa"/>
              <w:bottom w:w="0" w:type="dxa"/>
              <w:right w:w="105" w:type="dxa"/>
            </w:tcMar>
            <w:vAlign w:val="center"/>
          </w:tcPr>
          <w:p w14:paraId="57C1CE6D">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住所：</w:t>
            </w:r>
          </w:p>
        </w:tc>
        <w:tc>
          <w:tcPr>
            <w:tcW w:w="4065" w:type="dxa"/>
            <w:shd w:val="clear" w:color="auto" w:fill="auto"/>
            <w:tcMar>
              <w:top w:w="0" w:type="dxa"/>
              <w:left w:w="105" w:type="dxa"/>
              <w:bottom w:w="0" w:type="dxa"/>
              <w:right w:w="105" w:type="dxa"/>
            </w:tcMar>
            <w:vAlign w:val="center"/>
          </w:tcPr>
          <w:p w14:paraId="146713AF">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住所：</w:t>
            </w:r>
          </w:p>
        </w:tc>
      </w:tr>
      <w:tr w14:paraId="291E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45" w:type="dxa"/>
            <w:shd w:val="clear" w:color="auto" w:fill="auto"/>
            <w:tcMar>
              <w:top w:w="0" w:type="dxa"/>
              <w:left w:w="105" w:type="dxa"/>
              <w:bottom w:w="0" w:type="dxa"/>
              <w:right w:w="105" w:type="dxa"/>
            </w:tcMar>
            <w:vAlign w:val="center"/>
          </w:tcPr>
          <w:p w14:paraId="06E34721">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单</w:t>
            </w:r>
            <w:r>
              <w:rPr>
                <w:rFonts w:hint="eastAsia" w:ascii="宋体" w:hAnsi="宋体" w:eastAsia="宋体" w:cs="宋体"/>
                <w:color w:val="auto"/>
                <w:spacing w:val="-15"/>
                <w:sz w:val="21"/>
                <w:szCs w:val="21"/>
                <w:highlight w:val="none"/>
              </w:rPr>
              <w:t>位负责人或委托代理人：</w:t>
            </w:r>
          </w:p>
        </w:tc>
        <w:tc>
          <w:tcPr>
            <w:tcW w:w="4065" w:type="dxa"/>
            <w:shd w:val="clear" w:color="auto" w:fill="auto"/>
            <w:tcMar>
              <w:top w:w="0" w:type="dxa"/>
              <w:left w:w="105" w:type="dxa"/>
              <w:bottom w:w="0" w:type="dxa"/>
              <w:right w:w="105" w:type="dxa"/>
            </w:tcMar>
            <w:vAlign w:val="center"/>
          </w:tcPr>
          <w:p w14:paraId="6F8F86C4">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单</w:t>
            </w:r>
            <w:r>
              <w:rPr>
                <w:rFonts w:hint="eastAsia" w:ascii="宋体" w:hAnsi="宋体" w:eastAsia="宋体" w:cs="宋体"/>
                <w:color w:val="auto"/>
                <w:spacing w:val="-15"/>
                <w:sz w:val="21"/>
                <w:szCs w:val="21"/>
                <w:highlight w:val="none"/>
              </w:rPr>
              <w:t>位负责人或委托代理人：</w:t>
            </w:r>
          </w:p>
        </w:tc>
      </w:tr>
      <w:tr w14:paraId="19E7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45" w:type="dxa"/>
            <w:shd w:val="clear" w:color="auto" w:fill="auto"/>
            <w:tcMar>
              <w:top w:w="0" w:type="dxa"/>
              <w:left w:w="105" w:type="dxa"/>
              <w:bottom w:w="0" w:type="dxa"/>
              <w:right w:w="105" w:type="dxa"/>
            </w:tcMar>
            <w:vAlign w:val="center"/>
          </w:tcPr>
          <w:p w14:paraId="71255CF8">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联系方法：</w:t>
            </w:r>
          </w:p>
        </w:tc>
        <w:tc>
          <w:tcPr>
            <w:tcW w:w="4065" w:type="dxa"/>
            <w:shd w:val="clear" w:color="auto" w:fill="auto"/>
            <w:tcMar>
              <w:top w:w="0" w:type="dxa"/>
              <w:left w:w="105" w:type="dxa"/>
              <w:bottom w:w="0" w:type="dxa"/>
              <w:right w:w="105" w:type="dxa"/>
            </w:tcMar>
            <w:vAlign w:val="center"/>
          </w:tcPr>
          <w:p w14:paraId="262D4F2A">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联系方法：</w:t>
            </w:r>
          </w:p>
        </w:tc>
      </w:tr>
      <w:tr w14:paraId="5682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45" w:type="dxa"/>
            <w:shd w:val="clear" w:color="auto" w:fill="auto"/>
            <w:tcMar>
              <w:top w:w="0" w:type="dxa"/>
              <w:left w:w="105" w:type="dxa"/>
              <w:bottom w:w="0" w:type="dxa"/>
              <w:right w:w="105" w:type="dxa"/>
            </w:tcMar>
            <w:vAlign w:val="center"/>
          </w:tcPr>
          <w:p w14:paraId="50471E69">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开户银行：</w:t>
            </w:r>
          </w:p>
        </w:tc>
        <w:tc>
          <w:tcPr>
            <w:tcW w:w="4065" w:type="dxa"/>
            <w:shd w:val="clear" w:color="auto" w:fill="auto"/>
            <w:tcMar>
              <w:top w:w="0" w:type="dxa"/>
              <w:left w:w="105" w:type="dxa"/>
              <w:bottom w:w="0" w:type="dxa"/>
              <w:right w:w="105" w:type="dxa"/>
            </w:tcMar>
            <w:vAlign w:val="center"/>
          </w:tcPr>
          <w:p w14:paraId="249CDE19">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开户银行：</w:t>
            </w:r>
          </w:p>
        </w:tc>
      </w:tr>
      <w:tr w14:paraId="2425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245" w:type="dxa"/>
            <w:shd w:val="clear" w:color="auto" w:fill="auto"/>
            <w:tcMar>
              <w:top w:w="0" w:type="dxa"/>
              <w:left w:w="105" w:type="dxa"/>
              <w:bottom w:w="0" w:type="dxa"/>
              <w:right w:w="105" w:type="dxa"/>
            </w:tcMar>
            <w:vAlign w:val="center"/>
          </w:tcPr>
          <w:p w14:paraId="31F31B8F">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账号：</w:t>
            </w:r>
          </w:p>
        </w:tc>
        <w:tc>
          <w:tcPr>
            <w:tcW w:w="4065" w:type="dxa"/>
            <w:shd w:val="clear" w:color="auto" w:fill="auto"/>
            <w:tcMar>
              <w:top w:w="0" w:type="dxa"/>
              <w:left w:w="105" w:type="dxa"/>
              <w:bottom w:w="0" w:type="dxa"/>
              <w:right w:w="105" w:type="dxa"/>
            </w:tcMar>
            <w:vAlign w:val="center"/>
          </w:tcPr>
          <w:p w14:paraId="58EDDB3E">
            <w:pPr>
              <w:pStyle w:val="14"/>
              <w:keepNext w:val="0"/>
              <w:keepLines w:val="0"/>
              <w:widowControl/>
              <w:suppressLineNumbers w:val="0"/>
              <w:spacing w:before="75" w:beforeAutospacing="0" w:after="75" w:afterAutospacing="0"/>
              <w:jc w:val="both"/>
              <w:rPr>
                <w:rFonts w:hint="eastAsia" w:ascii="宋体" w:hAnsi="宋体" w:eastAsia="宋体" w:cs="宋体"/>
                <w:color w:val="auto"/>
                <w:highlight w:val="none"/>
              </w:rPr>
            </w:pPr>
            <w:r>
              <w:rPr>
                <w:rFonts w:hint="eastAsia" w:ascii="宋体" w:hAnsi="宋体" w:eastAsia="宋体" w:cs="宋体"/>
                <w:color w:val="auto"/>
                <w:sz w:val="21"/>
                <w:szCs w:val="21"/>
                <w:highlight w:val="none"/>
              </w:rPr>
              <w:t>账号：</w:t>
            </w:r>
          </w:p>
        </w:tc>
      </w:tr>
      <w:tr w14:paraId="60D2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8340" w:type="dxa"/>
            <w:gridSpan w:val="2"/>
            <w:shd w:val="clear" w:color="auto" w:fill="auto"/>
            <w:tcMar>
              <w:top w:w="0" w:type="dxa"/>
              <w:left w:w="105" w:type="dxa"/>
              <w:bottom w:w="0" w:type="dxa"/>
              <w:right w:w="105" w:type="dxa"/>
            </w:tcMar>
            <w:vAlign w:val="top"/>
          </w:tcPr>
          <w:p w14:paraId="4CF9926E">
            <w:pPr>
              <w:pStyle w:val="14"/>
              <w:keepNext w:val="0"/>
              <w:keepLines w:val="0"/>
              <w:widowControl/>
              <w:suppressLineNumbers w:val="0"/>
              <w:spacing w:before="150" w:beforeAutospacing="0" w:after="0" w:afterAutospacing="0"/>
              <w:ind w:left="3045"/>
              <w:rPr>
                <w:rFonts w:hint="eastAsia" w:ascii="宋体" w:hAnsi="宋体" w:eastAsia="宋体" w:cs="宋体"/>
                <w:color w:val="auto"/>
                <w:highlight w:val="none"/>
              </w:rPr>
            </w:pPr>
            <w:r>
              <w:rPr>
                <w:rFonts w:hint="eastAsia" w:ascii="宋体" w:hAnsi="宋体" w:eastAsia="宋体" w:cs="宋体"/>
                <w:color w:val="auto"/>
                <w:sz w:val="21"/>
                <w:szCs w:val="21"/>
                <w:highlight w:val="none"/>
              </w:rPr>
              <w:t>签订地点：</w:t>
            </w:r>
            <w:r>
              <w:rPr>
                <w:rFonts w:hint="eastAsia" w:ascii="宋体" w:hAnsi="宋体" w:eastAsia="宋体" w:cs="宋体"/>
                <w:color w:val="auto"/>
                <w:sz w:val="21"/>
                <w:szCs w:val="21"/>
                <w:highlight w:val="none"/>
                <w:u w:val="single"/>
              </w:rPr>
              <w:t>                </w:t>
            </w:r>
          </w:p>
          <w:p w14:paraId="738B7CCD">
            <w:pPr>
              <w:pStyle w:val="14"/>
              <w:keepNext w:val="0"/>
              <w:keepLines w:val="0"/>
              <w:widowControl/>
              <w:suppressLineNumbers w:val="0"/>
              <w:spacing w:before="0" w:beforeAutospacing="0" w:after="0" w:afterAutospacing="0" w:line="360" w:lineRule="atLeast"/>
              <w:ind w:left="3045"/>
              <w:rPr>
                <w:rFonts w:hint="eastAsia" w:ascii="宋体" w:hAnsi="宋体" w:eastAsia="宋体" w:cs="宋体"/>
                <w:color w:val="auto"/>
                <w:highlight w:val="none"/>
              </w:rPr>
            </w:pPr>
            <w:r>
              <w:rPr>
                <w:rFonts w:hint="eastAsia" w:ascii="宋体" w:hAnsi="宋体" w:eastAsia="宋体" w:cs="宋体"/>
                <w:color w:val="auto"/>
                <w:sz w:val="21"/>
                <w:szCs w:val="21"/>
                <w:highlight w:val="none"/>
              </w:rPr>
              <w:t>签订日期：    年   月   日</w:t>
            </w:r>
          </w:p>
        </w:tc>
      </w:tr>
    </w:tbl>
    <w:p w14:paraId="555D2A42">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※注意：</w:t>
      </w:r>
    </w:p>
    <w:p w14:paraId="4105F815">
      <w:pPr>
        <w:pStyle w:val="14"/>
        <w:keepNext w:val="0"/>
        <w:keepLines w:val="0"/>
        <w:widowControl/>
        <w:suppressLineNumbers w:val="0"/>
        <w:spacing w:line="360" w:lineRule="atLeast"/>
        <w:ind w:left="0" w:firstLine="435"/>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1.招标文件接受合同分包且投标人拟将合同分包的，应提供本协议；否则无须提供。</w:t>
      </w:r>
    </w:p>
    <w:p w14:paraId="12CD20E7">
      <w:pPr>
        <w:pStyle w:val="14"/>
        <w:keepNext w:val="0"/>
        <w:keepLines w:val="0"/>
        <w:widowControl/>
        <w:suppressLineNumbers w:val="0"/>
        <w:spacing w:line="360" w:lineRule="atLeast"/>
        <w:ind w:left="0" w:firstLine="435"/>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2.本协议由委托代理人签字或盖章的，应按照本章载明的格式提供“单位授权书”。</w:t>
      </w:r>
    </w:p>
    <w:p w14:paraId="71FF2D13">
      <w:pPr>
        <w:pStyle w:val="14"/>
        <w:keepNext w:val="0"/>
        <w:keepLines w:val="0"/>
        <w:widowControl/>
        <w:suppressLineNumbers w:val="0"/>
        <w:spacing w:line="360" w:lineRule="atLeast"/>
        <w:ind w:left="0" w:firstLine="435"/>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t>3.在以合同分包形式落实中小企业预留份额项目中，投标人除了要提供《中小企业声明函》，还需提供本协议。 </w:t>
      </w:r>
    </w:p>
    <w:p w14:paraId="750529AA">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5FAED23F">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二-12其他资格证明文件（若有）</w:t>
      </w:r>
    </w:p>
    <w:p w14:paraId="44C077E4">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E6E99A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二</w:t>
      </w:r>
      <w:r>
        <w:rPr>
          <w:rStyle w:val="17"/>
          <w:rFonts w:hint="eastAsia" w:ascii="宋体" w:hAnsi="宋体" w:eastAsia="宋体" w:cs="宋体"/>
          <w:color w:val="auto"/>
          <w:sz w:val="21"/>
          <w:szCs w:val="21"/>
          <w:highlight w:val="none"/>
        </w:rPr>
        <w:t>-12-①具备履行合同所必需设备和专业技术能力专项证明材料（若有）</w:t>
      </w:r>
    </w:p>
    <w:p w14:paraId="3E512BA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E7977A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（采购人或采购代理机构）  </w:t>
      </w:r>
    </w:p>
    <w:p w14:paraId="4E686C21">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现附上我方具备履行合同所必需的设备和专业技术能力的专项证明材料复印件（具体附后），上述证明材料真实有效，否则我方负全部责任。</w:t>
      </w:r>
    </w:p>
    <w:p w14:paraId="0B19364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843F68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4EAB0CB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1、招标文件要求投标人提供“具备履行合同所必需的设备和专业技术能力专项证明材料”的，投标人应按照招标文件规定在此项下提供相应证明材料复印件。</w:t>
      </w:r>
    </w:p>
    <w:p w14:paraId="26C3A43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2、投标人提供的相应证明材料复印件均应符合：内容完整、清晰、整洁，并由投标人加盖其单位公章。</w:t>
      </w:r>
    </w:p>
    <w:p w14:paraId="54F419C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56D222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4E9E39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59002F6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0A5F8DF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2AD712F">
      <w:pPr>
        <w:pStyle w:val="14"/>
        <w:keepNext w:val="0"/>
        <w:keepLines w:val="0"/>
        <w:widowControl/>
        <w:suppressLineNumbers w:val="0"/>
        <w:spacing w:after="240" w:afterAutospacing="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010C4EA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D1980E2">
      <w:pPr>
        <w:pStyle w:val="14"/>
        <w:keepNext w:val="0"/>
        <w:keepLines w:val="0"/>
        <w:widowControl/>
        <w:suppressLineNumbers w:val="0"/>
        <w:spacing w:after="240" w:afterAutospacing="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二-12-②招标文件规定的其他资格证明文件（若有）</w:t>
      </w:r>
    </w:p>
    <w:p w14:paraId="1598E561">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0EC030BE">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45A6195E">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编制说明</w:t>
      </w:r>
    </w:p>
    <w:p w14:paraId="5BFFFD8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4CD803A">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除招标文件另有规定外，招标文件要求提交的除前述资格证明文件外的其他资格证明文件（若有）加盖投标人的单位公章后应在此项下提交。</w:t>
      </w:r>
    </w:p>
    <w:p w14:paraId="00942902">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7CA7FB89">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515EA97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4522691">
      <w:pPr>
        <w:pStyle w:val="14"/>
        <w:keepNext w:val="0"/>
        <w:keepLines w:val="0"/>
        <w:widowControl/>
        <w:suppressLineNumbers w:val="0"/>
        <w:jc w:val="center"/>
        <w:outlineLvl w:val="2"/>
        <w:rPr>
          <w:rFonts w:hint="eastAsia" w:ascii="宋体" w:hAnsi="宋体" w:eastAsia="宋体" w:cs="宋体"/>
          <w:color w:val="auto"/>
          <w:highlight w:val="none"/>
        </w:rPr>
      </w:pPr>
      <w:r>
        <w:rPr>
          <w:rFonts w:hint="eastAsia" w:ascii="宋体" w:hAnsi="宋体" w:eastAsia="宋体" w:cs="宋体"/>
          <w:color w:val="auto"/>
          <w:sz w:val="21"/>
          <w:szCs w:val="21"/>
          <w:highlight w:val="none"/>
        </w:rPr>
        <w:t>三</w:t>
      </w:r>
      <w:r>
        <w:rPr>
          <w:rStyle w:val="17"/>
          <w:rFonts w:hint="eastAsia" w:ascii="宋体" w:hAnsi="宋体" w:eastAsia="宋体" w:cs="宋体"/>
          <w:color w:val="auto"/>
          <w:sz w:val="21"/>
          <w:szCs w:val="21"/>
          <w:highlight w:val="none"/>
        </w:rPr>
        <w:t>、投标保证金</w:t>
      </w:r>
    </w:p>
    <w:p w14:paraId="4460624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07CBA1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45CEABC">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编制说明</w:t>
      </w:r>
    </w:p>
    <w:p w14:paraId="04EE2D3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6611FC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1、在此项下提交的</w:t>
      </w:r>
      <w:r>
        <w:rPr>
          <w:rStyle w:val="17"/>
          <w:rFonts w:hint="eastAsia" w:ascii="宋体" w:hAnsi="宋体" w:eastAsia="宋体" w:cs="宋体"/>
          <w:color w:val="auto"/>
          <w:sz w:val="21"/>
          <w:szCs w:val="21"/>
          <w:highlight w:val="none"/>
        </w:rPr>
        <w:t>“投标保证金”</w:t>
      </w:r>
      <w:r>
        <w:rPr>
          <w:rFonts w:hint="eastAsia" w:ascii="宋体" w:hAnsi="宋体" w:eastAsia="宋体" w:cs="宋体"/>
          <w:color w:val="auto"/>
          <w:sz w:val="21"/>
          <w:szCs w:val="21"/>
          <w:highlight w:val="none"/>
        </w:rPr>
        <w:t>材料可使用转账凭证复印件或从福建省政府采购网上公开信息系统中下载的有关原始页面的打印件。</w:t>
      </w:r>
    </w:p>
    <w:p w14:paraId="52764FF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2、投标保证金是否已提交的认定按照招标文件第三章规定执行。</w:t>
      </w:r>
    </w:p>
    <w:p w14:paraId="2A0746A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13877E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E3C2423">
      <w:pPr>
        <w:pStyle w:val="14"/>
        <w:keepNext w:val="0"/>
        <w:keepLines w:val="0"/>
        <w:widowControl/>
        <w:suppressLineNumbers w:val="0"/>
        <w:rPr>
          <w:rFonts w:hint="eastAsia" w:ascii="宋体" w:hAnsi="宋体" w:eastAsia="宋体" w:cs="宋体"/>
          <w:color w:val="auto"/>
          <w:highlight w:val="none"/>
        </w:rPr>
      </w:pPr>
    </w:p>
    <w:p w14:paraId="3DD8D96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310CA8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3520EA7">
      <w:pPr>
        <w:rPr>
          <w:rStyle w:val="17"/>
          <w:rFonts w:hint="eastAsia" w:ascii="宋体" w:hAnsi="宋体" w:eastAsia="宋体" w:cs="宋体"/>
          <w:color w:val="auto"/>
          <w:sz w:val="28"/>
          <w:szCs w:val="28"/>
          <w:highlight w:val="none"/>
        </w:rPr>
      </w:pPr>
      <w:r>
        <w:rPr>
          <w:rStyle w:val="17"/>
          <w:rFonts w:hint="eastAsia" w:ascii="宋体" w:hAnsi="宋体" w:eastAsia="宋体" w:cs="宋体"/>
          <w:color w:val="auto"/>
          <w:sz w:val="28"/>
          <w:szCs w:val="28"/>
          <w:highlight w:val="none"/>
        </w:rPr>
        <w:br w:type="page"/>
      </w:r>
    </w:p>
    <w:p w14:paraId="0FF5C64C">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封面格式</w:t>
      </w:r>
    </w:p>
    <w:p w14:paraId="53E826D8">
      <w:pPr>
        <w:pStyle w:val="14"/>
        <w:keepNext w:val="0"/>
        <w:keepLines w:val="0"/>
        <w:widowControl/>
        <w:suppressLineNumbers w:val="0"/>
        <w:rPr>
          <w:rFonts w:hint="eastAsia" w:ascii="宋体" w:hAnsi="宋体" w:eastAsia="宋体" w:cs="宋体"/>
          <w:color w:val="auto"/>
          <w:highlight w:val="none"/>
        </w:rPr>
      </w:pPr>
    </w:p>
    <w:p w14:paraId="3DAAAAB8">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48"/>
          <w:szCs w:val="48"/>
          <w:highlight w:val="none"/>
        </w:rPr>
        <w:t>福建省政府采购投标文件</w:t>
      </w:r>
    </w:p>
    <w:p w14:paraId="302513C8">
      <w:pPr>
        <w:pStyle w:val="14"/>
        <w:keepNext w:val="0"/>
        <w:keepLines w:val="0"/>
        <w:widowControl/>
        <w:suppressLineNumbers w:val="0"/>
        <w:jc w:val="center"/>
        <w:outlineLvl w:val="1"/>
        <w:rPr>
          <w:rFonts w:hint="eastAsia" w:ascii="宋体" w:hAnsi="宋体" w:eastAsia="宋体" w:cs="宋体"/>
          <w:color w:val="auto"/>
          <w:highlight w:val="none"/>
        </w:rPr>
      </w:pPr>
      <w:bookmarkStart w:id="12" w:name="_Toc21072"/>
      <w:r>
        <w:rPr>
          <w:rStyle w:val="17"/>
          <w:rFonts w:hint="eastAsia" w:ascii="宋体" w:hAnsi="宋体" w:eastAsia="宋体" w:cs="宋体"/>
          <w:color w:val="auto"/>
          <w:sz w:val="48"/>
          <w:szCs w:val="48"/>
          <w:highlight w:val="none"/>
        </w:rPr>
        <w:t>（报价部分）</w:t>
      </w:r>
      <w:bookmarkEnd w:id="12"/>
    </w:p>
    <w:p w14:paraId="4A4A851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22744E58">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6"/>
          <w:szCs w:val="36"/>
          <w:highlight w:val="none"/>
          <w:u w:val="single"/>
        </w:rPr>
        <w:t>（填写正本或副本）</w:t>
      </w:r>
    </w:p>
    <w:p w14:paraId="1974AB3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30FBC678">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项目名称：</w:t>
      </w:r>
      <w:r>
        <w:rPr>
          <w:rStyle w:val="17"/>
          <w:rFonts w:hint="eastAsia" w:ascii="宋体" w:hAnsi="宋体" w:eastAsia="宋体" w:cs="宋体"/>
          <w:color w:val="auto"/>
          <w:sz w:val="31"/>
          <w:szCs w:val="31"/>
          <w:highlight w:val="none"/>
          <w:u w:val="single"/>
        </w:rPr>
        <w:t>（由投标人填写）</w:t>
      </w:r>
    </w:p>
    <w:p w14:paraId="66DBF004">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备案编号：</w:t>
      </w:r>
      <w:r>
        <w:rPr>
          <w:rStyle w:val="17"/>
          <w:rFonts w:hint="eastAsia" w:ascii="宋体" w:hAnsi="宋体" w:eastAsia="宋体" w:cs="宋体"/>
          <w:color w:val="auto"/>
          <w:sz w:val="31"/>
          <w:szCs w:val="31"/>
          <w:highlight w:val="none"/>
          <w:u w:val="single"/>
        </w:rPr>
        <w:t>（由投标人填写）</w:t>
      </w:r>
    </w:p>
    <w:p w14:paraId="095AD5F4">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项目编号：</w:t>
      </w:r>
      <w:r>
        <w:rPr>
          <w:rStyle w:val="17"/>
          <w:rFonts w:hint="eastAsia" w:ascii="宋体" w:hAnsi="宋体" w:eastAsia="宋体" w:cs="宋体"/>
          <w:color w:val="auto"/>
          <w:sz w:val="31"/>
          <w:szCs w:val="31"/>
          <w:highlight w:val="none"/>
          <w:u w:val="single"/>
        </w:rPr>
        <w:t>（由投标人填写）</w:t>
      </w:r>
    </w:p>
    <w:p w14:paraId="699DCAFC">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所投采购包：</w:t>
      </w:r>
      <w:r>
        <w:rPr>
          <w:rStyle w:val="17"/>
          <w:rFonts w:hint="eastAsia" w:ascii="宋体" w:hAnsi="宋体" w:eastAsia="宋体" w:cs="宋体"/>
          <w:color w:val="auto"/>
          <w:sz w:val="31"/>
          <w:szCs w:val="31"/>
          <w:highlight w:val="none"/>
          <w:u w:val="single"/>
        </w:rPr>
        <w:t>（由投标人填写）</w:t>
      </w:r>
    </w:p>
    <w:p w14:paraId="0E82927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1E48A426">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投标人：</w:t>
      </w:r>
      <w:r>
        <w:rPr>
          <w:rStyle w:val="17"/>
          <w:rFonts w:hint="eastAsia" w:ascii="宋体" w:hAnsi="宋体" w:eastAsia="宋体" w:cs="宋体"/>
          <w:color w:val="auto"/>
          <w:sz w:val="31"/>
          <w:szCs w:val="31"/>
          <w:highlight w:val="none"/>
          <w:u w:val="single"/>
        </w:rPr>
        <w:t>（填写“全称”）</w:t>
      </w:r>
    </w:p>
    <w:p w14:paraId="5C93F842">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u w:val="single"/>
        </w:rPr>
        <w:t>（由投标人填写）</w:t>
      </w:r>
      <w:r>
        <w:rPr>
          <w:rStyle w:val="17"/>
          <w:rFonts w:hint="eastAsia" w:ascii="宋体" w:hAnsi="宋体" w:eastAsia="宋体" w:cs="宋体"/>
          <w:color w:val="auto"/>
          <w:sz w:val="31"/>
          <w:szCs w:val="31"/>
          <w:highlight w:val="none"/>
        </w:rPr>
        <w:t>年</w:t>
      </w:r>
      <w:r>
        <w:rPr>
          <w:rStyle w:val="17"/>
          <w:rFonts w:hint="eastAsia" w:ascii="宋体" w:hAnsi="宋体" w:eastAsia="宋体" w:cs="宋体"/>
          <w:color w:val="auto"/>
          <w:sz w:val="31"/>
          <w:szCs w:val="31"/>
          <w:highlight w:val="none"/>
          <w:u w:val="single"/>
        </w:rPr>
        <w:t>（由投标人填写）</w:t>
      </w:r>
      <w:r>
        <w:rPr>
          <w:rStyle w:val="17"/>
          <w:rFonts w:hint="eastAsia" w:ascii="宋体" w:hAnsi="宋体" w:eastAsia="宋体" w:cs="宋体"/>
          <w:color w:val="auto"/>
          <w:sz w:val="31"/>
          <w:szCs w:val="31"/>
          <w:highlight w:val="none"/>
        </w:rPr>
        <w:t>月</w:t>
      </w:r>
    </w:p>
    <w:p w14:paraId="3889007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F30D550">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69DC067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26429ED">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索引</w:t>
      </w:r>
    </w:p>
    <w:p w14:paraId="1C535D4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一、开标一览表</w:t>
      </w:r>
    </w:p>
    <w:p w14:paraId="1AE2318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二、投标分项报价表</w:t>
      </w:r>
    </w:p>
    <w:p w14:paraId="6A3647E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三、招标文件规定的价格扣除证明材料（若有）</w:t>
      </w:r>
    </w:p>
    <w:p w14:paraId="5B8B164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四、招标文件规定的加分证明材料（若有）</w:t>
      </w:r>
    </w:p>
    <w:p w14:paraId="7746C624">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44ED29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4B0A2FF">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77D8E7DD">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一、开标一览表</w:t>
      </w:r>
    </w:p>
    <w:p w14:paraId="2341760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1A3F24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w:t>
      </w:r>
    </w:p>
    <w:p w14:paraId="0A118FA8">
      <w:pPr>
        <w:pStyle w:val="14"/>
        <w:keepNext w:val="0"/>
        <w:keepLines w:val="0"/>
        <w:widowControl/>
        <w:suppressLineNumbers w:val="0"/>
        <w:jc w:val="right"/>
        <w:rPr>
          <w:rFonts w:hint="eastAsia" w:ascii="宋体" w:hAnsi="宋体" w:eastAsia="宋体" w:cs="宋体"/>
          <w:color w:val="auto"/>
          <w:highlight w:val="none"/>
        </w:rPr>
      </w:pPr>
      <w:r>
        <w:rPr>
          <w:rFonts w:hint="eastAsia" w:ascii="宋体" w:hAnsi="宋体" w:eastAsia="宋体" w:cs="宋体"/>
          <w:color w:val="auto"/>
          <w:sz w:val="21"/>
          <w:szCs w:val="21"/>
          <w:highlight w:val="none"/>
        </w:rPr>
        <w:t>货币及单位：人民币元</w:t>
      </w:r>
    </w:p>
    <w:tbl>
      <w:tblPr>
        <w:tblStyle w:val="15"/>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028"/>
        <w:gridCol w:w="3275"/>
        <w:gridCol w:w="1890"/>
        <w:gridCol w:w="2327"/>
      </w:tblGrid>
      <w:tr w14:paraId="3DE88B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83" w:type="dxa"/>
            <w:tcBorders>
              <w:top w:val="nil"/>
              <w:left w:val="nil"/>
              <w:bottom w:val="nil"/>
              <w:right w:val="nil"/>
            </w:tcBorders>
            <w:shd w:val="clear" w:color="auto" w:fill="auto"/>
            <w:tcMar>
              <w:top w:w="0" w:type="dxa"/>
              <w:left w:w="105" w:type="dxa"/>
              <w:bottom w:w="0" w:type="dxa"/>
              <w:right w:w="105" w:type="dxa"/>
            </w:tcMar>
            <w:vAlign w:val="center"/>
          </w:tcPr>
          <w:p w14:paraId="5EED7AB4">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采购包</w:t>
            </w:r>
          </w:p>
        </w:tc>
        <w:tc>
          <w:tcPr>
            <w:tcW w:w="3245" w:type="dxa"/>
            <w:tcBorders>
              <w:top w:val="nil"/>
              <w:left w:val="nil"/>
              <w:bottom w:val="nil"/>
              <w:right w:val="nil"/>
            </w:tcBorders>
            <w:shd w:val="clear" w:color="auto" w:fill="auto"/>
            <w:tcMar>
              <w:top w:w="0" w:type="dxa"/>
              <w:left w:w="105" w:type="dxa"/>
              <w:bottom w:w="0" w:type="dxa"/>
              <w:right w:w="105" w:type="dxa"/>
            </w:tcMar>
            <w:vAlign w:val="center"/>
          </w:tcPr>
          <w:p w14:paraId="042B1B6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投标报价</w:t>
            </w:r>
          </w:p>
        </w:tc>
        <w:tc>
          <w:tcPr>
            <w:tcW w:w="1860" w:type="dxa"/>
            <w:tcBorders>
              <w:top w:val="nil"/>
              <w:left w:val="nil"/>
              <w:bottom w:val="nil"/>
              <w:right w:val="nil"/>
            </w:tcBorders>
            <w:shd w:val="clear" w:color="auto" w:fill="auto"/>
            <w:tcMar>
              <w:top w:w="0" w:type="dxa"/>
              <w:left w:w="105" w:type="dxa"/>
              <w:bottom w:w="0" w:type="dxa"/>
              <w:right w:w="105" w:type="dxa"/>
            </w:tcMar>
            <w:vAlign w:val="center"/>
          </w:tcPr>
          <w:p w14:paraId="77AF16F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w:t>
            </w:r>
          </w:p>
          <w:p w14:paraId="14A36387">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保证金</w:t>
            </w:r>
          </w:p>
        </w:tc>
        <w:tc>
          <w:tcPr>
            <w:tcW w:w="2282" w:type="dxa"/>
            <w:tcBorders>
              <w:top w:val="nil"/>
              <w:left w:val="nil"/>
              <w:bottom w:val="nil"/>
              <w:right w:val="nil"/>
            </w:tcBorders>
            <w:shd w:val="clear" w:color="auto" w:fill="auto"/>
            <w:tcMar>
              <w:top w:w="0" w:type="dxa"/>
              <w:left w:w="105" w:type="dxa"/>
              <w:bottom w:w="0" w:type="dxa"/>
              <w:right w:w="105" w:type="dxa"/>
            </w:tcMar>
            <w:vAlign w:val="center"/>
          </w:tcPr>
          <w:p w14:paraId="6E72D5C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备注</w:t>
            </w:r>
          </w:p>
        </w:tc>
      </w:tr>
      <w:tr w14:paraId="671DD1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00" w:hRule="atLeast"/>
          <w:tblCellSpacing w:w="15" w:type="dxa"/>
        </w:trPr>
        <w:tc>
          <w:tcPr>
            <w:tcW w:w="983" w:type="dxa"/>
            <w:tcBorders>
              <w:top w:val="nil"/>
              <w:left w:val="nil"/>
              <w:bottom w:val="nil"/>
              <w:right w:val="nil"/>
            </w:tcBorders>
            <w:shd w:val="clear" w:color="auto" w:fill="auto"/>
            <w:tcMar>
              <w:top w:w="0" w:type="dxa"/>
              <w:left w:w="105" w:type="dxa"/>
              <w:bottom w:w="0" w:type="dxa"/>
              <w:right w:w="105" w:type="dxa"/>
            </w:tcMar>
            <w:vAlign w:val="center"/>
          </w:tcPr>
          <w:p w14:paraId="4E427729">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3245" w:type="dxa"/>
            <w:tcBorders>
              <w:top w:val="nil"/>
              <w:left w:val="nil"/>
              <w:bottom w:val="nil"/>
              <w:right w:val="nil"/>
            </w:tcBorders>
            <w:shd w:val="clear" w:color="auto" w:fill="auto"/>
            <w:tcMar>
              <w:top w:w="0" w:type="dxa"/>
              <w:left w:w="105" w:type="dxa"/>
              <w:bottom w:w="0" w:type="dxa"/>
              <w:right w:w="105" w:type="dxa"/>
            </w:tcMar>
            <w:vAlign w:val="center"/>
          </w:tcPr>
          <w:p w14:paraId="16A4369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投标总价（大写金额）：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tc>
        <w:tc>
          <w:tcPr>
            <w:tcW w:w="1860" w:type="dxa"/>
            <w:tcBorders>
              <w:top w:val="nil"/>
              <w:left w:val="nil"/>
              <w:bottom w:val="nil"/>
              <w:right w:val="nil"/>
            </w:tcBorders>
            <w:shd w:val="clear" w:color="auto" w:fill="auto"/>
            <w:tcMar>
              <w:top w:w="0" w:type="dxa"/>
              <w:left w:w="105" w:type="dxa"/>
              <w:bottom w:w="0" w:type="dxa"/>
              <w:right w:w="105" w:type="dxa"/>
            </w:tcMar>
            <w:vAlign w:val="center"/>
          </w:tcPr>
          <w:p w14:paraId="42967F6F">
            <w:pPr>
              <w:keepNext w:val="0"/>
              <w:keepLines w:val="0"/>
              <w:widowControl/>
              <w:suppressLineNumbers w:val="0"/>
              <w:jc w:val="left"/>
              <w:rPr>
                <w:rFonts w:hint="eastAsia" w:ascii="宋体" w:hAnsi="宋体" w:eastAsia="宋体" w:cs="宋体"/>
                <w:color w:val="auto"/>
                <w:highlight w:val="none"/>
              </w:rPr>
            </w:pPr>
          </w:p>
        </w:tc>
        <w:tc>
          <w:tcPr>
            <w:tcW w:w="2282" w:type="dxa"/>
            <w:vMerge w:val="restart"/>
            <w:tcBorders>
              <w:top w:val="nil"/>
              <w:left w:val="nil"/>
              <w:bottom w:val="nil"/>
              <w:right w:val="nil"/>
            </w:tcBorders>
            <w:shd w:val="clear" w:color="auto" w:fill="auto"/>
            <w:tcMar>
              <w:top w:w="0" w:type="dxa"/>
              <w:left w:w="105" w:type="dxa"/>
              <w:bottom w:w="0" w:type="dxa"/>
              <w:right w:w="105" w:type="dxa"/>
            </w:tcMar>
            <w:vAlign w:val="center"/>
          </w:tcPr>
          <w:p w14:paraId="64510B9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a.投标报价的明细：详见《投标分项报价表》。</w:t>
            </w:r>
          </w:p>
          <w:p w14:paraId="1FDF675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b.招标文件规定的价格扣除证明材料（若有）：详见报价部分。</w:t>
            </w:r>
          </w:p>
        </w:tc>
      </w:tr>
      <w:tr w14:paraId="127F28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83" w:type="dxa"/>
            <w:tcBorders>
              <w:top w:val="nil"/>
              <w:left w:val="nil"/>
              <w:bottom w:val="nil"/>
              <w:right w:val="nil"/>
            </w:tcBorders>
            <w:shd w:val="clear" w:color="auto" w:fill="auto"/>
            <w:tcMar>
              <w:top w:w="0" w:type="dxa"/>
              <w:left w:w="105" w:type="dxa"/>
              <w:bottom w:w="0" w:type="dxa"/>
              <w:right w:w="105" w:type="dxa"/>
            </w:tcMar>
            <w:vAlign w:val="center"/>
          </w:tcPr>
          <w:p w14:paraId="4C82356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3245" w:type="dxa"/>
            <w:tcBorders>
              <w:top w:val="nil"/>
              <w:left w:val="nil"/>
              <w:bottom w:val="nil"/>
              <w:right w:val="nil"/>
            </w:tcBorders>
            <w:shd w:val="clear" w:color="auto" w:fill="auto"/>
            <w:tcMar>
              <w:top w:w="0" w:type="dxa"/>
              <w:left w:w="105" w:type="dxa"/>
              <w:bottom w:w="0" w:type="dxa"/>
              <w:right w:w="105" w:type="dxa"/>
            </w:tcMar>
            <w:vAlign w:val="center"/>
          </w:tcPr>
          <w:p w14:paraId="300A193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投标总价（大写金额）：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tc>
        <w:tc>
          <w:tcPr>
            <w:tcW w:w="1860" w:type="dxa"/>
            <w:tcBorders>
              <w:top w:val="nil"/>
              <w:left w:val="nil"/>
              <w:bottom w:val="nil"/>
              <w:right w:val="nil"/>
            </w:tcBorders>
            <w:shd w:val="clear" w:color="auto" w:fill="auto"/>
            <w:tcMar>
              <w:top w:w="0" w:type="dxa"/>
              <w:left w:w="105" w:type="dxa"/>
              <w:bottom w:w="0" w:type="dxa"/>
              <w:right w:w="105" w:type="dxa"/>
            </w:tcMar>
            <w:vAlign w:val="center"/>
          </w:tcPr>
          <w:p w14:paraId="3EE0C0E2">
            <w:pPr>
              <w:keepNext w:val="0"/>
              <w:keepLines w:val="0"/>
              <w:widowControl/>
              <w:suppressLineNumbers w:val="0"/>
              <w:jc w:val="left"/>
              <w:rPr>
                <w:rFonts w:hint="eastAsia" w:ascii="宋体" w:hAnsi="宋体" w:eastAsia="宋体" w:cs="宋体"/>
                <w:color w:val="auto"/>
                <w:highlight w:val="none"/>
              </w:rPr>
            </w:pPr>
          </w:p>
        </w:tc>
        <w:tc>
          <w:tcPr>
            <w:tcW w:w="2282" w:type="dxa"/>
            <w:vMerge w:val="continue"/>
            <w:tcBorders>
              <w:top w:val="nil"/>
              <w:left w:val="nil"/>
              <w:bottom w:val="nil"/>
              <w:right w:val="nil"/>
            </w:tcBorders>
            <w:shd w:val="clear" w:color="auto" w:fill="auto"/>
            <w:tcMar>
              <w:top w:w="0" w:type="dxa"/>
              <w:left w:w="105" w:type="dxa"/>
              <w:bottom w:w="0" w:type="dxa"/>
              <w:right w:w="105" w:type="dxa"/>
            </w:tcMar>
            <w:vAlign w:val="center"/>
          </w:tcPr>
          <w:p w14:paraId="74136718">
            <w:pPr>
              <w:rPr>
                <w:rFonts w:hint="eastAsia" w:ascii="宋体" w:hAnsi="宋体" w:eastAsia="宋体" w:cs="宋体"/>
                <w:color w:val="auto"/>
                <w:sz w:val="24"/>
                <w:szCs w:val="24"/>
                <w:highlight w:val="none"/>
              </w:rPr>
            </w:pPr>
          </w:p>
        </w:tc>
      </w:tr>
    </w:tbl>
    <w:p w14:paraId="286F61D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54880DA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1、本表应按照下列规定填写：</w:t>
      </w:r>
    </w:p>
    <w:p w14:paraId="6E6F0BB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1.1投标人应按照本表格式填写所投的采购包的“投标报价”。</w:t>
      </w:r>
    </w:p>
    <w:p w14:paraId="3337804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1.2本表中列示的“采购包”应与《投标分项报价表》中列示的“采购包”保持一致，即：若本表中列示的“采购包”为“1”时，《投标分项报价表》中列示的“采购包”亦应为“1”，以此类推。</w:t>
      </w:r>
    </w:p>
    <w:p w14:paraId="672A130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1.3“大写金额”指“投标报价”应用“壹、贰、叁、肆、伍、陆、柒、捌、玖、拾、佰、仟、万、亿、元、角、分、零”等进行填写。</w:t>
      </w:r>
    </w:p>
    <w:p w14:paraId="248999D2">
      <w:pPr>
        <w:pStyle w:val="14"/>
        <w:keepNext w:val="0"/>
        <w:keepLines w:val="0"/>
        <w:widowControl/>
        <w:suppressLineNumbers w:val="0"/>
        <w:rPr>
          <w:rFonts w:hint="eastAsia" w:ascii="宋体" w:hAnsi="宋体" w:eastAsia="宋体" w:cs="宋体"/>
          <w:color w:val="auto"/>
          <w:highlight w:val="none"/>
        </w:rPr>
      </w:pPr>
    </w:p>
    <w:p w14:paraId="2AF751E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1D086F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489888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3A8BE56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3AF15005">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0C6AA5D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A47C633">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二、投标分项报价表</w:t>
      </w:r>
    </w:p>
    <w:p w14:paraId="79EC3F3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4333EE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w:t>
      </w:r>
    </w:p>
    <w:p w14:paraId="67575A25">
      <w:pPr>
        <w:pStyle w:val="14"/>
        <w:keepNext w:val="0"/>
        <w:keepLines w:val="0"/>
        <w:widowControl/>
        <w:suppressLineNumbers w:val="0"/>
        <w:jc w:val="right"/>
        <w:rPr>
          <w:rFonts w:hint="eastAsia" w:ascii="宋体" w:hAnsi="宋体" w:eastAsia="宋体" w:cs="宋体"/>
          <w:color w:val="auto"/>
          <w:highlight w:val="none"/>
        </w:rPr>
      </w:pPr>
      <w:r>
        <w:rPr>
          <w:rFonts w:hint="eastAsia" w:ascii="宋体" w:hAnsi="宋体" w:eastAsia="宋体" w:cs="宋体"/>
          <w:color w:val="auto"/>
          <w:sz w:val="21"/>
          <w:szCs w:val="21"/>
          <w:highlight w:val="none"/>
        </w:rPr>
        <w:t>货币及单位：人民币元</w:t>
      </w:r>
    </w:p>
    <w:tbl>
      <w:tblPr>
        <w:tblStyle w:val="15"/>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85"/>
        <w:gridCol w:w="956"/>
        <w:gridCol w:w="1498"/>
        <w:gridCol w:w="1236"/>
        <w:gridCol w:w="851"/>
        <w:gridCol w:w="992"/>
        <w:gridCol w:w="589"/>
        <w:gridCol w:w="1088"/>
        <w:gridCol w:w="825"/>
      </w:tblGrid>
      <w:tr w14:paraId="240D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440" w:type="dxa"/>
            <w:shd w:val="clear" w:color="auto" w:fill="auto"/>
            <w:tcMar>
              <w:top w:w="0" w:type="dxa"/>
              <w:left w:w="105" w:type="dxa"/>
              <w:bottom w:w="0" w:type="dxa"/>
              <w:right w:w="105" w:type="dxa"/>
            </w:tcMar>
            <w:vAlign w:val="center"/>
          </w:tcPr>
          <w:p w14:paraId="074C2E2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采购包</w:t>
            </w:r>
          </w:p>
        </w:tc>
        <w:tc>
          <w:tcPr>
            <w:tcW w:w="926" w:type="dxa"/>
            <w:shd w:val="clear" w:color="auto" w:fill="auto"/>
            <w:tcMar>
              <w:top w:w="0" w:type="dxa"/>
              <w:left w:w="105" w:type="dxa"/>
              <w:bottom w:w="0" w:type="dxa"/>
              <w:right w:w="105" w:type="dxa"/>
            </w:tcMar>
            <w:vAlign w:val="center"/>
          </w:tcPr>
          <w:p w14:paraId="41D8619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品目号</w:t>
            </w:r>
          </w:p>
        </w:tc>
        <w:tc>
          <w:tcPr>
            <w:tcW w:w="1468" w:type="dxa"/>
            <w:shd w:val="clear" w:color="auto" w:fill="auto"/>
            <w:tcMar>
              <w:top w:w="0" w:type="dxa"/>
              <w:left w:w="105" w:type="dxa"/>
              <w:bottom w:w="0" w:type="dxa"/>
              <w:right w:w="105" w:type="dxa"/>
            </w:tcMar>
            <w:vAlign w:val="center"/>
          </w:tcPr>
          <w:p w14:paraId="4EC2370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投标标的</w:t>
            </w:r>
          </w:p>
        </w:tc>
        <w:tc>
          <w:tcPr>
            <w:tcW w:w="1206" w:type="dxa"/>
            <w:shd w:val="clear" w:color="auto" w:fill="auto"/>
            <w:tcMar>
              <w:top w:w="0" w:type="dxa"/>
              <w:left w:w="105" w:type="dxa"/>
              <w:bottom w:w="0" w:type="dxa"/>
              <w:right w:w="105" w:type="dxa"/>
            </w:tcMar>
            <w:vAlign w:val="center"/>
          </w:tcPr>
          <w:p w14:paraId="33D1355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规格</w:t>
            </w:r>
          </w:p>
        </w:tc>
        <w:tc>
          <w:tcPr>
            <w:tcW w:w="821" w:type="dxa"/>
            <w:shd w:val="clear" w:color="auto" w:fill="auto"/>
            <w:tcMar>
              <w:top w:w="0" w:type="dxa"/>
              <w:left w:w="105" w:type="dxa"/>
              <w:bottom w:w="0" w:type="dxa"/>
              <w:right w:w="105" w:type="dxa"/>
            </w:tcMar>
            <w:vAlign w:val="center"/>
          </w:tcPr>
          <w:p w14:paraId="49881F08">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来源地</w:t>
            </w:r>
          </w:p>
        </w:tc>
        <w:tc>
          <w:tcPr>
            <w:tcW w:w="962" w:type="dxa"/>
            <w:shd w:val="clear" w:color="auto" w:fill="auto"/>
            <w:tcMar>
              <w:top w:w="0" w:type="dxa"/>
              <w:left w:w="105" w:type="dxa"/>
              <w:bottom w:w="0" w:type="dxa"/>
              <w:right w:w="105" w:type="dxa"/>
            </w:tcMar>
            <w:vAlign w:val="center"/>
          </w:tcPr>
          <w:p w14:paraId="66D9803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单价</w:t>
            </w:r>
          </w:p>
          <w:p w14:paraId="4E9EC824">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w:t>
            </w:r>
          </w:p>
        </w:tc>
        <w:tc>
          <w:tcPr>
            <w:tcW w:w="559" w:type="dxa"/>
            <w:shd w:val="clear" w:color="auto" w:fill="auto"/>
            <w:tcMar>
              <w:top w:w="0" w:type="dxa"/>
              <w:left w:w="105" w:type="dxa"/>
              <w:bottom w:w="0" w:type="dxa"/>
              <w:right w:w="105" w:type="dxa"/>
            </w:tcMar>
            <w:vAlign w:val="center"/>
          </w:tcPr>
          <w:p w14:paraId="25639568">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数量</w:t>
            </w:r>
          </w:p>
        </w:tc>
        <w:tc>
          <w:tcPr>
            <w:tcW w:w="1058" w:type="dxa"/>
            <w:shd w:val="clear" w:color="auto" w:fill="auto"/>
            <w:tcMar>
              <w:top w:w="0" w:type="dxa"/>
              <w:left w:w="105" w:type="dxa"/>
              <w:bottom w:w="0" w:type="dxa"/>
              <w:right w:w="105" w:type="dxa"/>
            </w:tcMar>
            <w:vAlign w:val="center"/>
          </w:tcPr>
          <w:p w14:paraId="4D857BE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总价</w:t>
            </w:r>
          </w:p>
          <w:p w14:paraId="3ACBC3F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w:t>
            </w:r>
          </w:p>
        </w:tc>
        <w:tc>
          <w:tcPr>
            <w:tcW w:w="780" w:type="dxa"/>
            <w:shd w:val="clear" w:color="auto" w:fill="auto"/>
            <w:tcMar>
              <w:top w:w="0" w:type="dxa"/>
              <w:left w:w="105" w:type="dxa"/>
              <w:bottom w:w="0" w:type="dxa"/>
              <w:right w:w="105" w:type="dxa"/>
            </w:tcMar>
            <w:vAlign w:val="center"/>
          </w:tcPr>
          <w:p w14:paraId="23307DB7">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备注</w:t>
            </w:r>
          </w:p>
        </w:tc>
      </w:tr>
      <w:tr w14:paraId="74B4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40" w:type="dxa"/>
            <w:vMerge w:val="restart"/>
            <w:shd w:val="clear" w:color="auto" w:fill="auto"/>
            <w:tcMar>
              <w:top w:w="0" w:type="dxa"/>
              <w:left w:w="105" w:type="dxa"/>
              <w:bottom w:w="0" w:type="dxa"/>
              <w:right w:w="105" w:type="dxa"/>
            </w:tcMar>
            <w:vAlign w:val="center"/>
          </w:tcPr>
          <w:p w14:paraId="5E99BF13">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926" w:type="dxa"/>
            <w:shd w:val="clear" w:color="auto" w:fill="auto"/>
            <w:tcMar>
              <w:top w:w="0" w:type="dxa"/>
              <w:left w:w="105" w:type="dxa"/>
              <w:bottom w:w="0" w:type="dxa"/>
              <w:right w:w="105" w:type="dxa"/>
            </w:tcMar>
            <w:vAlign w:val="center"/>
          </w:tcPr>
          <w:p w14:paraId="0A2FF75F">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1468" w:type="dxa"/>
            <w:shd w:val="clear" w:color="auto" w:fill="auto"/>
            <w:tcMar>
              <w:top w:w="0" w:type="dxa"/>
              <w:left w:w="105" w:type="dxa"/>
              <w:bottom w:w="0" w:type="dxa"/>
              <w:right w:w="105" w:type="dxa"/>
            </w:tcMar>
            <w:vAlign w:val="top"/>
          </w:tcPr>
          <w:p w14:paraId="4D260193">
            <w:pPr>
              <w:keepNext w:val="0"/>
              <w:keepLines w:val="0"/>
              <w:widowControl/>
              <w:suppressLineNumbers w:val="0"/>
              <w:jc w:val="left"/>
              <w:rPr>
                <w:rFonts w:hint="eastAsia" w:ascii="宋体" w:hAnsi="宋体" w:eastAsia="宋体" w:cs="宋体"/>
                <w:color w:val="auto"/>
                <w:highlight w:val="none"/>
              </w:rPr>
            </w:pPr>
          </w:p>
        </w:tc>
        <w:tc>
          <w:tcPr>
            <w:tcW w:w="1206" w:type="dxa"/>
            <w:shd w:val="clear" w:color="auto" w:fill="auto"/>
            <w:tcMar>
              <w:top w:w="0" w:type="dxa"/>
              <w:left w:w="105" w:type="dxa"/>
              <w:bottom w:w="0" w:type="dxa"/>
              <w:right w:w="105" w:type="dxa"/>
            </w:tcMar>
            <w:vAlign w:val="center"/>
          </w:tcPr>
          <w:p w14:paraId="155DC82E">
            <w:pPr>
              <w:keepNext w:val="0"/>
              <w:keepLines w:val="0"/>
              <w:widowControl/>
              <w:suppressLineNumbers w:val="0"/>
              <w:jc w:val="left"/>
              <w:rPr>
                <w:rFonts w:hint="eastAsia" w:ascii="宋体" w:hAnsi="宋体" w:eastAsia="宋体" w:cs="宋体"/>
                <w:color w:val="auto"/>
                <w:highlight w:val="none"/>
              </w:rPr>
            </w:pPr>
          </w:p>
        </w:tc>
        <w:tc>
          <w:tcPr>
            <w:tcW w:w="821" w:type="dxa"/>
            <w:shd w:val="clear" w:color="auto" w:fill="auto"/>
            <w:tcMar>
              <w:top w:w="0" w:type="dxa"/>
              <w:left w:w="105" w:type="dxa"/>
              <w:bottom w:w="0" w:type="dxa"/>
              <w:right w:w="105" w:type="dxa"/>
            </w:tcMar>
            <w:vAlign w:val="top"/>
          </w:tcPr>
          <w:p w14:paraId="5E22CC88">
            <w:pPr>
              <w:keepNext w:val="0"/>
              <w:keepLines w:val="0"/>
              <w:widowControl/>
              <w:suppressLineNumbers w:val="0"/>
              <w:jc w:val="left"/>
              <w:rPr>
                <w:rFonts w:hint="eastAsia" w:ascii="宋体" w:hAnsi="宋体" w:eastAsia="宋体" w:cs="宋体"/>
                <w:color w:val="auto"/>
                <w:highlight w:val="none"/>
              </w:rPr>
            </w:pPr>
          </w:p>
        </w:tc>
        <w:tc>
          <w:tcPr>
            <w:tcW w:w="962" w:type="dxa"/>
            <w:shd w:val="clear" w:color="auto" w:fill="auto"/>
            <w:tcMar>
              <w:top w:w="0" w:type="dxa"/>
              <w:left w:w="105" w:type="dxa"/>
              <w:bottom w:w="0" w:type="dxa"/>
              <w:right w:w="105" w:type="dxa"/>
            </w:tcMar>
            <w:vAlign w:val="top"/>
          </w:tcPr>
          <w:p w14:paraId="61567E98">
            <w:pPr>
              <w:keepNext w:val="0"/>
              <w:keepLines w:val="0"/>
              <w:widowControl/>
              <w:suppressLineNumbers w:val="0"/>
              <w:jc w:val="left"/>
              <w:rPr>
                <w:rFonts w:hint="eastAsia" w:ascii="宋体" w:hAnsi="宋体" w:eastAsia="宋体" w:cs="宋体"/>
                <w:color w:val="auto"/>
                <w:highlight w:val="none"/>
              </w:rPr>
            </w:pPr>
          </w:p>
        </w:tc>
        <w:tc>
          <w:tcPr>
            <w:tcW w:w="559" w:type="dxa"/>
            <w:shd w:val="clear" w:color="auto" w:fill="auto"/>
            <w:tcMar>
              <w:top w:w="0" w:type="dxa"/>
              <w:left w:w="105" w:type="dxa"/>
              <w:bottom w:w="0" w:type="dxa"/>
              <w:right w:w="105" w:type="dxa"/>
            </w:tcMar>
            <w:vAlign w:val="top"/>
          </w:tcPr>
          <w:p w14:paraId="26BECECD">
            <w:pPr>
              <w:keepNext w:val="0"/>
              <w:keepLines w:val="0"/>
              <w:widowControl/>
              <w:suppressLineNumbers w:val="0"/>
              <w:jc w:val="left"/>
              <w:rPr>
                <w:rFonts w:hint="eastAsia" w:ascii="宋体" w:hAnsi="宋体" w:eastAsia="宋体" w:cs="宋体"/>
                <w:color w:val="auto"/>
                <w:highlight w:val="none"/>
              </w:rPr>
            </w:pPr>
          </w:p>
        </w:tc>
        <w:tc>
          <w:tcPr>
            <w:tcW w:w="1058" w:type="dxa"/>
            <w:shd w:val="clear" w:color="auto" w:fill="auto"/>
            <w:tcMar>
              <w:top w:w="0" w:type="dxa"/>
              <w:left w:w="105" w:type="dxa"/>
              <w:bottom w:w="0" w:type="dxa"/>
              <w:right w:w="105" w:type="dxa"/>
            </w:tcMar>
            <w:vAlign w:val="top"/>
          </w:tcPr>
          <w:p w14:paraId="16312886">
            <w:pPr>
              <w:keepNext w:val="0"/>
              <w:keepLines w:val="0"/>
              <w:widowControl/>
              <w:suppressLineNumbers w:val="0"/>
              <w:jc w:val="left"/>
              <w:rPr>
                <w:rFonts w:hint="eastAsia" w:ascii="宋体" w:hAnsi="宋体" w:eastAsia="宋体" w:cs="宋体"/>
                <w:color w:val="auto"/>
                <w:highlight w:val="none"/>
              </w:rPr>
            </w:pPr>
          </w:p>
        </w:tc>
        <w:tc>
          <w:tcPr>
            <w:tcW w:w="780" w:type="dxa"/>
            <w:shd w:val="clear" w:color="auto" w:fill="auto"/>
            <w:tcMar>
              <w:top w:w="0" w:type="dxa"/>
              <w:left w:w="105" w:type="dxa"/>
              <w:bottom w:w="0" w:type="dxa"/>
              <w:right w:w="105" w:type="dxa"/>
            </w:tcMar>
            <w:vAlign w:val="top"/>
          </w:tcPr>
          <w:p w14:paraId="7833475C">
            <w:pPr>
              <w:keepNext w:val="0"/>
              <w:keepLines w:val="0"/>
              <w:widowControl/>
              <w:suppressLineNumbers w:val="0"/>
              <w:jc w:val="left"/>
              <w:rPr>
                <w:rFonts w:hint="eastAsia" w:ascii="宋体" w:hAnsi="宋体" w:eastAsia="宋体" w:cs="宋体"/>
                <w:color w:val="auto"/>
                <w:highlight w:val="none"/>
              </w:rPr>
            </w:pPr>
          </w:p>
        </w:tc>
      </w:tr>
      <w:tr w14:paraId="5341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40" w:type="dxa"/>
            <w:vMerge w:val="continue"/>
            <w:shd w:val="clear" w:color="auto" w:fill="auto"/>
            <w:tcMar>
              <w:top w:w="0" w:type="dxa"/>
              <w:left w:w="105" w:type="dxa"/>
              <w:bottom w:w="0" w:type="dxa"/>
              <w:right w:w="105" w:type="dxa"/>
            </w:tcMar>
            <w:vAlign w:val="center"/>
          </w:tcPr>
          <w:p w14:paraId="1F3B7ED1">
            <w:pPr>
              <w:rPr>
                <w:rFonts w:hint="eastAsia" w:ascii="宋体" w:hAnsi="宋体" w:eastAsia="宋体" w:cs="宋体"/>
                <w:color w:val="auto"/>
                <w:sz w:val="24"/>
                <w:szCs w:val="24"/>
                <w:highlight w:val="none"/>
              </w:rPr>
            </w:pPr>
          </w:p>
        </w:tc>
        <w:tc>
          <w:tcPr>
            <w:tcW w:w="926" w:type="dxa"/>
            <w:shd w:val="clear" w:color="auto" w:fill="auto"/>
            <w:tcMar>
              <w:top w:w="0" w:type="dxa"/>
              <w:left w:w="105" w:type="dxa"/>
              <w:bottom w:w="0" w:type="dxa"/>
              <w:right w:w="105" w:type="dxa"/>
            </w:tcMar>
            <w:vAlign w:val="center"/>
          </w:tcPr>
          <w:p w14:paraId="040D23CD">
            <w:pPr>
              <w:keepNext w:val="0"/>
              <w:keepLines w:val="0"/>
              <w:widowControl/>
              <w:suppressLineNumbers w:val="0"/>
              <w:jc w:val="left"/>
              <w:rPr>
                <w:rFonts w:hint="eastAsia" w:ascii="宋体" w:hAnsi="宋体" w:eastAsia="宋体" w:cs="宋体"/>
                <w:color w:val="auto"/>
                <w:highlight w:val="none"/>
              </w:rPr>
            </w:pPr>
          </w:p>
        </w:tc>
        <w:tc>
          <w:tcPr>
            <w:tcW w:w="1468" w:type="dxa"/>
            <w:shd w:val="clear" w:color="auto" w:fill="auto"/>
            <w:tcMar>
              <w:top w:w="0" w:type="dxa"/>
              <w:left w:w="105" w:type="dxa"/>
              <w:bottom w:w="0" w:type="dxa"/>
              <w:right w:w="105" w:type="dxa"/>
            </w:tcMar>
            <w:vAlign w:val="top"/>
          </w:tcPr>
          <w:p w14:paraId="5CA35FF7">
            <w:pPr>
              <w:keepNext w:val="0"/>
              <w:keepLines w:val="0"/>
              <w:widowControl/>
              <w:suppressLineNumbers w:val="0"/>
              <w:jc w:val="left"/>
              <w:rPr>
                <w:rFonts w:hint="eastAsia" w:ascii="宋体" w:hAnsi="宋体" w:eastAsia="宋体" w:cs="宋体"/>
                <w:color w:val="auto"/>
                <w:highlight w:val="none"/>
              </w:rPr>
            </w:pPr>
          </w:p>
        </w:tc>
        <w:tc>
          <w:tcPr>
            <w:tcW w:w="1206" w:type="dxa"/>
            <w:shd w:val="clear" w:color="auto" w:fill="auto"/>
            <w:tcMar>
              <w:top w:w="0" w:type="dxa"/>
              <w:left w:w="105" w:type="dxa"/>
              <w:bottom w:w="0" w:type="dxa"/>
              <w:right w:w="105" w:type="dxa"/>
            </w:tcMar>
            <w:vAlign w:val="center"/>
          </w:tcPr>
          <w:p w14:paraId="30B67B65">
            <w:pPr>
              <w:keepNext w:val="0"/>
              <w:keepLines w:val="0"/>
              <w:widowControl/>
              <w:suppressLineNumbers w:val="0"/>
              <w:jc w:val="left"/>
              <w:rPr>
                <w:rFonts w:hint="eastAsia" w:ascii="宋体" w:hAnsi="宋体" w:eastAsia="宋体" w:cs="宋体"/>
                <w:color w:val="auto"/>
                <w:highlight w:val="none"/>
              </w:rPr>
            </w:pPr>
          </w:p>
        </w:tc>
        <w:tc>
          <w:tcPr>
            <w:tcW w:w="821" w:type="dxa"/>
            <w:shd w:val="clear" w:color="auto" w:fill="auto"/>
            <w:tcMar>
              <w:top w:w="0" w:type="dxa"/>
              <w:left w:w="105" w:type="dxa"/>
              <w:bottom w:w="0" w:type="dxa"/>
              <w:right w:w="105" w:type="dxa"/>
            </w:tcMar>
            <w:vAlign w:val="top"/>
          </w:tcPr>
          <w:p w14:paraId="3EEDE8ED">
            <w:pPr>
              <w:keepNext w:val="0"/>
              <w:keepLines w:val="0"/>
              <w:widowControl/>
              <w:suppressLineNumbers w:val="0"/>
              <w:jc w:val="left"/>
              <w:rPr>
                <w:rFonts w:hint="eastAsia" w:ascii="宋体" w:hAnsi="宋体" w:eastAsia="宋体" w:cs="宋体"/>
                <w:color w:val="auto"/>
                <w:highlight w:val="none"/>
              </w:rPr>
            </w:pPr>
          </w:p>
        </w:tc>
        <w:tc>
          <w:tcPr>
            <w:tcW w:w="962" w:type="dxa"/>
            <w:shd w:val="clear" w:color="auto" w:fill="auto"/>
            <w:tcMar>
              <w:top w:w="0" w:type="dxa"/>
              <w:left w:w="105" w:type="dxa"/>
              <w:bottom w:w="0" w:type="dxa"/>
              <w:right w:w="105" w:type="dxa"/>
            </w:tcMar>
            <w:vAlign w:val="top"/>
          </w:tcPr>
          <w:p w14:paraId="0FE1B0CB">
            <w:pPr>
              <w:keepNext w:val="0"/>
              <w:keepLines w:val="0"/>
              <w:widowControl/>
              <w:suppressLineNumbers w:val="0"/>
              <w:jc w:val="left"/>
              <w:rPr>
                <w:rFonts w:hint="eastAsia" w:ascii="宋体" w:hAnsi="宋体" w:eastAsia="宋体" w:cs="宋体"/>
                <w:color w:val="auto"/>
                <w:highlight w:val="none"/>
              </w:rPr>
            </w:pPr>
          </w:p>
        </w:tc>
        <w:tc>
          <w:tcPr>
            <w:tcW w:w="559" w:type="dxa"/>
            <w:shd w:val="clear" w:color="auto" w:fill="auto"/>
            <w:tcMar>
              <w:top w:w="0" w:type="dxa"/>
              <w:left w:w="105" w:type="dxa"/>
              <w:bottom w:w="0" w:type="dxa"/>
              <w:right w:w="105" w:type="dxa"/>
            </w:tcMar>
            <w:vAlign w:val="top"/>
          </w:tcPr>
          <w:p w14:paraId="03B0040B">
            <w:pPr>
              <w:keepNext w:val="0"/>
              <w:keepLines w:val="0"/>
              <w:widowControl/>
              <w:suppressLineNumbers w:val="0"/>
              <w:jc w:val="left"/>
              <w:rPr>
                <w:rFonts w:hint="eastAsia" w:ascii="宋体" w:hAnsi="宋体" w:eastAsia="宋体" w:cs="宋体"/>
                <w:color w:val="auto"/>
                <w:highlight w:val="none"/>
              </w:rPr>
            </w:pPr>
          </w:p>
        </w:tc>
        <w:tc>
          <w:tcPr>
            <w:tcW w:w="1058" w:type="dxa"/>
            <w:shd w:val="clear" w:color="auto" w:fill="auto"/>
            <w:tcMar>
              <w:top w:w="0" w:type="dxa"/>
              <w:left w:w="105" w:type="dxa"/>
              <w:bottom w:w="0" w:type="dxa"/>
              <w:right w:w="105" w:type="dxa"/>
            </w:tcMar>
            <w:vAlign w:val="top"/>
          </w:tcPr>
          <w:p w14:paraId="7C3053A2">
            <w:pPr>
              <w:keepNext w:val="0"/>
              <w:keepLines w:val="0"/>
              <w:widowControl/>
              <w:suppressLineNumbers w:val="0"/>
              <w:jc w:val="left"/>
              <w:rPr>
                <w:rFonts w:hint="eastAsia" w:ascii="宋体" w:hAnsi="宋体" w:eastAsia="宋体" w:cs="宋体"/>
                <w:color w:val="auto"/>
                <w:highlight w:val="none"/>
              </w:rPr>
            </w:pPr>
          </w:p>
        </w:tc>
        <w:tc>
          <w:tcPr>
            <w:tcW w:w="780" w:type="dxa"/>
            <w:shd w:val="clear" w:color="auto" w:fill="auto"/>
            <w:tcMar>
              <w:top w:w="0" w:type="dxa"/>
              <w:left w:w="105" w:type="dxa"/>
              <w:bottom w:w="0" w:type="dxa"/>
              <w:right w:w="105" w:type="dxa"/>
            </w:tcMar>
            <w:vAlign w:val="top"/>
          </w:tcPr>
          <w:p w14:paraId="72AB9800">
            <w:pPr>
              <w:keepNext w:val="0"/>
              <w:keepLines w:val="0"/>
              <w:widowControl/>
              <w:suppressLineNumbers w:val="0"/>
              <w:jc w:val="left"/>
              <w:rPr>
                <w:rFonts w:hint="eastAsia" w:ascii="宋体" w:hAnsi="宋体" w:eastAsia="宋体" w:cs="宋体"/>
                <w:color w:val="auto"/>
                <w:highlight w:val="none"/>
              </w:rPr>
            </w:pPr>
          </w:p>
        </w:tc>
      </w:tr>
      <w:tr w14:paraId="1A09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440" w:type="dxa"/>
            <w:shd w:val="clear" w:color="auto" w:fill="auto"/>
            <w:tcMar>
              <w:top w:w="0" w:type="dxa"/>
              <w:left w:w="105" w:type="dxa"/>
              <w:bottom w:w="0" w:type="dxa"/>
              <w:right w:w="105" w:type="dxa"/>
            </w:tcMar>
            <w:vAlign w:val="center"/>
          </w:tcPr>
          <w:p w14:paraId="1590B63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926" w:type="dxa"/>
            <w:shd w:val="clear" w:color="auto" w:fill="auto"/>
            <w:tcMar>
              <w:top w:w="0" w:type="dxa"/>
              <w:left w:w="105" w:type="dxa"/>
              <w:bottom w:w="0" w:type="dxa"/>
              <w:right w:w="105" w:type="dxa"/>
            </w:tcMar>
            <w:vAlign w:val="center"/>
          </w:tcPr>
          <w:p w14:paraId="7A238DA6">
            <w:pPr>
              <w:keepNext w:val="0"/>
              <w:keepLines w:val="0"/>
              <w:widowControl/>
              <w:suppressLineNumbers w:val="0"/>
              <w:jc w:val="left"/>
              <w:rPr>
                <w:rFonts w:hint="eastAsia" w:ascii="宋体" w:hAnsi="宋体" w:eastAsia="宋体" w:cs="宋体"/>
                <w:color w:val="auto"/>
                <w:highlight w:val="none"/>
              </w:rPr>
            </w:pPr>
          </w:p>
        </w:tc>
        <w:tc>
          <w:tcPr>
            <w:tcW w:w="1468" w:type="dxa"/>
            <w:shd w:val="clear" w:color="auto" w:fill="auto"/>
            <w:tcMar>
              <w:top w:w="0" w:type="dxa"/>
              <w:left w:w="105" w:type="dxa"/>
              <w:bottom w:w="0" w:type="dxa"/>
              <w:right w:w="105" w:type="dxa"/>
            </w:tcMar>
            <w:vAlign w:val="top"/>
          </w:tcPr>
          <w:p w14:paraId="0C700491">
            <w:pPr>
              <w:keepNext w:val="0"/>
              <w:keepLines w:val="0"/>
              <w:widowControl/>
              <w:suppressLineNumbers w:val="0"/>
              <w:jc w:val="left"/>
              <w:rPr>
                <w:rFonts w:hint="eastAsia" w:ascii="宋体" w:hAnsi="宋体" w:eastAsia="宋体" w:cs="宋体"/>
                <w:color w:val="auto"/>
                <w:highlight w:val="none"/>
              </w:rPr>
            </w:pPr>
          </w:p>
        </w:tc>
        <w:tc>
          <w:tcPr>
            <w:tcW w:w="1206" w:type="dxa"/>
            <w:shd w:val="clear" w:color="auto" w:fill="auto"/>
            <w:tcMar>
              <w:top w:w="0" w:type="dxa"/>
              <w:left w:w="105" w:type="dxa"/>
              <w:bottom w:w="0" w:type="dxa"/>
              <w:right w:w="105" w:type="dxa"/>
            </w:tcMar>
            <w:vAlign w:val="center"/>
          </w:tcPr>
          <w:p w14:paraId="4AB9C88C">
            <w:pPr>
              <w:keepNext w:val="0"/>
              <w:keepLines w:val="0"/>
              <w:widowControl/>
              <w:suppressLineNumbers w:val="0"/>
              <w:jc w:val="left"/>
              <w:rPr>
                <w:rFonts w:hint="eastAsia" w:ascii="宋体" w:hAnsi="宋体" w:eastAsia="宋体" w:cs="宋体"/>
                <w:color w:val="auto"/>
                <w:highlight w:val="none"/>
              </w:rPr>
            </w:pPr>
          </w:p>
        </w:tc>
        <w:tc>
          <w:tcPr>
            <w:tcW w:w="821" w:type="dxa"/>
            <w:shd w:val="clear" w:color="auto" w:fill="auto"/>
            <w:tcMar>
              <w:top w:w="0" w:type="dxa"/>
              <w:left w:w="105" w:type="dxa"/>
              <w:bottom w:w="0" w:type="dxa"/>
              <w:right w:w="105" w:type="dxa"/>
            </w:tcMar>
            <w:vAlign w:val="top"/>
          </w:tcPr>
          <w:p w14:paraId="00117512">
            <w:pPr>
              <w:keepNext w:val="0"/>
              <w:keepLines w:val="0"/>
              <w:widowControl/>
              <w:suppressLineNumbers w:val="0"/>
              <w:jc w:val="left"/>
              <w:rPr>
                <w:rFonts w:hint="eastAsia" w:ascii="宋体" w:hAnsi="宋体" w:eastAsia="宋体" w:cs="宋体"/>
                <w:color w:val="auto"/>
                <w:highlight w:val="none"/>
              </w:rPr>
            </w:pPr>
          </w:p>
        </w:tc>
        <w:tc>
          <w:tcPr>
            <w:tcW w:w="962" w:type="dxa"/>
            <w:shd w:val="clear" w:color="auto" w:fill="auto"/>
            <w:tcMar>
              <w:top w:w="0" w:type="dxa"/>
              <w:left w:w="105" w:type="dxa"/>
              <w:bottom w:w="0" w:type="dxa"/>
              <w:right w:w="105" w:type="dxa"/>
            </w:tcMar>
            <w:vAlign w:val="top"/>
          </w:tcPr>
          <w:p w14:paraId="072761D8">
            <w:pPr>
              <w:keepNext w:val="0"/>
              <w:keepLines w:val="0"/>
              <w:widowControl/>
              <w:suppressLineNumbers w:val="0"/>
              <w:jc w:val="left"/>
              <w:rPr>
                <w:rFonts w:hint="eastAsia" w:ascii="宋体" w:hAnsi="宋体" w:eastAsia="宋体" w:cs="宋体"/>
                <w:color w:val="auto"/>
                <w:highlight w:val="none"/>
              </w:rPr>
            </w:pPr>
          </w:p>
        </w:tc>
        <w:tc>
          <w:tcPr>
            <w:tcW w:w="559" w:type="dxa"/>
            <w:shd w:val="clear" w:color="auto" w:fill="auto"/>
            <w:tcMar>
              <w:top w:w="0" w:type="dxa"/>
              <w:left w:w="105" w:type="dxa"/>
              <w:bottom w:w="0" w:type="dxa"/>
              <w:right w:w="105" w:type="dxa"/>
            </w:tcMar>
            <w:vAlign w:val="top"/>
          </w:tcPr>
          <w:p w14:paraId="587B3776">
            <w:pPr>
              <w:keepNext w:val="0"/>
              <w:keepLines w:val="0"/>
              <w:widowControl/>
              <w:suppressLineNumbers w:val="0"/>
              <w:jc w:val="left"/>
              <w:rPr>
                <w:rFonts w:hint="eastAsia" w:ascii="宋体" w:hAnsi="宋体" w:eastAsia="宋体" w:cs="宋体"/>
                <w:color w:val="auto"/>
                <w:highlight w:val="none"/>
              </w:rPr>
            </w:pPr>
          </w:p>
        </w:tc>
        <w:tc>
          <w:tcPr>
            <w:tcW w:w="1058" w:type="dxa"/>
            <w:shd w:val="clear" w:color="auto" w:fill="auto"/>
            <w:tcMar>
              <w:top w:w="0" w:type="dxa"/>
              <w:left w:w="105" w:type="dxa"/>
              <w:bottom w:w="0" w:type="dxa"/>
              <w:right w:w="105" w:type="dxa"/>
            </w:tcMar>
            <w:vAlign w:val="top"/>
          </w:tcPr>
          <w:p w14:paraId="1BBF9DAE">
            <w:pPr>
              <w:keepNext w:val="0"/>
              <w:keepLines w:val="0"/>
              <w:widowControl/>
              <w:suppressLineNumbers w:val="0"/>
              <w:jc w:val="left"/>
              <w:rPr>
                <w:rFonts w:hint="eastAsia" w:ascii="宋体" w:hAnsi="宋体" w:eastAsia="宋体" w:cs="宋体"/>
                <w:color w:val="auto"/>
                <w:highlight w:val="none"/>
              </w:rPr>
            </w:pPr>
          </w:p>
        </w:tc>
        <w:tc>
          <w:tcPr>
            <w:tcW w:w="780" w:type="dxa"/>
            <w:shd w:val="clear" w:color="auto" w:fill="auto"/>
            <w:tcMar>
              <w:top w:w="0" w:type="dxa"/>
              <w:left w:w="105" w:type="dxa"/>
              <w:bottom w:w="0" w:type="dxa"/>
              <w:right w:w="105" w:type="dxa"/>
            </w:tcMar>
            <w:vAlign w:val="top"/>
          </w:tcPr>
          <w:p w14:paraId="3E34E5CF">
            <w:pPr>
              <w:keepNext w:val="0"/>
              <w:keepLines w:val="0"/>
              <w:widowControl/>
              <w:suppressLineNumbers w:val="0"/>
              <w:jc w:val="left"/>
              <w:rPr>
                <w:rFonts w:hint="eastAsia" w:ascii="宋体" w:hAnsi="宋体" w:eastAsia="宋体" w:cs="宋体"/>
                <w:color w:val="auto"/>
                <w:highlight w:val="none"/>
              </w:rPr>
            </w:pPr>
          </w:p>
        </w:tc>
      </w:tr>
    </w:tbl>
    <w:p w14:paraId="658504D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796BFD1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1、本表应按照下列规定填写：</w:t>
      </w:r>
    </w:p>
    <w:p w14:paraId="4A0BF6C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14:paraId="6FBD128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1.2“投标标的”为货物的：</w:t>
      </w:r>
      <w:r>
        <w:rPr>
          <w:rStyle w:val="17"/>
          <w:rFonts w:hint="eastAsia" w:ascii="宋体" w:hAnsi="宋体" w:eastAsia="宋体" w:cs="宋体"/>
          <w:color w:val="auto"/>
          <w:sz w:val="21"/>
          <w:szCs w:val="21"/>
          <w:highlight w:val="none"/>
        </w:rPr>
        <w:t>“规格”</w:t>
      </w:r>
      <w:r>
        <w:rPr>
          <w:rFonts w:hint="eastAsia" w:ascii="宋体" w:hAnsi="宋体" w:eastAsia="宋体" w:cs="宋体"/>
          <w:color w:val="auto"/>
          <w:sz w:val="21"/>
          <w:szCs w:val="21"/>
          <w:highlight w:val="none"/>
        </w:rPr>
        <w:t>项下应填写货物制造厂商赋予的品牌（属于节能、环保清单产品的货物，填写的品牌名称应与清单载明的品牌名称保持一致）及具体型号。</w:t>
      </w:r>
      <w:r>
        <w:rPr>
          <w:rStyle w:val="17"/>
          <w:rFonts w:hint="eastAsia" w:ascii="宋体" w:hAnsi="宋体" w:eastAsia="宋体" w:cs="宋体"/>
          <w:color w:val="auto"/>
          <w:sz w:val="21"/>
          <w:szCs w:val="21"/>
          <w:highlight w:val="none"/>
        </w:rPr>
        <w:t>“来源地”</w:t>
      </w:r>
      <w:r>
        <w:rPr>
          <w:rFonts w:hint="eastAsia" w:ascii="宋体" w:hAnsi="宋体" w:eastAsia="宋体" w:cs="宋体"/>
          <w:color w:val="auto"/>
          <w:sz w:val="21"/>
          <w:szCs w:val="21"/>
          <w:highlight w:val="none"/>
        </w:rPr>
        <w:t>应填写货物的原产地。</w:t>
      </w:r>
    </w:p>
    <w:p w14:paraId="52DA24D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1.3“投标标的”为服务的：</w:t>
      </w:r>
      <w:r>
        <w:rPr>
          <w:rStyle w:val="17"/>
          <w:rFonts w:hint="eastAsia" w:ascii="宋体" w:hAnsi="宋体" w:eastAsia="宋体" w:cs="宋体"/>
          <w:color w:val="auto"/>
          <w:sz w:val="21"/>
          <w:szCs w:val="21"/>
          <w:highlight w:val="none"/>
        </w:rPr>
        <w:t>“规格”</w:t>
      </w:r>
      <w:r>
        <w:rPr>
          <w:rFonts w:hint="eastAsia" w:ascii="宋体" w:hAnsi="宋体" w:eastAsia="宋体" w:cs="宋体"/>
          <w:color w:val="auto"/>
          <w:sz w:val="21"/>
          <w:szCs w:val="21"/>
          <w:highlight w:val="none"/>
        </w:rPr>
        <w:t>项下应填写服务提供者提供的服务标准及品牌（若有）。</w:t>
      </w:r>
      <w:r>
        <w:rPr>
          <w:rStyle w:val="17"/>
          <w:rFonts w:hint="eastAsia" w:ascii="宋体" w:hAnsi="宋体" w:eastAsia="宋体" w:cs="宋体"/>
          <w:color w:val="auto"/>
          <w:sz w:val="21"/>
          <w:szCs w:val="21"/>
          <w:highlight w:val="none"/>
        </w:rPr>
        <w:t>“来源地”</w:t>
      </w:r>
      <w:r>
        <w:rPr>
          <w:rFonts w:hint="eastAsia" w:ascii="宋体" w:hAnsi="宋体" w:eastAsia="宋体" w:cs="宋体"/>
          <w:color w:val="auto"/>
          <w:sz w:val="21"/>
          <w:szCs w:val="21"/>
          <w:highlight w:val="none"/>
        </w:rPr>
        <w:t>应填写服务提供者的所在地。</w:t>
      </w:r>
    </w:p>
    <w:p w14:paraId="08C565E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1.4同一采购包中，</w:t>
      </w:r>
      <w:r>
        <w:rPr>
          <w:rStyle w:val="17"/>
          <w:rFonts w:hint="eastAsia" w:ascii="宋体" w:hAnsi="宋体" w:eastAsia="宋体" w:cs="宋体"/>
          <w:color w:val="auto"/>
          <w:sz w:val="21"/>
          <w:szCs w:val="21"/>
          <w:highlight w:val="none"/>
        </w:rPr>
        <w:t>“单价（现场）”</w:t>
      </w:r>
      <w:r>
        <w:rPr>
          <w:rFonts w:hint="eastAsia" w:ascii="宋体" w:hAnsi="宋体" w:eastAsia="宋体" w:cs="宋体"/>
          <w:color w:val="auto"/>
          <w:sz w:val="21"/>
          <w:szCs w:val="21"/>
          <w:highlight w:val="none"/>
        </w:rPr>
        <w:t>×</w:t>
      </w:r>
      <w:r>
        <w:rPr>
          <w:rStyle w:val="17"/>
          <w:rFonts w:hint="eastAsia" w:ascii="宋体" w:hAnsi="宋体" w:eastAsia="宋体" w:cs="宋体"/>
          <w:color w:val="auto"/>
          <w:sz w:val="21"/>
          <w:szCs w:val="21"/>
          <w:highlight w:val="none"/>
        </w:rPr>
        <w:t>“数量”</w:t>
      </w:r>
      <w:r>
        <w:rPr>
          <w:rFonts w:hint="eastAsia" w:ascii="宋体" w:hAnsi="宋体" w:eastAsia="宋体" w:cs="宋体"/>
          <w:color w:val="auto"/>
          <w:sz w:val="21"/>
          <w:szCs w:val="21"/>
          <w:highlight w:val="none"/>
        </w:rPr>
        <w:t>=</w:t>
      </w:r>
      <w:r>
        <w:rPr>
          <w:rStyle w:val="17"/>
          <w:rFonts w:hint="eastAsia" w:ascii="宋体" w:hAnsi="宋体" w:eastAsia="宋体" w:cs="宋体"/>
          <w:color w:val="auto"/>
          <w:sz w:val="21"/>
          <w:szCs w:val="21"/>
          <w:highlight w:val="none"/>
        </w:rPr>
        <w:t>“总价（现场）”</w:t>
      </w:r>
      <w:r>
        <w:rPr>
          <w:rFonts w:hint="eastAsia" w:ascii="宋体" w:hAnsi="宋体" w:eastAsia="宋体" w:cs="宋体"/>
          <w:color w:val="auto"/>
          <w:sz w:val="21"/>
          <w:szCs w:val="21"/>
          <w:highlight w:val="none"/>
        </w:rPr>
        <w:t>，全部品目号</w:t>
      </w:r>
      <w:r>
        <w:rPr>
          <w:rStyle w:val="17"/>
          <w:rFonts w:hint="eastAsia" w:ascii="宋体" w:hAnsi="宋体" w:eastAsia="宋体" w:cs="宋体"/>
          <w:color w:val="auto"/>
          <w:sz w:val="21"/>
          <w:szCs w:val="21"/>
          <w:highlight w:val="none"/>
        </w:rPr>
        <w:t>“总价（现场）”</w:t>
      </w:r>
      <w:r>
        <w:rPr>
          <w:rFonts w:hint="eastAsia" w:ascii="宋体" w:hAnsi="宋体" w:eastAsia="宋体" w:cs="宋体"/>
          <w:color w:val="auto"/>
          <w:sz w:val="21"/>
          <w:szCs w:val="21"/>
          <w:highlight w:val="none"/>
        </w:rPr>
        <w:t>的合计金额应与《开标一览表》中相应采购包列示的</w:t>
      </w:r>
      <w:r>
        <w:rPr>
          <w:rStyle w:val="17"/>
          <w:rFonts w:hint="eastAsia" w:ascii="宋体" w:hAnsi="宋体" w:eastAsia="宋体" w:cs="宋体"/>
          <w:color w:val="auto"/>
          <w:sz w:val="21"/>
          <w:szCs w:val="21"/>
          <w:highlight w:val="none"/>
        </w:rPr>
        <w:t>“投标总价”</w:t>
      </w:r>
      <w:r>
        <w:rPr>
          <w:rFonts w:hint="eastAsia" w:ascii="宋体" w:hAnsi="宋体" w:eastAsia="宋体" w:cs="宋体"/>
          <w:color w:val="auto"/>
          <w:sz w:val="21"/>
          <w:szCs w:val="21"/>
          <w:highlight w:val="none"/>
        </w:rPr>
        <w:t>保持一致。</w:t>
      </w:r>
    </w:p>
    <w:p w14:paraId="43398A3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1.5若招标文件要求投标人对“备品备件价格、专用工具价格、技术服务费、安装调试费、检验培训费、运输费、保险费、税收”等进行报价的，请在本表的</w:t>
      </w:r>
      <w:r>
        <w:rPr>
          <w:rStyle w:val="17"/>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rPr>
        <w:t>项下填写。</w:t>
      </w:r>
    </w:p>
    <w:p w14:paraId="3DAC4A6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6E2FED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2159AC15">
      <w:pPr>
        <w:pStyle w:val="14"/>
        <w:keepNext w:val="0"/>
        <w:keepLines w:val="0"/>
        <w:widowControl/>
        <w:suppressLineNumbers w:val="0"/>
        <w:spacing w:after="240" w:afterAutospacing="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br w:type="textWrapping"/>
      </w:r>
    </w:p>
    <w:p w14:paraId="5D99A3A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B7FC0E6">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三、招标文件规定的价格扣除证明材料（若有）</w:t>
      </w:r>
    </w:p>
    <w:p w14:paraId="2F65BC02">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18E4AE25">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三-1优先类节能产品、环境标志产品价格扣除证明材料（若有）</w:t>
      </w:r>
    </w:p>
    <w:p w14:paraId="781B76A4">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53E6C9B5">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三-1-①优先类节能产品、环境标志产品统计表（价格扣除适用，若有）</w:t>
      </w:r>
    </w:p>
    <w:p w14:paraId="6398769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46AAA4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w:t>
      </w:r>
    </w:p>
    <w:p w14:paraId="5386A451">
      <w:pPr>
        <w:pStyle w:val="14"/>
        <w:keepNext w:val="0"/>
        <w:keepLines w:val="0"/>
        <w:widowControl/>
        <w:suppressLineNumbers w:val="0"/>
        <w:jc w:val="right"/>
        <w:rPr>
          <w:rFonts w:hint="eastAsia" w:ascii="宋体" w:hAnsi="宋体" w:eastAsia="宋体" w:cs="宋体"/>
          <w:color w:val="auto"/>
          <w:highlight w:val="none"/>
        </w:rPr>
      </w:pPr>
      <w:r>
        <w:rPr>
          <w:rFonts w:hint="eastAsia" w:ascii="宋体" w:hAnsi="宋体" w:eastAsia="宋体" w:cs="宋体"/>
          <w:color w:val="auto"/>
          <w:sz w:val="21"/>
          <w:szCs w:val="21"/>
          <w:highlight w:val="none"/>
        </w:rPr>
        <w:t>货币及单位：人民币元</w:t>
      </w:r>
    </w:p>
    <w:tbl>
      <w:tblPr>
        <w:tblStyle w:val="15"/>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219"/>
        <w:gridCol w:w="1215"/>
        <w:gridCol w:w="1209"/>
        <w:gridCol w:w="1221"/>
        <w:gridCol w:w="1209"/>
        <w:gridCol w:w="1222"/>
        <w:gridCol w:w="1225"/>
      </w:tblGrid>
      <w:tr w14:paraId="099D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174" w:type="dxa"/>
            <w:shd w:val="clear" w:color="auto" w:fill="auto"/>
            <w:tcMar>
              <w:top w:w="0" w:type="dxa"/>
              <w:left w:w="105" w:type="dxa"/>
              <w:bottom w:w="0" w:type="dxa"/>
              <w:right w:w="105" w:type="dxa"/>
            </w:tcMar>
            <w:vAlign w:val="center"/>
          </w:tcPr>
          <w:p w14:paraId="036877E8">
            <w:pPr>
              <w:keepNext w:val="0"/>
              <w:keepLines w:val="0"/>
              <w:widowControl/>
              <w:suppressLineNumbers w:val="0"/>
              <w:jc w:val="left"/>
              <w:rPr>
                <w:rFonts w:hint="eastAsia" w:ascii="宋体" w:hAnsi="宋体" w:eastAsia="宋体" w:cs="宋体"/>
                <w:color w:val="auto"/>
                <w:highlight w:val="none"/>
              </w:rPr>
            </w:pPr>
          </w:p>
        </w:tc>
        <w:tc>
          <w:tcPr>
            <w:tcW w:w="7256" w:type="dxa"/>
            <w:gridSpan w:val="6"/>
            <w:shd w:val="clear" w:color="auto" w:fill="auto"/>
            <w:tcMar>
              <w:top w:w="0" w:type="dxa"/>
              <w:left w:w="105" w:type="dxa"/>
              <w:bottom w:w="0" w:type="dxa"/>
              <w:right w:w="105" w:type="dxa"/>
            </w:tcMar>
            <w:vAlign w:val="center"/>
          </w:tcPr>
          <w:p w14:paraId="63640B27">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本采购包内属于节能、环境标志产品的情况</w:t>
            </w:r>
          </w:p>
        </w:tc>
      </w:tr>
      <w:tr w14:paraId="22BB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shd w:val="clear" w:color="auto" w:fill="auto"/>
            <w:tcMar>
              <w:top w:w="0" w:type="dxa"/>
              <w:left w:w="105" w:type="dxa"/>
              <w:bottom w:w="0" w:type="dxa"/>
              <w:right w:w="105" w:type="dxa"/>
            </w:tcMar>
            <w:vAlign w:val="center"/>
          </w:tcPr>
          <w:p w14:paraId="572226A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采购包</w:t>
            </w:r>
          </w:p>
        </w:tc>
        <w:tc>
          <w:tcPr>
            <w:tcW w:w="1185" w:type="dxa"/>
            <w:shd w:val="clear" w:color="auto" w:fill="auto"/>
            <w:tcMar>
              <w:top w:w="0" w:type="dxa"/>
              <w:left w:w="105" w:type="dxa"/>
              <w:bottom w:w="0" w:type="dxa"/>
              <w:right w:w="105" w:type="dxa"/>
            </w:tcMar>
            <w:vAlign w:val="center"/>
          </w:tcPr>
          <w:p w14:paraId="6A9205C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品目号</w:t>
            </w:r>
          </w:p>
        </w:tc>
        <w:tc>
          <w:tcPr>
            <w:tcW w:w="1179" w:type="dxa"/>
            <w:shd w:val="clear" w:color="auto" w:fill="auto"/>
            <w:tcMar>
              <w:top w:w="0" w:type="dxa"/>
              <w:left w:w="105" w:type="dxa"/>
              <w:bottom w:w="0" w:type="dxa"/>
              <w:right w:w="105" w:type="dxa"/>
            </w:tcMar>
            <w:vAlign w:val="center"/>
          </w:tcPr>
          <w:p w14:paraId="7377BB26">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货物名称</w:t>
            </w:r>
          </w:p>
        </w:tc>
        <w:tc>
          <w:tcPr>
            <w:tcW w:w="1191" w:type="dxa"/>
            <w:shd w:val="clear" w:color="auto" w:fill="auto"/>
            <w:tcMar>
              <w:top w:w="0" w:type="dxa"/>
              <w:left w:w="105" w:type="dxa"/>
              <w:bottom w:w="0" w:type="dxa"/>
              <w:right w:w="105" w:type="dxa"/>
            </w:tcMar>
            <w:vAlign w:val="center"/>
          </w:tcPr>
          <w:p w14:paraId="181901DD">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单价</w:t>
            </w:r>
          </w:p>
          <w:p w14:paraId="228AD8D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w:t>
            </w:r>
          </w:p>
        </w:tc>
        <w:tc>
          <w:tcPr>
            <w:tcW w:w="1179" w:type="dxa"/>
            <w:shd w:val="clear" w:color="auto" w:fill="auto"/>
            <w:tcMar>
              <w:top w:w="0" w:type="dxa"/>
              <w:left w:w="105" w:type="dxa"/>
              <w:bottom w:w="0" w:type="dxa"/>
              <w:right w:w="105" w:type="dxa"/>
            </w:tcMar>
            <w:vAlign w:val="center"/>
          </w:tcPr>
          <w:p w14:paraId="4EADDA3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数量</w:t>
            </w:r>
          </w:p>
        </w:tc>
        <w:tc>
          <w:tcPr>
            <w:tcW w:w="1192" w:type="dxa"/>
            <w:shd w:val="clear" w:color="auto" w:fill="auto"/>
            <w:tcMar>
              <w:top w:w="0" w:type="dxa"/>
              <w:left w:w="105" w:type="dxa"/>
              <w:bottom w:w="0" w:type="dxa"/>
              <w:right w:w="105" w:type="dxa"/>
            </w:tcMar>
            <w:vAlign w:val="center"/>
          </w:tcPr>
          <w:p w14:paraId="7BA9C09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总价</w:t>
            </w:r>
          </w:p>
          <w:p w14:paraId="30051F83">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w:t>
            </w:r>
          </w:p>
        </w:tc>
        <w:tc>
          <w:tcPr>
            <w:tcW w:w="1180" w:type="dxa"/>
            <w:shd w:val="clear" w:color="auto" w:fill="auto"/>
            <w:tcMar>
              <w:top w:w="0" w:type="dxa"/>
              <w:left w:w="105" w:type="dxa"/>
              <w:bottom w:w="0" w:type="dxa"/>
              <w:right w:w="105" w:type="dxa"/>
            </w:tcMar>
            <w:vAlign w:val="center"/>
          </w:tcPr>
          <w:p w14:paraId="53FCCFB7">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认证种类</w:t>
            </w:r>
          </w:p>
        </w:tc>
      </w:tr>
      <w:tr w14:paraId="7FC2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vMerge w:val="restart"/>
            <w:shd w:val="clear" w:color="auto" w:fill="auto"/>
            <w:tcMar>
              <w:top w:w="0" w:type="dxa"/>
              <w:left w:w="105" w:type="dxa"/>
              <w:bottom w:w="0" w:type="dxa"/>
              <w:right w:w="105" w:type="dxa"/>
            </w:tcMar>
            <w:vAlign w:val="center"/>
          </w:tcPr>
          <w:p w14:paraId="52925CB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1185" w:type="dxa"/>
            <w:shd w:val="clear" w:color="auto" w:fill="auto"/>
            <w:tcMar>
              <w:top w:w="0" w:type="dxa"/>
              <w:left w:w="105" w:type="dxa"/>
              <w:bottom w:w="0" w:type="dxa"/>
              <w:right w:w="105" w:type="dxa"/>
            </w:tcMar>
            <w:vAlign w:val="center"/>
          </w:tcPr>
          <w:p w14:paraId="187E0D8C">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1179" w:type="dxa"/>
            <w:shd w:val="clear" w:color="auto" w:fill="auto"/>
            <w:tcMar>
              <w:top w:w="0" w:type="dxa"/>
              <w:left w:w="105" w:type="dxa"/>
              <w:bottom w:w="0" w:type="dxa"/>
              <w:right w:w="105" w:type="dxa"/>
            </w:tcMar>
            <w:vAlign w:val="center"/>
          </w:tcPr>
          <w:p w14:paraId="0E6433F4">
            <w:pPr>
              <w:keepNext w:val="0"/>
              <w:keepLines w:val="0"/>
              <w:widowControl/>
              <w:suppressLineNumbers w:val="0"/>
              <w:jc w:val="left"/>
              <w:rPr>
                <w:rFonts w:hint="eastAsia" w:ascii="宋体" w:hAnsi="宋体" w:eastAsia="宋体" w:cs="宋体"/>
                <w:color w:val="auto"/>
                <w:highlight w:val="none"/>
              </w:rPr>
            </w:pPr>
          </w:p>
        </w:tc>
        <w:tc>
          <w:tcPr>
            <w:tcW w:w="1191" w:type="dxa"/>
            <w:shd w:val="clear" w:color="auto" w:fill="auto"/>
            <w:tcMar>
              <w:top w:w="0" w:type="dxa"/>
              <w:left w:w="105" w:type="dxa"/>
              <w:bottom w:w="0" w:type="dxa"/>
              <w:right w:w="105" w:type="dxa"/>
            </w:tcMar>
            <w:vAlign w:val="center"/>
          </w:tcPr>
          <w:p w14:paraId="51FA4466">
            <w:pPr>
              <w:keepNext w:val="0"/>
              <w:keepLines w:val="0"/>
              <w:widowControl/>
              <w:suppressLineNumbers w:val="0"/>
              <w:jc w:val="left"/>
              <w:rPr>
                <w:rFonts w:hint="eastAsia" w:ascii="宋体" w:hAnsi="宋体" w:eastAsia="宋体" w:cs="宋体"/>
                <w:color w:val="auto"/>
                <w:highlight w:val="none"/>
              </w:rPr>
            </w:pPr>
          </w:p>
        </w:tc>
        <w:tc>
          <w:tcPr>
            <w:tcW w:w="1179" w:type="dxa"/>
            <w:shd w:val="clear" w:color="auto" w:fill="auto"/>
            <w:tcMar>
              <w:top w:w="0" w:type="dxa"/>
              <w:left w:w="105" w:type="dxa"/>
              <w:bottom w:w="0" w:type="dxa"/>
              <w:right w:w="105" w:type="dxa"/>
            </w:tcMar>
            <w:vAlign w:val="center"/>
          </w:tcPr>
          <w:p w14:paraId="374F2525">
            <w:pPr>
              <w:keepNext w:val="0"/>
              <w:keepLines w:val="0"/>
              <w:widowControl/>
              <w:suppressLineNumbers w:val="0"/>
              <w:jc w:val="left"/>
              <w:rPr>
                <w:rFonts w:hint="eastAsia" w:ascii="宋体" w:hAnsi="宋体" w:eastAsia="宋体" w:cs="宋体"/>
                <w:color w:val="auto"/>
                <w:highlight w:val="none"/>
              </w:rPr>
            </w:pPr>
          </w:p>
        </w:tc>
        <w:tc>
          <w:tcPr>
            <w:tcW w:w="1192" w:type="dxa"/>
            <w:shd w:val="clear" w:color="auto" w:fill="auto"/>
            <w:tcMar>
              <w:top w:w="0" w:type="dxa"/>
              <w:left w:w="105" w:type="dxa"/>
              <w:bottom w:w="0" w:type="dxa"/>
              <w:right w:w="105" w:type="dxa"/>
            </w:tcMar>
            <w:vAlign w:val="center"/>
          </w:tcPr>
          <w:p w14:paraId="423D1EE5">
            <w:pPr>
              <w:keepNext w:val="0"/>
              <w:keepLines w:val="0"/>
              <w:widowControl/>
              <w:suppressLineNumbers w:val="0"/>
              <w:jc w:val="left"/>
              <w:rPr>
                <w:rFonts w:hint="eastAsia" w:ascii="宋体" w:hAnsi="宋体" w:eastAsia="宋体" w:cs="宋体"/>
                <w:color w:val="auto"/>
                <w:highlight w:val="none"/>
              </w:rPr>
            </w:pPr>
          </w:p>
        </w:tc>
        <w:tc>
          <w:tcPr>
            <w:tcW w:w="1180" w:type="dxa"/>
            <w:shd w:val="clear" w:color="auto" w:fill="auto"/>
            <w:tcMar>
              <w:top w:w="0" w:type="dxa"/>
              <w:left w:w="105" w:type="dxa"/>
              <w:bottom w:w="0" w:type="dxa"/>
              <w:right w:w="105" w:type="dxa"/>
            </w:tcMar>
            <w:vAlign w:val="center"/>
          </w:tcPr>
          <w:p w14:paraId="66A2BDBD">
            <w:pPr>
              <w:keepNext w:val="0"/>
              <w:keepLines w:val="0"/>
              <w:widowControl/>
              <w:suppressLineNumbers w:val="0"/>
              <w:jc w:val="left"/>
              <w:rPr>
                <w:rFonts w:hint="eastAsia" w:ascii="宋体" w:hAnsi="宋体" w:eastAsia="宋体" w:cs="宋体"/>
                <w:color w:val="auto"/>
                <w:highlight w:val="none"/>
              </w:rPr>
            </w:pPr>
          </w:p>
        </w:tc>
      </w:tr>
      <w:tr w14:paraId="7C66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vMerge w:val="continue"/>
            <w:shd w:val="clear" w:color="auto" w:fill="auto"/>
            <w:tcMar>
              <w:top w:w="0" w:type="dxa"/>
              <w:left w:w="105" w:type="dxa"/>
              <w:bottom w:w="0" w:type="dxa"/>
              <w:right w:w="105" w:type="dxa"/>
            </w:tcMar>
            <w:vAlign w:val="center"/>
          </w:tcPr>
          <w:p w14:paraId="6AC24D13">
            <w:pPr>
              <w:rPr>
                <w:rFonts w:hint="eastAsia" w:ascii="宋体" w:hAnsi="宋体" w:eastAsia="宋体" w:cs="宋体"/>
                <w:color w:val="auto"/>
                <w:sz w:val="24"/>
                <w:szCs w:val="24"/>
                <w:highlight w:val="none"/>
              </w:rPr>
            </w:pPr>
          </w:p>
        </w:tc>
        <w:tc>
          <w:tcPr>
            <w:tcW w:w="1185" w:type="dxa"/>
            <w:shd w:val="clear" w:color="auto" w:fill="auto"/>
            <w:tcMar>
              <w:top w:w="0" w:type="dxa"/>
              <w:left w:w="105" w:type="dxa"/>
              <w:bottom w:w="0" w:type="dxa"/>
              <w:right w:w="105" w:type="dxa"/>
            </w:tcMar>
            <w:vAlign w:val="center"/>
          </w:tcPr>
          <w:p w14:paraId="77F77FBB">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1179" w:type="dxa"/>
            <w:shd w:val="clear" w:color="auto" w:fill="auto"/>
            <w:tcMar>
              <w:top w:w="0" w:type="dxa"/>
              <w:left w:w="105" w:type="dxa"/>
              <w:bottom w:w="0" w:type="dxa"/>
              <w:right w:w="105" w:type="dxa"/>
            </w:tcMar>
            <w:vAlign w:val="center"/>
          </w:tcPr>
          <w:p w14:paraId="2555781C">
            <w:pPr>
              <w:keepNext w:val="0"/>
              <w:keepLines w:val="0"/>
              <w:widowControl/>
              <w:suppressLineNumbers w:val="0"/>
              <w:jc w:val="left"/>
              <w:rPr>
                <w:rFonts w:hint="eastAsia" w:ascii="宋体" w:hAnsi="宋体" w:eastAsia="宋体" w:cs="宋体"/>
                <w:color w:val="auto"/>
                <w:highlight w:val="none"/>
              </w:rPr>
            </w:pPr>
          </w:p>
        </w:tc>
        <w:tc>
          <w:tcPr>
            <w:tcW w:w="1191" w:type="dxa"/>
            <w:shd w:val="clear" w:color="auto" w:fill="auto"/>
            <w:tcMar>
              <w:top w:w="0" w:type="dxa"/>
              <w:left w:w="105" w:type="dxa"/>
              <w:bottom w:w="0" w:type="dxa"/>
              <w:right w:w="105" w:type="dxa"/>
            </w:tcMar>
            <w:vAlign w:val="center"/>
          </w:tcPr>
          <w:p w14:paraId="3488F5AE">
            <w:pPr>
              <w:keepNext w:val="0"/>
              <w:keepLines w:val="0"/>
              <w:widowControl/>
              <w:suppressLineNumbers w:val="0"/>
              <w:jc w:val="left"/>
              <w:rPr>
                <w:rFonts w:hint="eastAsia" w:ascii="宋体" w:hAnsi="宋体" w:eastAsia="宋体" w:cs="宋体"/>
                <w:color w:val="auto"/>
                <w:highlight w:val="none"/>
              </w:rPr>
            </w:pPr>
          </w:p>
        </w:tc>
        <w:tc>
          <w:tcPr>
            <w:tcW w:w="1179" w:type="dxa"/>
            <w:shd w:val="clear" w:color="auto" w:fill="auto"/>
            <w:tcMar>
              <w:top w:w="0" w:type="dxa"/>
              <w:left w:w="105" w:type="dxa"/>
              <w:bottom w:w="0" w:type="dxa"/>
              <w:right w:w="105" w:type="dxa"/>
            </w:tcMar>
            <w:vAlign w:val="center"/>
          </w:tcPr>
          <w:p w14:paraId="5210F2B0">
            <w:pPr>
              <w:keepNext w:val="0"/>
              <w:keepLines w:val="0"/>
              <w:widowControl/>
              <w:suppressLineNumbers w:val="0"/>
              <w:jc w:val="left"/>
              <w:rPr>
                <w:rFonts w:hint="eastAsia" w:ascii="宋体" w:hAnsi="宋体" w:eastAsia="宋体" w:cs="宋体"/>
                <w:color w:val="auto"/>
                <w:highlight w:val="none"/>
              </w:rPr>
            </w:pPr>
          </w:p>
        </w:tc>
        <w:tc>
          <w:tcPr>
            <w:tcW w:w="1192" w:type="dxa"/>
            <w:shd w:val="clear" w:color="auto" w:fill="auto"/>
            <w:tcMar>
              <w:top w:w="0" w:type="dxa"/>
              <w:left w:w="105" w:type="dxa"/>
              <w:bottom w:w="0" w:type="dxa"/>
              <w:right w:w="105" w:type="dxa"/>
            </w:tcMar>
            <w:vAlign w:val="center"/>
          </w:tcPr>
          <w:p w14:paraId="6A15BD69">
            <w:pPr>
              <w:keepNext w:val="0"/>
              <w:keepLines w:val="0"/>
              <w:widowControl/>
              <w:suppressLineNumbers w:val="0"/>
              <w:jc w:val="left"/>
              <w:rPr>
                <w:rFonts w:hint="eastAsia" w:ascii="宋体" w:hAnsi="宋体" w:eastAsia="宋体" w:cs="宋体"/>
                <w:color w:val="auto"/>
                <w:highlight w:val="none"/>
              </w:rPr>
            </w:pPr>
          </w:p>
        </w:tc>
        <w:tc>
          <w:tcPr>
            <w:tcW w:w="1180" w:type="dxa"/>
            <w:shd w:val="clear" w:color="auto" w:fill="auto"/>
            <w:tcMar>
              <w:top w:w="0" w:type="dxa"/>
              <w:left w:w="105" w:type="dxa"/>
              <w:bottom w:w="0" w:type="dxa"/>
              <w:right w:w="105" w:type="dxa"/>
            </w:tcMar>
            <w:vAlign w:val="center"/>
          </w:tcPr>
          <w:p w14:paraId="32C8631A">
            <w:pPr>
              <w:keepNext w:val="0"/>
              <w:keepLines w:val="0"/>
              <w:widowControl/>
              <w:suppressLineNumbers w:val="0"/>
              <w:jc w:val="left"/>
              <w:rPr>
                <w:rFonts w:hint="eastAsia" w:ascii="宋体" w:hAnsi="宋体" w:eastAsia="宋体" w:cs="宋体"/>
                <w:color w:val="auto"/>
                <w:highlight w:val="none"/>
              </w:rPr>
            </w:pPr>
          </w:p>
        </w:tc>
      </w:tr>
      <w:tr w14:paraId="43B1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shd w:val="clear" w:color="auto" w:fill="auto"/>
            <w:tcMar>
              <w:top w:w="0" w:type="dxa"/>
              <w:left w:w="105" w:type="dxa"/>
              <w:bottom w:w="0" w:type="dxa"/>
              <w:right w:w="105" w:type="dxa"/>
            </w:tcMar>
            <w:vAlign w:val="center"/>
          </w:tcPr>
          <w:p w14:paraId="097D6FF9">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备注</w:t>
            </w:r>
          </w:p>
        </w:tc>
        <w:tc>
          <w:tcPr>
            <w:tcW w:w="7256" w:type="dxa"/>
            <w:gridSpan w:val="6"/>
            <w:shd w:val="clear" w:color="auto" w:fill="auto"/>
            <w:tcMar>
              <w:top w:w="0" w:type="dxa"/>
              <w:left w:w="105" w:type="dxa"/>
              <w:bottom w:w="0" w:type="dxa"/>
              <w:right w:w="105" w:type="dxa"/>
            </w:tcMar>
            <w:vAlign w:val="top"/>
          </w:tcPr>
          <w:p w14:paraId="13AE233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a.采购包内属于节能、环境标志产品的报价总金额：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22DF37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b.采购包投标总价（报价总金额）：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8E41B7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c.“采购包内属于节能、环境标志产品的报价总金额”占“采购包投标总价（报价总金额）”的比例（以%列示）：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tc>
      </w:tr>
    </w:tbl>
    <w:p w14:paraId="121A6F7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4A55B76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1、对节能、环境标志产品计算价格扣除时，只依据投标文件</w:t>
      </w:r>
      <w:r>
        <w:rPr>
          <w:rStyle w:val="17"/>
          <w:rFonts w:hint="eastAsia" w:ascii="宋体" w:hAnsi="宋体" w:eastAsia="宋体" w:cs="宋体"/>
          <w:color w:val="auto"/>
          <w:sz w:val="21"/>
          <w:szCs w:val="21"/>
          <w:highlight w:val="none"/>
        </w:rPr>
        <w:t>“三-1-②优先类节能产品、环境标志产品证明材料（价格扣除适用，若有）”。</w:t>
      </w:r>
    </w:p>
    <w:p w14:paraId="1AED9E2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2、本表以采购包为单位，不同采购包请分别填写；同一采购包请按照其品目号顺序分别填写。</w:t>
      </w:r>
    </w:p>
    <w:p w14:paraId="70FB5C1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3、具体统计、计算：</w:t>
      </w:r>
    </w:p>
    <w:p w14:paraId="722FF2F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3.1若节能、环境标志产品仅是构成投标产品的部件、组件或零件，则该投标产品不享受鼓励优惠政策。同一品目中各认证证书不重复计算价格扣除。强制类节能产品不享受价格扣除。</w:t>
      </w:r>
    </w:p>
    <w:p w14:paraId="4258563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3.2计算结果若除不尽，可四舍五入保留到小数点后两位。</w:t>
      </w:r>
    </w:p>
    <w:p w14:paraId="27E20A3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3.3投标人应按照招标文件要求认真统计、计算，否则评标委员会不予认定。</w:t>
      </w:r>
    </w:p>
    <w:p w14:paraId="1B4048C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3.4若无节能、环境标志产品，不填写本表，否则，</w:t>
      </w:r>
      <w:r>
        <w:rPr>
          <w:rStyle w:val="17"/>
          <w:rFonts w:hint="eastAsia" w:ascii="宋体" w:hAnsi="宋体" w:eastAsia="宋体" w:cs="宋体"/>
          <w:color w:val="auto"/>
          <w:sz w:val="21"/>
          <w:szCs w:val="21"/>
          <w:highlight w:val="none"/>
        </w:rPr>
        <w:t>视为提供虚假材料。</w:t>
      </w:r>
    </w:p>
    <w:p w14:paraId="2AE6E40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B626F1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2E9449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08EA637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7B4F8D46">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61C6D054">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75F2AE55">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1424BC86">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三-1-②优先类节能产品、环境标志产品证明材料（价格扣除适用，若有）</w:t>
      </w:r>
    </w:p>
    <w:p w14:paraId="3189E04B">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br w:type="textWrapping"/>
      </w:r>
      <w:r>
        <w:rPr>
          <w:rStyle w:val="17"/>
          <w:rFonts w:hint="eastAsia" w:ascii="宋体" w:hAnsi="宋体" w:eastAsia="宋体" w:cs="宋体"/>
          <w:color w:val="auto"/>
          <w:sz w:val="21"/>
          <w:szCs w:val="21"/>
          <w:highlight w:val="none"/>
        </w:rPr>
        <w:t>三-2小型、微型企业产品等价格扣除证明材料（若有）</w:t>
      </w:r>
    </w:p>
    <w:p w14:paraId="395815E8">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br w:type="textWrapping"/>
      </w:r>
      <w:r>
        <w:rPr>
          <w:rStyle w:val="17"/>
          <w:rFonts w:hint="eastAsia" w:ascii="宋体" w:hAnsi="宋体" w:eastAsia="宋体" w:cs="宋体"/>
          <w:color w:val="auto"/>
          <w:sz w:val="21"/>
          <w:szCs w:val="21"/>
          <w:highlight w:val="none"/>
        </w:rPr>
        <w:t>三-2-①中小企业声明函（价格扣除适用，若有）</w:t>
      </w:r>
    </w:p>
    <w:p w14:paraId="057FCF13">
      <w:pPr>
        <w:pStyle w:val="14"/>
        <w:keepNext w:val="0"/>
        <w:keepLines w:val="0"/>
        <w:widowControl/>
        <w:suppressLineNumbers w:val="0"/>
        <w:rPr>
          <w:rFonts w:hint="eastAsia" w:ascii="宋体" w:hAnsi="宋体" w:eastAsia="宋体" w:cs="宋体"/>
          <w:color w:val="auto"/>
          <w:highlight w:val="none"/>
        </w:rPr>
      </w:pPr>
    </w:p>
    <w:p w14:paraId="6FD79CA7">
      <w:pPr>
        <w:keepNext w:val="0"/>
        <w:keepLines w:val="0"/>
        <w:widowControl/>
        <w:suppressLineNumbers w:val="0"/>
        <w:spacing w:before="150" w:beforeAutospacing="0" w:after="150" w:afterAutospacing="0"/>
        <w:jc w:val="center"/>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中小企业声明函（货物）</w:t>
      </w:r>
    </w:p>
    <w:p w14:paraId="7C21BCB2">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605D4606">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1. </w:t>
      </w:r>
      <w:r>
        <w:rPr>
          <w:rFonts w:hint="eastAsia" w:ascii="宋体" w:hAnsi="宋体" w:eastAsia="宋体" w:cs="宋体"/>
          <w:color w:val="auto"/>
          <w:sz w:val="21"/>
          <w:szCs w:val="21"/>
          <w:highlight w:val="none"/>
          <w:u w:val="single"/>
        </w:rPr>
        <w:t> （标的名称） </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行业；制造商为（企业名称），从业人员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w:t>
      </w:r>
      <w:r>
        <w:rPr>
          <w:rFonts w:hint="eastAsia" w:ascii="宋体" w:hAnsi="宋体" w:eastAsia="宋体" w:cs="宋体"/>
          <w:color w:val="auto"/>
          <w:sz w:val="21"/>
          <w:szCs w:val="21"/>
          <w:highlight w:val="none"/>
          <w:vertAlign w:val="superscript"/>
        </w:rPr>
        <w:t>1</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067A4E54">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2. </w:t>
      </w:r>
      <w:r>
        <w:rPr>
          <w:rFonts w:hint="eastAsia" w:ascii="宋体" w:hAnsi="宋体" w:eastAsia="宋体" w:cs="宋体"/>
          <w:color w:val="auto"/>
          <w:sz w:val="21"/>
          <w:szCs w:val="21"/>
          <w:highlight w:val="none"/>
          <w:u w:val="single"/>
        </w:rPr>
        <w:t> （标的名称） </w:t>
      </w:r>
      <w:r>
        <w:rPr>
          <w:rFonts w:hint="eastAsia" w:ascii="宋体" w:hAnsi="宋体" w:eastAsia="宋体" w:cs="宋体"/>
          <w:color w:val="auto"/>
          <w:sz w:val="21"/>
          <w:szCs w:val="21"/>
          <w:highlight w:val="none"/>
        </w:rPr>
        <w:t>， 属于</w:t>
      </w:r>
      <w:r>
        <w:rPr>
          <w:rFonts w:hint="eastAsia" w:ascii="宋体" w:hAnsi="宋体" w:eastAsia="宋体" w:cs="宋体"/>
          <w:color w:val="auto"/>
          <w:sz w:val="21"/>
          <w:szCs w:val="21"/>
          <w:highlight w:val="none"/>
          <w:u w:val="single"/>
        </w:rPr>
        <w:t> （采购文件中明确的所属行业 ）</w:t>
      </w:r>
      <w:r>
        <w:rPr>
          <w:rFonts w:hint="eastAsia" w:ascii="宋体" w:hAnsi="宋体" w:eastAsia="宋体" w:cs="宋体"/>
          <w:color w:val="auto"/>
          <w:sz w:val="21"/>
          <w:szCs w:val="21"/>
          <w:highlight w:val="none"/>
        </w:rPr>
        <w:t>行业；制造商为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486E47C2">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4"/>
          <w:szCs w:val="24"/>
          <w:highlight w:val="none"/>
        </w:rPr>
        <w:t>  </w:t>
      </w:r>
    </w:p>
    <w:p w14:paraId="68B31EB4">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p w14:paraId="266353BF">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DB6611A">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73A73D85">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7950925">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74B24198">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企业名称（盖章）：</w:t>
      </w:r>
    </w:p>
    <w:p w14:paraId="52F98678">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日期：</w:t>
      </w:r>
    </w:p>
    <w:p w14:paraId="155595AF">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AB17969">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1、从业人员、营业收入、资产总额填报上一年度数据，无上一年度数据的新成立企业可不填报。</w:t>
      </w:r>
    </w:p>
    <w:p w14:paraId="2F03F7FC">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2、投标人须按招标文件第四章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5B1E858">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A09319F">
      <w:pPr>
        <w:keepNext w:val="0"/>
        <w:keepLines w:val="0"/>
        <w:widowControl/>
        <w:suppressLineNumbers w:val="0"/>
        <w:spacing w:before="150" w:beforeAutospacing="0" w:after="150" w:afterAutospacing="0"/>
        <w:jc w:val="center"/>
        <w:outlineLvl w:val="9"/>
        <w:rPr>
          <w:rFonts w:hint="eastAsia" w:ascii="宋体" w:hAnsi="宋体" w:eastAsia="宋体" w:cs="宋体"/>
          <w:color w:val="auto"/>
          <w:highlight w:val="none"/>
        </w:rPr>
      </w:pPr>
      <w:r>
        <w:rPr>
          <w:rStyle w:val="17"/>
          <w:rFonts w:hint="eastAsia" w:ascii="宋体" w:hAnsi="宋体" w:eastAsia="宋体" w:cs="宋体"/>
          <w:color w:val="auto"/>
          <w:sz w:val="24"/>
          <w:szCs w:val="24"/>
          <w:highlight w:val="none"/>
        </w:rPr>
        <w:t>中小企业声明函（工程、服务</w:t>
      </w:r>
      <w:r>
        <w:rPr>
          <w:rStyle w:val="17"/>
          <w:rFonts w:hint="eastAsia" w:ascii="宋体" w:hAnsi="宋体" w:eastAsia="宋体" w:cs="宋体"/>
          <w:color w:val="auto"/>
          <w:sz w:val="21"/>
          <w:szCs w:val="21"/>
          <w:highlight w:val="none"/>
        </w:rPr>
        <w:t>）</w:t>
      </w:r>
    </w:p>
    <w:p w14:paraId="61449779">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本公司（联合体）郑重声明，根据《政府采购促进中小企业发展管理办法》（财库﹝2020﹞46 号）的规定，本公司（联合体）参加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3717130">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；承建（承接）企业为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w:t>
      </w:r>
      <w:r>
        <w:rPr>
          <w:rFonts w:hint="eastAsia" w:ascii="宋体" w:hAnsi="宋体" w:eastAsia="宋体" w:cs="宋体"/>
          <w:color w:val="auto"/>
          <w:sz w:val="21"/>
          <w:szCs w:val="21"/>
          <w:highlight w:val="none"/>
          <w:vertAlign w:val="superscript"/>
        </w:rPr>
        <w:t>1</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28D8A80C">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2.</w:t>
      </w:r>
      <w:r>
        <w:rPr>
          <w:rFonts w:hint="eastAsia" w:ascii="宋体" w:hAnsi="宋体" w:eastAsia="宋体" w:cs="宋体"/>
          <w:color w:val="auto"/>
          <w:sz w:val="21"/>
          <w:szCs w:val="21"/>
          <w:highlight w:val="none"/>
          <w:u w:val="single"/>
        </w:rPr>
        <w:t> （标的名称）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；承建（承接）企业为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171BC9D3">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F50570D">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p w14:paraId="223A4232">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7015733">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以上企业，不属于大企业的分支机构，不存在控股股东为大企业的情形，也不存在与大企业的负责人为同一人的情形。</w:t>
      </w:r>
    </w:p>
    <w:p w14:paraId="155ED8FF">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2E68218">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本企业对上述声明内容的真实性负责。如有虚假，将依法承担相应责任。</w:t>
      </w:r>
    </w:p>
    <w:p w14:paraId="0AC5BC90">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46D37E7">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企业名称（盖章）：   </w:t>
      </w:r>
    </w:p>
    <w:p w14:paraId="5F7C165D">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日期：</w:t>
      </w:r>
    </w:p>
    <w:p w14:paraId="7CBB6575">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971DC01">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1、从业人员、营业收入、资产总额填报上一年度数据，无上一年度数据的新成立企业可不填报。</w:t>
      </w:r>
    </w:p>
    <w:p w14:paraId="1C73C57D">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2、投标人须按招标文件第四章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C1C8B94">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B8BBDCD">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6E0216C7">
      <w:pPr>
        <w:pStyle w:val="14"/>
        <w:keepNext w:val="0"/>
        <w:keepLines w:val="0"/>
        <w:widowControl/>
        <w:suppressLineNumbers w:val="0"/>
        <w:spacing w:after="240"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p>
    <w:p w14:paraId="43CD3952">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三-2-②小型、微型企业等证明材料（价格扣除适用，若有）</w:t>
      </w:r>
    </w:p>
    <w:p w14:paraId="1F70D74E">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66701B10">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35EAE02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编制说明</w:t>
      </w:r>
    </w:p>
    <w:p w14:paraId="57FC936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F59DB7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1、投标人应按照招标文件要求提供相应证明材料，证明材料应与《中小企业声明函》的内容相一致，否则视为《中小企业声明函》内容不真实。</w:t>
      </w:r>
    </w:p>
    <w:p w14:paraId="7D5A6A5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2、投标人为监狱企业的，根据其提供的由省级以上监狱管理局、戒毒管理局（含新疆生产建设兵团）出具的属于监狱企业的证明文件进行认定，监狱企业视同小型、微型企业。</w:t>
      </w:r>
    </w:p>
    <w:p w14:paraId="15DAA47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3、投标人为残疾人福利性单位的，根据其提供的《残疾人福利性单位声明函》（格式附后）进行认定，残疾人福利性单位视同小型、微型企业。残疾人福利性单位属于小型、微型企业的，不重复享受政策。</w:t>
      </w:r>
    </w:p>
    <w:p w14:paraId="531DF71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2453E2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241767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9D6AC0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附：</w:t>
      </w:r>
    </w:p>
    <w:p w14:paraId="07273107">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残疾人福利性单位声明函（价格扣除适用，若有）</w:t>
      </w:r>
    </w:p>
    <w:p w14:paraId="613CBBFA">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05153A49">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eastAsia="宋体" w:cs="宋体"/>
          <w:color w:val="auto"/>
          <w:sz w:val="21"/>
          <w:szCs w:val="21"/>
          <w:highlight w:val="none"/>
          <w:u w:val="single"/>
        </w:rPr>
        <w:t>（填写“项目名称”）</w:t>
      </w:r>
      <w:r>
        <w:rPr>
          <w:rFonts w:hint="eastAsia" w:ascii="宋体" w:hAnsi="宋体" w:eastAsia="宋体" w:cs="宋体"/>
          <w:color w:val="auto"/>
          <w:sz w:val="21"/>
          <w:szCs w:val="21"/>
          <w:highlight w:val="none"/>
        </w:rPr>
        <w:t>项目采购活动：</w:t>
      </w:r>
    </w:p>
    <w:p w14:paraId="760DD55B">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）提供本投标人制造的</w:t>
      </w:r>
      <w:r>
        <w:rPr>
          <w:rFonts w:hint="eastAsia" w:ascii="宋体" w:hAnsi="宋体" w:eastAsia="宋体" w:cs="宋体"/>
          <w:color w:val="auto"/>
          <w:sz w:val="21"/>
          <w:szCs w:val="21"/>
          <w:highlight w:val="none"/>
          <w:u w:val="single"/>
        </w:rPr>
        <w:t>（填写“所投采购包、品目号”）</w:t>
      </w:r>
      <w:r>
        <w:rPr>
          <w:rFonts w:hint="eastAsia" w:ascii="宋体" w:hAnsi="宋体" w:eastAsia="宋体" w:cs="宋体"/>
          <w:color w:val="auto"/>
          <w:sz w:val="21"/>
          <w:szCs w:val="21"/>
          <w:highlight w:val="none"/>
        </w:rPr>
        <w:t>货物，或提供其他残疾人福利性单位制造的</w:t>
      </w:r>
      <w:r>
        <w:rPr>
          <w:rFonts w:hint="eastAsia" w:ascii="宋体" w:hAnsi="宋体" w:eastAsia="宋体" w:cs="宋体"/>
          <w:color w:val="auto"/>
          <w:sz w:val="21"/>
          <w:szCs w:val="21"/>
          <w:highlight w:val="none"/>
          <w:u w:val="single"/>
        </w:rPr>
        <w:t>（填写“所投采购包、品目号”）</w:t>
      </w:r>
      <w:r>
        <w:rPr>
          <w:rFonts w:hint="eastAsia" w:ascii="宋体" w:hAnsi="宋体" w:eastAsia="宋体" w:cs="宋体"/>
          <w:color w:val="auto"/>
          <w:sz w:val="21"/>
          <w:szCs w:val="21"/>
          <w:highlight w:val="none"/>
        </w:rPr>
        <w:t>货物（不包括使用非残疾人福利性单位注册商标的货物）。（说明：只有部分货物由残疾人福利企业制造的，在该货物后标</w:t>
      </w:r>
      <w:r>
        <w:rPr>
          <w:rFonts w:hint="eastAsia" w:ascii="宋体" w:hAnsi="宋体" w:eastAsia="宋体" w:cs="宋体"/>
          <w:color w:val="auto"/>
          <w:sz w:val="19"/>
          <w:szCs w:val="19"/>
          <w:highlight w:val="none"/>
          <w:shd w:val="clear" w:fill="FFFFFF"/>
        </w:rPr>
        <w:t>★</w:t>
      </w:r>
      <w:r>
        <w:rPr>
          <w:rFonts w:hint="eastAsia" w:ascii="宋体" w:hAnsi="宋体" w:eastAsia="宋体" w:cs="宋体"/>
          <w:color w:val="auto"/>
          <w:sz w:val="21"/>
          <w:szCs w:val="21"/>
          <w:highlight w:val="none"/>
        </w:rPr>
        <w:t>）</w:t>
      </w:r>
    </w:p>
    <w:p w14:paraId="767520CB">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）由本投标人承建的</w:t>
      </w:r>
      <w:r>
        <w:rPr>
          <w:rFonts w:hint="eastAsia" w:ascii="宋体" w:hAnsi="宋体" w:eastAsia="宋体" w:cs="宋体"/>
          <w:color w:val="auto"/>
          <w:sz w:val="21"/>
          <w:szCs w:val="21"/>
          <w:highlight w:val="none"/>
          <w:u w:val="single"/>
        </w:rPr>
        <w:t>（填写“所投采购包、品目号”）</w:t>
      </w:r>
      <w:r>
        <w:rPr>
          <w:rFonts w:hint="eastAsia" w:ascii="宋体" w:hAnsi="宋体" w:eastAsia="宋体" w:cs="宋体"/>
          <w:color w:val="auto"/>
          <w:sz w:val="21"/>
          <w:szCs w:val="21"/>
          <w:highlight w:val="none"/>
        </w:rPr>
        <w:t>工程</w:t>
      </w:r>
    </w:p>
    <w:p w14:paraId="4ED958C5">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）由本投标人承接的</w:t>
      </w:r>
      <w:r>
        <w:rPr>
          <w:rFonts w:hint="eastAsia" w:ascii="宋体" w:hAnsi="宋体" w:eastAsia="宋体" w:cs="宋体"/>
          <w:color w:val="auto"/>
          <w:sz w:val="21"/>
          <w:szCs w:val="21"/>
          <w:highlight w:val="none"/>
          <w:u w:val="single"/>
        </w:rPr>
        <w:t>（填写“所投采购包、品目号”）</w:t>
      </w:r>
      <w:r>
        <w:rPr>
          <w:rFonts w:hint="eastAsia" w:ascii="宋体" w:hAnsi="宋体" w:eastAsia="宋体" w:cs="宋体"/>
          <w:color w:val="auto"/>
          <w:sz w:val="21"/>
          <w:szCs w:val="21"/>
          <w:highlight w:val="none"/>
        </w:rPr>
        <w:t>服务；</w:t>
      </w:r>
    </w:p>
    <w:p w14:paraId="49A240F3">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本投标人对上述声明的真实性负责。如有虚假，将依法承担相应责任。</w:t>
      </w:r>
    </w:p>
    <w:p w14:paraId="34321CC7">
      <w:pPr>
        <w:pStyle w:val="14"/>
        <w:keepNext w:val="0"/>
        <w:keepLines w:val="0"/>
        <w:widowControl/>
        <w:suppressLineNumbers w:val="0"/>
        <w:spacing w:before="75" w:beforeAutospacing="0" w:after="75" w:afterAutospacing="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7A39E28">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备注：</w:t>
      </w:r>
    </w:p>
    <w:p w14:paraId="372EB58C">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1、请投标人按照实际情况编制填写本声明函，并在相应的（）中打“√”。</w:t>
      </w:r>
    </w:p>
    <w:p w14:paraId="40121335">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2、若《残疾人福利性单位声明函》内容不真实，</w:t>
      </w:r>
      <w:r>
        <w:rPr>
          <w:rStyle w:val="17"/>
          <w:rFonts w:hint="eastAsia" w:ascii="宋体" w:hAnsi="宋体" w:eastAsia="宋体" w:cs="宋体"/>
          <w:color w:val="auto"/>
          <w:sz w:val="21"/>
          <w:szCs w:val="21"/>
          <w:highlight w:val="none"/>
        </w:rPr>
        <w:t>视为提供虚假材料。</w:t>
      </w:r>
    </w:p>
    <w:p w14:paraId="56E88121">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258E969">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C7B3E20">
      <w:pPr>
        <w:pStyle w:val="14"/>
        <w:keepNext w:val="0"/>
        <w:keepLines w:val="0"/>
        <w:widowControl/>
        <w:suppressLineNumbers w:val="0"/>
        <w:spacing w:before="75" w:beforeAutospacing="0" w:after="75"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3AD3F635">
      <w:pPr>
        <w:pStyle w:val="14"/>
        <w:keepNext w:val="0"/>
        <w:keepLines w:val="0"/>
        <w:widowControl/>
        <w:suppressLineNumbers w:val="0"/>
        <w:spacing w:before="75" w:beforeAutospacing="0" w:after="240"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70DF55CD">
      <w:pPr>
        <w:pStyle w:val="14"/>
        <w:keepNext w:val="0"/>
        <w:keepLines w:val="0"/>
        <w:widowControl/>
        <w:suppressLineNumbers w:val="0"/>
        <w:spacing w:before="0" w:beforeAutospacing="0" w:after="0" w:afterAutospacing="0"/>
        <w:ind w:left="0" w:righ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附：</w:t>
      </w:r>
    </w:p>
    <w:p w14:paraId="4E93B1B4">
      <w:pPr>
        <w:pStyle w:val="14"/>
        <w:keepNext w:val="0"/>
        <w:keepLines w:val="0"/>
        <w:widowControl/>
        <w:suppressLineNumbers w:val="0"/>
        <w:spacing w:before="75" w:beforeAutospacing="0" w:after="75" w:afterAutospacing="0"/>
        <w:ind w:left="0" w:firstLine="0"/>
        <w:jc w:val="center"/>
        <w:rPr>
          <w:rFonts w:hint="eastAsia" w:ascii="宋体" w:hAnsi="宋体" w:eastAsia="宋体" w:cs="宋体"/>
          <w:color w:val="auto"/>
          <w:highlight w:val="none"/>
        </w:rPr>
      </w:pPr>
      <w:r>
        <w:rPr>
          <w:rStyle w:val="17"/>
          <w:rFonts w:hint="eastAsia" w:ascii="宋体" w:hAnsi="宋体" w:eastAsia="宋体" w:cs="宋体"/>
          <w:color w:val="auto"/>
          <w:highlight w:val="none"/>
        </w:rPr>
        <w:t>监狱企业证明材料</w:t>
      </w:r>
    </w:p>
    <w:p w14:paraId="15E1BD6A">
      <w:pPr>
        <w:pStyle w:val="14"/>
        <w:keepNext w:val="0"/>
        <w:keepLines w:val="0"/>
        <w:widowControl/>
        <w:suppressLineNumbers w:val="0"/>
        <w:spacing w:before="75" w:beforeAutospacing="0" w:after="75" w:afterAutospacing="0"/>
        <w:ind w:left="0" w:firstLine="0"/>
        <w:jc w:val="center"/>
        <w:rPr>
          <w:rFonts w:hint="eastAsia" w:ascii="宋体" w:hAnsi="宋体" w:eastAsia="宋体" w:cs="宋体"/>
          <w:color w:val="auto"/>
          <w:highlight w:val="none"/>
        </w:rPr>
      </w:pPr>
      <w:r>
        <w:rPr>
          <w:rStyle w:val="17"/>
          <w:rFonts w:hint="eastAsia" w:ascii="宋体" w:hAnsi="宋体" w:eastAsia="宋体" w:cs="宋体"/>
          <w:color w:val="auto"/>
          <w:highlight w:val="none"/>
        </w:rPr>
        <w:t> </w:t>
      </w:r>
    </w:p>
    <w:p w14:paraId="7C023D3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4"/>
          <w:szCs w:val="24"/>
          <w:highlight w:val="none"/>
        </w:rPr>
        <w:t>  投标人为监狱企业，提供本单位制造的货物（承接的服务），并在投标文件中提供省级以上监狱管理局、戒毒管理局（含新疆生产建设兵团）出具的属于监狱企业的证明文件。</w:t>
      </w:r>
    </w:p>
    <w:p w14:paraId="2B31F791">
      <w:pPr>
        <w:pStyle w:val="14"/>
        <w:keepNext w:val="0"/>
        <w:keepLines w:val="0"/>
        <w:widowControl/>
        <w:suppressLineNumbers w:val="0"/>
        <w:spacing w:before="75" w:beforeAutospacing="0" w:after="240"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p>
    <w:p w14:paraId="680228DA">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31579A29">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三-3招标文件规定的其他价格扣除证明材料（若有）</w:t>
      </w:r>
    </w:p>
    <w:p w14:paraId="5E59B47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042772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836CEEC">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编制说明</w:t>
      </w:r>
    </w:p>
    <w:p w14:paraId="7BAD1D74">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522B357">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若投标人可享受招标文件规定的除</w:t>
      </w:r>
      <w:r>
        <w:rPr>
          <w:rStyle w:val="17"/>
          <w:rFonts w:hint="eastAsia" w:ascii="宋体" w:hAnsi="宋体" w:eastAsia="宋体" w:cs="宋体"/>
          <w:color w:val="auto"/>
          <w:sz w:val="21"/>
          <w:szCs w:val="21"/>
          <w:highlight w:val="none"/>
        </w:rPr>
        <w:t>“节能（非强制类）、环境标志产品价格扣除”及“小型、微型企业产品等价格扣除”</w:t>
      </w:r>
      <w:r>
        <w:rPr>
          <w:rFonts w:hint="eastAsia" w:ascii="宋体" w:hAnsi="宋体" w:eastAsia="宋体" w:cs="宋体"/>
          <w:color w:val="auto"/>
          <w:sz w:val="21"/>
          <w:szCs w:val="21"/>
          <w:highlight w:val="none"/>
        </w:rPr>
        <w:t>外的其他价格扣除优惠，则投标人应按照招标文件要求提供相应证明材料。</w:t>
      </w:r>
    </w:p>
    <w:p w14:paraId="14157A2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69DAB6A">
      <w:pPr>
        <w:pStyle w:val="14"/>
        <w:keepNext w:val="0"/>
        <w:keepLines w:val="0"/>
        <w:widowControl/>
        <w:suppressLineNumbers w:val="0"/>
        <w:spacing w:after="240"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p>
    <w:p w14:paraId="27828F5B">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14FE3AC9">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四、招标文件规定的加分证明材料（若有）</w:t>
      </w:r>
    </w:p>
    <w:p w14:paraId="5A86410F">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6367565">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四-1优先类节能产品、环境标志产品加分证明材料（若有）</w:t>
      </w:r>
    </w:p>
    <w:p w14:paraId="42C1E98E">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103722CB">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四-1-①优先类节能产品、环境标志产品统计表（加分适用，若有）</w:t>
      </w:r>
    </w:p>
    <w:p w14:paraId="0E66A81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966271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w:t>
      </w:r>
    </w:p>
    <w:p w14:paraId="230ED8D5">
      <w:pPr>
        <w:pStyle w:val="14"/>
        <w:keepNext w:val="0"/>
        <w:keepLines w:val="0"/>
        <w:widowControl/>
        <w:suppressLineNumbers w:val="0"/>
        <w:jc w:val="right"/>
        <w:rPr>
          <w:rFonts w:hint="eastAsia" w:ascii="宋体" w:hAnsi="宋体" w:eastAsia="宋体" w:cs="宋体"/>
          <w:color w:val="auto"/>
          <w:highlight w:val="none"/>
        </w:rPr>
      </w:pPr>
      <w:r>
        <w:rPr>
          <w:rFonts w:hint="eastAsia" w:ascii="宋体" w:hAnsi="宋体" w:eastAsia="宋体" w:cs="宋体"/>
          <w:color w:val="auto"/>
          <w:sz w:val="21"/>
          <w:szCs w:val="21"/>
          <w:highlight w:val="none"/>
        </w:rPr>
        <w:t>货币及单位：人民币元</w:t>
      </w:r>
    </w:p>
    <w:tbl>
      <w:tblPr>
        <w:tblStyle w:val="15"/>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219"/>
        <w:gridCol w:w="1215"/>
        <w:gridCol w:w="1209"/>
        <w:gridCol w:w="1221"/>
        <w:gridCol w:w="1209"/>
        <w:gridCol w:w="1222"/>
        <w:gridCol w:w="1225"/>
      </w:tblGrid>
      <w:tr w14:paraId="6923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1174" w:type="dxa"/>
            <w:shd w:val="clear" w:color="auto" w:fill="auto"/>
            <w:tcMar>
              <w:top w:w="0" w:type="dxa"/>
              <w:left w:w="105" w:type="dxa"/>
              <w:bottom w:w="0" w:type="dxa"/>
              <w:right w:w="105" w:type="dxa"/>
            </w:tcMar>
            <w:vAlign w:val="center"/>
          </w:tcPr>
          <w:p w14:paraId="1F7ED465">
            <w:pPr>
              <w:keepNext w:val="0"/>
              <w:keepLines w:val="0"/>
              <w:widowControl/>
              <w:suppressLineNumbers w:val="0"/>
              <w:jc w:val="left"/>
              <w:rPr>
                <w:rFonts w:hint="eastAsia" w:ascii="宋体" w:hAnsi="宋体" w:eastAsia="宋体" w:cs="宋体"/>
                <w:color w:val="auto"/>
                <w:highlight w:val="none"/>
              </w:rPr>
            </w:pPr>
          </w:p>
        </w:tc>
        <w:tc>
          <w:tcPr>
            <w:tcW w:w="7256" w:type="dxa"/>
            <w:gridSpan w:val="6"/>
            <w:shd w:val="clear" w:color="auto" w:fill="auto"/>
            <w:tcMar>
              <w:top w:w="0" w:type="dxa"/>
              <w:left w:w="105" w:type="dxa"/>
              <w:bottom w:w="0" w:type="dxa"/>
              <w:right w:w="105" w:type="dxa"/>
            </w:tcMar>
            <w:vAlign w:val="center"/>
          </w:tcPr>
          <w:p w14:paraId="3A2BDD5E">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本采购包内属于节能、环境标志产品的情况</w:t>
            </w:r>
          </w:p>
        </w:tc>
      </w:tr>
      <w:tr w14:paraId="29E5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shd w:val="clear" w:color="auto" w:fill="auto"/>
            <w:tcMar>
              <w:top w:w="0" w:type="dxa"/>
              <w:left w:w="105" w:type="dxa"/>
              <w:bottom w:w="0" w:type="dxa"/>
              <w:right w:w="105" w:type="dxa"/>
            </w:tcMar>
            <w:vAlign w:val="center"/>
          </w:tcPr>
          <w:p w14:paraId="4B3B2849">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采购包</w:t>
            </w:r>
          </w:p>
        </w:tc>
        <w:tc>
          <w:tcPr>
            <w:tcW w:w="1185" w:type="dxa"/>
            <w:shd w:val="clear" w:color="auto" w:fill="auto"/>
            <w:tcMar>
              <w:top w:w="0" w:type="dxa"/>
              <w:left w:w="105" w:type="dxa"/>
              <w:bottom w:w="0" w:type="dxa"/>
              <w:right w:w="105" w:type="dxa"/>
            </w:tcMar>
            <w:vAlign w:val="center"/>
          </w:tcPr>
          <w:p w14:paraId="28D5EE4B">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品目号</w:t>
            </w:r>
          </w:p>
        </w:tc>
        <w:tc>
          <w:tcPr>
            <w:tcW w:w="1179" w:type="dxa"/>
            <w:shd w:val="clear" w:color="auto" w:fill="auto"/>
            <w:tcMar>
              <w:top w:w="0" w:type="dxa"/>
              <w:left w:w="105" w:type="dxa"/>
              <w:bottom w:w="0" w:type="dxa"/>
              <w:right w:w="105" w:type="dxa"/>
            </w:tcMar>
            <w:vAlign w:val="center"/>
          </w:tcPr>
          <w:p w14:paraId="04722038">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货物名称</w:t>
            </w:r>
          </w:p>
        </w:tc>
        <w:tc>
          <w:tcPr>
            <w:tcW w:w="1191" w:type="dxa"/>
            <w:shd w:val="clear" w:color="auto" w:fill="auto"/>
            <w:tcMar>
              <w:top w:w="0" w:type="dxa"/>
              <w:left w:w="105" w:type="dxa"/>
              <w:bottom w:w="0" w:type="dxa"/>
              <w:right w:w="105" w:type="dxa"/>
            </w:tcMar>
            <w:vAlign w:val="center"/>
          </w:tcPr>
          <w:p w14:paraId="7F1442DE">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单价</w:t>
            </w:r>
          </w:p>
          <w:p w14:paraId="19DBF4C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w:t>
            </w:r>
          </w:p>
        </w:tc>
        <w:tc>
          <w:tcPr>
            <w:tcW w:w="1179" w:type="dxa"/>
            <w:shd w:val="clear" w:color="auto" w:fill="auto"/>
            <w:tcMar>
              <w:top w:w="0" w:type="dxa"/>
              <w:left w:w="105" w:type="dxa"/>
              <w:bottom w:w="0" w:type="dxa"/>
              <w:right w:w="105" w:type="dxa"/>
            </w:tcMar>
            <w:vAlign w:val="center"/>
          </w:tcPr>
          <w:p w14:paraId="566855F8">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数量</w:t>
            </w:r>
          </w:p>
        </w:tc>
        <w:tc>
          <w:tcPr>
            <w:tcW w:w="1192" w:type="dxa"/>
            <w:shd w:val="clear" w:color="auto" w:fill="auto"/>
            <w:tcMar>
              <w:top w:w="0" w:type="dxa"/>
              <w:left w:w="105" w:type="dxa"/>
              <w:bottom w:w="0" w:type="dxa"/>
              <w:right w:w="105" w:type="dxa"/>
            </w:tcMar>
            <w:vAlign w:val="center"/>
          </w:tcPr>
          <w:p w14:paraId="42417F5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总价</w:t>
            </w:r>
          </w:p>
          <w:p w14:paraId="1139FCCD">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（现场）</w:t>
            </w:r>
          </w:p>
        </w:tc>
        <w:tc>
          <w:tcPr>
            <w:tcW w:w="1180" w:type="dxa"/>
            <w:shd w:val="clear" w:color="auto" w:fill="auto"/>
            <w:tcMar>
              <w:top w:w="0" w:type="dxa"/>
              <w:left w:w="105" w:type="dxa"/>
              <w:bottom w:w="0" w:type="dxa"/>
              <w:right w:w="105" w:type="dxa"/>
            </w:tcMar>
            <w:vAlign w:val="center"/>
          </w:tcPr>
          <w:p w14:paraId="5BA54838">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认证种类</w:t>
            </w:r>
          </w:p>
        </w:tc>
      </w:tr>
      <w:tr w14:paraId="7C2A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vMerge w:val="restart"/>
            <w:shd w:val="clear" w:color="auto" w:fill="auto"/>
            <w:tcMar>
              <w:top w:w="0" w:type="dxa"/>
              <w:left w:w="105" w:type="dxa"/>
              <w:bottom w:w="0" w:type="dxa"/>
              <w:right w:w="105" w:type="dxa"/>
            </w:tcMar>
            <w:vAlign w:val="center"/>
          </w:tcPr>
          <w:p w14:paraId="2CB5D713">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1185" w:type="dxa"/>
            <w:shd w:val="clear" w:color="auto" w:fill="auto"/>
            <w:tcMar>
              <w:top w:w="0" w:type="dxa"/>
              <w:left w:w="105" w:type="dxa"/>
              <w:bottom w:w="0" w:type="dxa"/>
              <w:right w:w="105" w:type="dxa"/>
            </w:tcMar>
            <w:vAlign w:val="center"/>
          </w:tcPr>
          <w:p w14:paraId="53B1A46D">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1179" w:type="dxa"/>
            <w:shd w:val="clear" w:color="auto" w:fill="auto"/>
            <w:tcMar>
              <w:top w:w="0" w:type="dxa"/>
              <w:left w:w="105" w:type="dxa"/>
              <w:bottom w:w="0" w:type="dxa"/>
              <w:right w:w="105" w:type="dxa"/>
            </w:tcMar>
            <w:vAlign w:val="center"/>
          </w:tcPr>
          <w:p w14:paraId="0D87D116">
            <w:pPr>
              <w:keepNext w:val="0"/>
              <w:keepLines w:val="0"/>
              <w:widowControl/>
              <w:suppressLineNumbers w:val="0"/>
              <w:jc w:val="left"/>
              <w:rPr>
                <w:rFonts w:hint="eastAsia" w:ascii="宋体" w:hAnsi="宋体" w:eastAsia="宋体" w:cs="宋体"/>
                <w:color w:val="auto"/>
                <w:highlight w:val="none"/>
              </w:rPr>
            </w:pPr>
          </w:p>
        </w:tc>
        <w:tc>
          <w:tcPr>
            <w:tcW w:w="1191" w:type="dxa"/>
            <w:shd w:val="clear" w:color="auto" w:fill="auto"/>
            <w:tcMar>
              <w:top w:w="0" w:type="dxa"/>
              <w:left w:w="105" w:type="dxa"/>
              <w:bottom w:w="0" w:type="dxa"/>
              <w:right w:w="105" w:type="dxa"/>
            </w:tcMar>
            <w:vAlign w:val="center"/>
          </w:tcPr>
          <w:p w14:paraId="30F6EC20">
            <w:pPr>
              <w:keepNext w:val="0"/>
              <w:keepLines w:val="0"/>
              <w:widowControl/>
              <w:suppressLineNumbers w:val="0"/>
              <w:jc w:val="left"/>
              <w:rPr>
                <w:rFonts w:hint="eastAsia" w:ascii="宋体" w:hAnsi="宋体" w:eastAsia="宋体" w:cs="宋体"/>
                <w:color w:val="auto"/>
                <w:highlight w:val="none"/>
              </w:rPr>
            </w:pPr>
          </w:p>
        </w:tc>
        <w:tc>
          <w:tcPr>
            <w:tcW w:w="1179" w:type="dxa"/>
            <w:shd w:val="clear" w:color="auto" w:fill="auto"/>
            <w:tcMar>
              <w:top w:w="0" w:type="dxa"/>
              <w:left w:w="105" w:type="dxa"/>
              <w:bottom w:w="0" w:type="dxa"/>
              <w:right w:w="105" w:type="dxa"/>
            </w:tcMar>
            <w:vAlign w:val="center"/>
          </w:tcPr>
          <w:p w14:paraId="723C6A64">
            <w:pPr>
              <w:keepNext w:val="0"/>
              <w:keepLines w:val="0"/>
              <w:widowControl/>
              <w:suppressLineNumbers w:val="0"/>
              <w:jc w:val="left"/>
              <w:rPr>
                <w:rFonts w:hint="eastAsia" w:ascii="宋体" w:hAnsi="宋体" w:eastAsia="宋体" w:cs="宋体"/>
                <w:color w:val="auto"/>
                <w:highlight w:val="none"/>
              </w:rPr>
            </w:pPr>
          </w:p>
        </w:tc>
        <w:tc>
          <w:tcPr>
            <w:tcW w:w="1192" w:type="dxa"/>
            <w:shd w:val="clear" w:color="auto" w:fill="auto"/>
            <w:tcMar>
              <w:top w:w="0" w:type="dxa"/>
              <w:left w:w="105" w:type="dxa"/>
              <w:bottom w:w="0" w:type="dxa"/>
              <w:right w:w="105" w:type="dxa"/>
            </w:tcMar>
            <w:vAlign w:val="center"/>
          </w:tcPr>
          <w:p w14:paraId="47B11F3D">
            <w:pPr>
              <w:keepNext w:val="0"/>
              <w:keepLines w:val="0"/>
              <w:widowControl/>
              <w:suppressLineNumbers w:val="0"/>
              <w:jc w:val="left"/>
              <w:rPr>
                <w:rFonts w:hint="eastAsia" w:ascii="宋体" w:hAnsi="宋体" w:eastAsia="宋体" w:cs="宋体"/>
                <w:color w:val="auto"/>
                <w:highlight w:val="none"/>
              </w:rPr>
            </w:pPr>
          </w:p>
        </w:tc>
        <w:tc>
          <w:tcPr>
            <w:tcW w:w="1180" w:type="dxa"/>
            <w:shd w:val="clear" w:color="auto" w:fill="auto"/>
            <w:tcMar>
              <w:top w:w="0" w:type="dxa"/>
              <w:left w:w="105" w:type="dxa"/>
              <w:bottom w:w="0" w:type="dxa"/>
              <w:right w:w="105" w:type="dxa"/>
            </w:tcMar>
            <w:vAlign w:val="center"/>
          </w:tcPr>
          <w:p w14:paraId="0F59C657">
            <w:pPr>
              <w:keepNext w:val="0"/>
              <w:keepLines w:val="0"/>
              <w:widowControl/>
              <w:suppressLineNumbers w:val="0"/>
              <w:jc w:val="left"/>
              <w:rPr>
                <w:rFonts w:hint="eastAsia" w:ascii="宋体" w:hAnsi="宋体" w:eastAsia="宋体" w:cs="宋体"/>
                <w:color w:val="auto"/>
                <w:highlight w:val="none"/>
              </w:rPr>
            </w:pPr>
          </w:p>
        </w:tc>
      </w:tr>
      <w:tr w14:paraId="635C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vMerge w:val="continue"/>
            <w:shd w:val="clear" w:color="auto" w:fill="auto"/>
            <w:tcMar>
              <w:top w:w="0" w:type="dxa"/>
              <w:left w:w="105" w:type="dxa"/>
              <w:bottom w:w="0" w:type="dxa"/>
              <w:right w:w="105" w:type="dxa"/>
            </w:tcMar>
            <w:vAlign w:val="center"/>
          </w:tcPr>
          <w:p w14:paraId="07C3A33A">
            <w:pPr>
              <w:rPr>
                <w:rFonts w:hint="eastAsia" w:ascii="宋体" w:hAnsi="宋体" w:eastAsia="宋体" w:cs="宋体"/>
                <w:color w:val="auto"/>
                <w:sz w:val="24"/>
                <w:szCs w:val="24"/>
                <w:highlight w:val="none"/>
              </w:rPr>
            </w:pPr>
          </w:p>
        </w:tc>
        <w:tc>
          <w:tcPr>
            <w:tcW w:w="1185" w:type="dxa"/>
            <w:shd w:val="clear" w:color="auto" w:fill="auto"/>
            <w:tcMar>
              <w:top w:w="0" w:type="dxa"/>
              <w:left w:w="105" w:type="dxa"/>
              <w:bottom w:w="0" w:type="dxa"/>
              <w:right w:w="105" w:type="dxa"/>
            </w:tcMar>
            <w:vAlign w:val="center"/>
          </w:tcPr>
          <w:p w14:paraId="0137EF0E">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1179" w:type="dxa"/>
            <w:shd w:val="clear" w:color="auto" w:fill="auto"/>
            <w:tcMar>
              <w:top w:w="0" w:type="dxa"/>
              <w:left w:w="105" w:type="dxa"/>
              <w:bottom w:w="0" w:type="dxa"/>
              <w:right w:w="105" w:type="dxa"/>
            </w:tcMar>
            <w:vAlign w:val="center"/>
          </w:tcPr>
          <w:p w14:paraId="1DFD512C">
            <w:pPr>
              <w:keepNext w:val="0"/>
              <w:keepLines w:val="0"/>
              <w:widowControl/>
              <w:suppressLineNumbers w:val="0"/>
              <w:jc w:val="left"/>
              <w:rPr>
                <w:rFonts w:hint="eastAsia" w:ascii="宋体" w:hAnsi="宋体" w:eastAsia="宋体" w:cs="宋体"/>
                <w:color w:val="auto"/>
                <w:highlight w:val="none"/>
              </w:rPr>
            </w:pPr>
          </w:p>
        </w:tc>
        <w:tc>
          <w:tcPr>
            <w:tcW w:w="1191" w:type="dxa"/>
            <w:shd w:val="clear" w:color="auto" w:fill="auto"/>
            <w:tcMar>
              <w:top w:w="0" w:type="dxa"/>
              <w:left w:w="105" w:type="dxa"/>
              <w:bottom w:w="0" w:type="dxa"/>
              <w:right w:w="105" w:type="dxa"/>
            </w:tcMar>
            <w:vAlign w:val="center"/>
          </w:tcPr>
          <w:p w14:paraId="1C03D198">
            <w:pPr>
              <w:keepNext w:val="0"/>
              <w:keepLines w:val="0"/>
              <w:widowControl/>
              <w:suppressLineNumbers w:val="0"/>
              <w:jc w:val="left"/>
              <w:rPr>
                <w:rFonts w:hint="eastAsia" w:ascii="宋体" w:hAnsi="宋体" w:eastAsia="宋体" w:cs="宋体"/>
                <w:color w:val="auto"/>
                <w:highlight w:val="none"/>
              </w:rPr>
            </w:pPr>
          </w:p>
        </w:tc>
        <w:tc>
          <w:tcPr>
            <w:tcW w:w="1179" w:type="dxa"/>
            <w:shd w:val="clear" w:color="auto" w:fill="auto"/>
            <w:tcMar>
              <w:top w:w="0" w:type="dxa"/>
              <w:left w:w="105" w:type="dxa"/>
              <w:bottom w:w="0" w:type="dxa"/>
              <w:right w:w="105" w:type="dxa"/>
            </w:tcMar>
            <w:vAlign w:val="center"/>
          </w:tcPr>
          <w:p w14:paraId="6A1EDF2A">
            <w:pPr>
              <w:keepNext w:val="0"/>
              <w:keepLines w:val="0"/>
              <w:widowControl/>
              <w:suppressLineNumbers w:val="0"/>
              <w:jc w:val="left"/>
              <w:rPr>
                <w:rFonts w:hint="eastAsia" w:ascii="宋体" w:hAnsi="宋体" w:eastAsia="宋体" w:cs="宋体"/>
                <w:color w:val="auto"/>
                <w:highlight w:val="none"/>
              </w:rPr>
            </w:pPr>
          </w:p>
        </w:tc>
        <w:tc>
          <w:tcPr>
            <w:tcW w:w="1192" w:type="dxa"/>
            <w:shd w:val="clear" w:color="auto" w:fill="auto"/>
            <w:tcMar>
              <w:top w:w="0" w:type="dxa"/>
              <w:left w:w="105" w:type="dxa"/>
              <w:bottom w:w="0" w:type="dxa"/>
              <w:right w:w="105" w:type="dxa"/>
            </w:tcMar>
            <w:vAlign w:val="center"/>
          </w:tcPr>
          <w:p w14:paraId="4AB22531">
            <w:pPr>
              <w:keepNext w:val="0"/>
              <w:keepLines w:val="0"/>
              <w:widowControl/>
              <w:suppressLineNumbers w:val="0"/>
              <w:jc w:val="left"/>
              <w:rPr>
                <w:rFonts w:hint="eastAsia" w:ascii="宋体" w:hAnsi="宋体" w:eastAsia="宋体" w:cs="宋体"/>
                <w:color w:val="auto"/>
                <w:highlight w:val="none"/>
              </w:rPr>
            </w:pPr>
          </w:p>
        </w:tc>
        <w:tc>
          <w:tcPr>
            <w:tcW w:w="1180" w:type="dxa"/>
            <w:shd w:val="clear" w:color="auto" w:fill="auto"/>
            <w:tcMar>
              <w:top w:w="0" w:type="dxa"/>
              <w:left w:w="105" w:type="dxa"/>
              <w:bottom w:w="0" w:type="dxa"/>
              <w:right w:w="105" w:type="dxa"/>
            </w:tcMar>
            <w:vAlign w:val="center"/>
          </w:tcPr>
          <w:p w14:paraId="2F036CA0">
            <w:pPr>
              <w:keepNext w:val="0"/>
              <w:keepLines w:val="0"/>
              <w:widowControl/>
              <w:suppressLineNumbers w:val="0"/>
              <w:jc w:val="left"/>
              <w:rPr>
                <w:rFonts w:hint="eastAsia" w:ascii="宋体" w:hAnsi="宋体" w:eastAsia="宋体" w:cs="宋体"/>
                <w:color w:val="auto"/>
                <w:highlight w:val="none"/>
              </w:rPr>
            </w:pPr>
          </w:p>
        </w:tc>
      </w:tr>
      <w:tr w14:paraId="3BE8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174" w:type="dxa"/>
            <w:shd w:val="clear" w:color="auto" w:fill="auto"/>
            <w:tcMar>
              <w:top w:w="0" w:type="dxa"/>
              <w:left w:w="105" w:type="dxa"/>
              <w:bottom w:w="0" w:type="dxa"/>
              <w:right w:w="105" w:type="dxa"/>
            </w:tcMar>
            <w:vAlign w:val="center"/>
          </w:tcPr>
          <w:p w14:paraId="68BD7406">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备注</w:t>
            </w:r>
          </w:p>
        </w:tc>
        <w:tc>
          <w:tcPr>
            <w:tcW w:w="7256" w:type="dxa"/>
            <w:gridSpan w:val="6"/>
            <w:shd w:val="clear" w:color="auto" w:fill="auto"/>
            <w:tcMar>
              <w:top w:w="0" w:type="dxa"/>
              <w:left w:w="105" w:type="dxa"/>
              <w:bottom w:w="0" w:type="dxa"/>
              <w:right w:w="105" w:type="dxa"/>
            </w:tcMar>
            <w:vAlign w:val="top"/>
          </w:tcPr>
          <w:p w14:paraId="2BC3BF2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a.采购包内属于节能、环境标志产品的报价总金额：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C8005E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b.采购包投标总价（报价总金额）：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FC985F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c.“采购包内属于节能、环境标志产品的报价总金额”占“采购包投标总价（报价总金额）”的比例（以%列示）：</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tc>
      </w:tr>
    </w:tbl>
    <w:p w14:paraId="05535D8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3F0AB51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1、对节能、环境标志产品计算加分时，只依据投标文件</w:t>
      </w:r>
      <w:r>
        <w:rPr>
          <w:rStyle w:val="17"/>
          <w:rFonts w:hint="eastAsia" w:ascii="宋体" w:hAnsi="宋体" w:eastAsia="宋体" w:cs="宋体"/>
          <w:color w:val="auto"/>
          <w:sz w:val="21"/>
          <w:szCs w:val="21"/>
          <w:highlight w:val="none"/>
        </w:rPr>
        <w:t>“四-1-②优先类节能产品、环境标志产品加分证明材料（加分适用，若有）”。</w:t>
      </w:r>
    </w:p>
    <w:p w14:paraId="369B334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2、本表以采购包为单位，不同采购包请分别填写；同一采购包请按照其品目号顺序分别填写。</w:t>
      </w:r>
    </w:p>
    <w:p w14:paraId="1391ADC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3、具体统计、计算：</w:t>
      </w:r>
    </w:p>
    <w:p w14:paraId="743F295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3.1 若节能、环境标志产品仅是构成投标产品的部件、组件或零件，则该投标产品不享受鼓励优惠政策。同一品目中各认证证书不重复计算加分。强制类节能产品不享受加分。</w:t>
      </w:r>
    </w:p>
    <w:p w14:paraId="35924C8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3.2计算结果若除不尽，可四舍五入保留到小数点后两位。</w:t>
      </w:r>
    </w:p>
    <w:p w14:paraId="21F107F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3.3投标人应按照招标文件要求认真统计、计算，否则评标委员会不予认定。</w:t>
      </w:r>
    </w:p>
    <w:p w14:paraId="542FD91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3.4若无节能、环境标志产品，不填写本表，否则，</w:t>
      </w:r>
      <w:r>
        <w:rPr>
          <w:rStyle w:val="17"/>
          <w:rFonts w:hint="eastAsia" w:ascii="宋体" w:hAnsi="宋体" w:eastAsia="宋体" w:cs="宋体"/>
          <w:color w:val="auto"/>
          <w:sz w:val="21"/>
          <w:szCs w:val="21"/>
          <w:highlight w:val="none"/>
        </w:rPr>
        <w:t>视为提供虚假材料</w:t>
      </w:r>
      <w:r>
        <w:rPr>
          <w:rFonts w:hint="eastAsia" w:ascii="宋体" w:hAnsi="宋体" w:eastAsia="宋体" w:cs="宋体"/>
          <w:color w:val="auto"/>
          <w:sz w:val="21"/>
          <w:szCs w:val="21"/>
          <w:highlight w:val="none"/>
        </w:rPr>
        <w:t>。</w:t>
      </w:r>
    </w:p>
    <w:p w14:paraId="12D77FE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51BB73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9AF6A8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52E362A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4D4C608B">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5F050367">
      <w:pPr>
        <w:pStyle w:val="14"/>
        <w:keepNext w:val="0"/>
        <w:keepLines w:val="0"/>
        <w:widowControl/>
        <w:suppressLineNumbers w:val="0"/>
        <w:spacing w:after="240" w:afterAutospacing="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r>
        <w:rPr>
          <w:rStyle w:val="17"/>
          <w:rFonts w:hint="eastAsia" w:ascii="宋体" w:hAnsi="宋体" w:eastAsia="宋体" w:cs="宋体"/>
          <w:color w:val="auto"/>
          <w:sz w:val="21"/>
          <w:szCs w:val="21"/>
          <w:highlight w:val="none"/>
        </w:rPr>
        <w:br w:type="textWrapping"/>
      </w:r>
    </w:p>
    <w:p w14:paraId="2FEE3AD5">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274C6579">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四-1-②优先类节能产品、环境标志产品证明材料（加分适用，若有）</w:t>
      </w:r>
    </w:p>
    <w:p w14:paraId="0F7FC388">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20FBBDF9">
      <w:pPr>
        <w:pStyle w:val="14"/>
        <w:keepNext w:val="0"/>
        <w:keepLines w:val="0"/>
        <w:widowControl/>
        <w:suppressLineNumbers w:val="0"/>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 </w:t>
      </w:r>
    </w:p>
    <w:p w14:paraId="45599E2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D6AE13A">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四</w:t>
      </w:r>
      <w:r>
        <w:rPr>
          <w:rStyle w:val="17"/>
          <w:rFonts w:hint="eastAsia" w:ascii="宋体" w:hAnsi="宋体" w:eastAsia="宋体" w:cs="宋体"/>
          <w:color w:val="auto"/>
          <w:sz w:val="21"/>
          <w:szCs w:val="21"/>
          <w:highlight w:val="none"/>
        </w:rPr>
        <w:t>-2招标文件规定的其他加分证明材料（若有）</w:t>
      </w:r>
    </w:p>
    <w:p w14:paraId="5DA92C4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42E9E84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6E90EC09">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编制说明</w:t>
      </w:r>
    </w:p>
    <w:p w14:paraId="16AC1FA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F54AFA0">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若投标人可享受招标文件规定的除</w:t>
      </w:r>
      <w:r>
        <w:rPr>
          <w:rStyle w:val="17"/>
          <w:rFonts w:hint="eastAsia" w:ascii="宋体" w:hAnsi="宋体" w:eastAsia="宋体" w:cs="宋体"/>
          <w:color w:val="auto"/>
          <w:sz w:val="21"/>
          <w:szCs w:val="21"/>
          <w:highlight w:val="none"/>
        </w:rPr>
        <w:t>“优先类节能产品、环境标志产品加分”</w:t>
      </w:r>
      <w:r>
        <w:rPr>
          <w:rFonts w:hint="eastAsia" w:ascii="宋体" w:hAnsi="宋体" w:eastAsia="宋体" w:cs="宋体"/>
          <w:color w:val="auto"/>
          <w:sz w:val="21"/>
          <w:szCs w:val="21"/>
          <w:highlight w:val="none"/>
        </w:rPr>
        <w:t>外的其他加分优惠，则投标人应按照招标文件要求提供相应证明材料。</w:t>
      </w:r>
    </w:p>
    <w:p w14:paraId="6462CB0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5B3736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5960B8C">
      <w:pPr>
        <w:pStyle w:val="14"/>
        <w:keepNext w:val="0"/>
        <w:keepLines w:val="0"/>
        <w:widowControl/>
        <w:suppressLineNumbers w:val="0"/>
        <w:rPr>
          <w:rFonts w:hint="eastAsia" w:ascii="宋体" w:hAnsi="宋体" w:eastAsia="宋体" w:cs="宋体"/>
          <w:color w:val="auto"/>
          <w:highlight w:val="none"/>
        </w:rPr>
      </w:pPr>
    </w:p>
    <w:p w14:paraId="198AF48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EDE7F63">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04AFA9C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5B75E4D">
      <w:pPr>
        <w:pStyle w:val="14"/>
        <w:keepNext w:val="0"/>
        <w:keepLines w:val="0"/>
        <w:widowControl/>
        <w:suppressLineNumbers w:val="0"/>
        <w:rPr>
          <w:rFonts w:hint="eastAsia" w:ascii="宋体" w:hAnsi="宋体" w:eastAsia="宋体" w:cs="宋体"/>
          <w:color w:val="auto"/>
          <w:sz w:val="21"/>
          <w:szCs w:val="21"/>
          <w:highlight w:val="none"/>
        </w:rPr>
      </w:pPr>
    </w:p>
    <w:p w14:paraId="04F9773D">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封面格式</w:t>
      </w:r>
    </w:p>
    <w:p w14:paraId="214785A0">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48"/>
          <w:szCs w:val="48"/>
          <w:highlight w:val="none"/>
        </w:rPr>
        <w:t>福建省政府采购投标文件</w:t>
      </w:r>
    </w:p>
    <w:p w14:paraId="6A3857C4">
      <w:pPr>
        <w:pStyle w:val="14"/>
        <w:keepNext w:val="0"/>
        <w:keepLines w:val="0"/>
        <w:widowControl/>
        <w:suppressLineNumbers w:val="0"/>
        <w:jc w:val="center"/>
        <w:outlineLvl w:val="1"/>
        <w:rPr>
          <w:rFonts w:hint="eastAsia" w:ascii="宋体" w:hAnsi="宋体" w:eastAsia="宋体" w:cs="宋体"/>
          <w:color w:val="auto"/>
          <w:highlight w:val="none"/>
        </w:rPr>
      </w:pPr>
      <w:bookmarkStart w:id="13" w:name="_Toc31143"/>
      <w:r>
        <w:rPr>
          <w:rStyle w:val="17"/>
          <w:rFonts w:hint="eastAsia" w:ascii="宋体" w:hAnsi="宋体" w:eastAsia="宋体" w:cs="宋体"/>
          <w:color w:val="auto"/>
          <w:sz w:val="48"/>
          <w:szCs w:val="48"/>
          <w:highlight w:val="none"/>
        </w:rPr>
        <w:t>（技术商务部分）</w:t>
      </w:r>
      <w:bookmarkEnd w:id="13"/>
    </w:p>
    <w:p w14:paraId="5C39D0B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259011A6">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6"/>
          <w:szCs w:val="36"/>
          <w:highlight w:val="none"/>
          <w:u w:val="single"/>
        </w:rPr>
        <w:t>（填写正本或副本）</w:t>
      </w:r>
    </w:p>
    <w:p w14:paraId="3C2AA19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395326B8">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项目名称：</w:t>
      </w:r>
      <w:r>
        <w:rPr>
          <w:rStyle w:val="17"/>
          <w:rFonts w:hint="eastAsia" w:ascii="宋体" w:hAnsi="宋体" w:eastAsia="宋体" w:cs="宋体"/>
          <w:color w:val="auto"/>
          <w:sz w:val="31"/>
          <w:szCs w:val="31"/>
          <w:highlight w:val="none"/>
          <w:u w:val="single"/>
        </w:rPr>
        <w:t>（由投标人填写）</w:t>
      </w:r>
    </w:p>
    <w:p w14:paraId="1EF5C3AF">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备案编号：</w:t>
      </w:r>
      <w:r>
        <w:rPr>
          <w:rStyle w:val="17"/>
          <w:rFonts w:hint="eastAsia" w:ascii="宋体" w:hAnsi="宋体" w:eastAsia="宋体" w:cs="宋体"/>
          <w:color w:val="auto"/>
          <w:sz w:val="31"/>
          <w:szCs w:val="31"/>
          <w:highlight w:val="none"/>
          <w:u w:val="single"/>
        </w:rPr>
        <w:t>（由投标人填写）</w:t>
      </w:r>
    </w:p>
    <w:p w14:paraId="5CF69D25">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项目编号：</w:t>
      </w:r>
      <w:r>
        <w:rPr>
          <w:rStyle w:val="17"/>
          <w:rFonts w:hint="eastAsia" w:ascii="宋体" w:hAnsi="宋体" w:eastAsia="宋体" w:cs="宋体"/>
          <w:color w:val="auto"/>
          <w:sz w:val="31"/>
          <w:szCs w:val="31"/>
          <w:highlight w:val="none"/>
          <w:u w:val="single"/>
        </w:rPr>
        <w:t>（由投标人填写）</w:t>
      </w:r>
    </w:p>
    <w:p w14:paraId="5F37AB6F">
      <w:pPr>
        <w:pStyle w:val="14"/>
        <w:keepNext w:val="0"/>
        <w:keepLines w:val="0"/>
        <w:widowControl/>
        <w:suppressLineNumbers w:val="0"/>
        <w:ind w:left="0" w:firstLine="1920"/>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所投采购包：</w:t>
      </w:r>
      <w:r>
        <w:rPr>
          <w:rStyle w:val="17"/>
          <w:rFonts w:hint="eastAsia" w:ascii="宋体" w:hAnsi="宋体" w:eastAsia="宋体" w:cs="宋体"/>
          <w:color w:val="auto"/>
          <w:sz w:val="31"/>
          <w:szCs w:val="31"/>
          <w:highlight w:val="none"/>
          <w:u w:val="single"/>
        </w:rPr>
        <w:t>（由投标人填写）</w:t>
      </w:r>
    </w:p>
    <w:p w14:paraId="1E484E2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36"/>
          <w:szCs w:val="36"/>
          <w:highlight w:val="none"/>
        </w:rPr>
        <w:t> </w:t>
      </w:r>
    </w:p>
    <w:p w14:paraId="66020822">
      <w:pPr>
        <w:pStyle w:val="14"/>
        <w:keepNext w:val="0"/>
        <w:keepLines w:val="0"/>
        <w:widowControl/>
        <w:suppressLineNumbers w:val="0"/>
        <w:rPr>
          <w:rFonts w:hint="eastAsia" w:ascii="宋体" w:hAnsi="宋体" w:eastAsia="宋体" w:cs="宋体"/>
          <w:color w:val="auto"/>
          <w:highlight w:val="none"/>
        </w:rPr>
      </w:pPr>
    </w:p>
    <w:p w14:paraId="330C6EA6">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rPr>
        <w:t>投标人：</w:t>
      </w:r>
      <w:r>
        <w:rPr>
          <w:rStyle w:val="17"/>
          <w:rFonts w:hint="eastAsia" w:ascii="宋体" w:hAnsi="宋体" w:eastAsia="宋体" w:cs="宋体"/>
          <w:color w:val="auto"/>
          <w:sz w:val="31"/>
          <w:szCs w:val="31"/>
          <w:highlight w:val="none"/>
          <w:u w:val="single"/>
        </w:rPr>
        <w:t>（填写“全称”）</w:t>
      </w:r>
    </w:p>
    <w:p w14:paraId="13598BBF">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31"/>
          <w:szCs w:val="31"/>
          <w:highlight w:val="none"/>
          <w:u w:val="single"/>
        </w:rPr>
        <w:t>（由投标人填写）</w:t>
      </w:r>
      <w:r>
        <w:rPr>
          <w:rStyle w:val="17"/>
          <w:rFonts w:hint="eastAsia" w:ascii="宋体" w:hAnsi="宋体" w:eastAsia="宋体" w:cs="宋体"/>
          <w:color w:val="auto"/>
          <w:sz w:val="31"/>
          <w:szCs w:val="31"/>
          <w:highlight w:val="none"/>
        </w:rPr>
        <w:t>年</w:t>
      </w:r>
      <w:r>
        <w:rPr>
          <w:rStyle w:val="17"/>
          <w:rFonts w:hint="eastAsia" w:ascii="宋体" w:hAnsi="宋体" w:eastAsia="宋体" w:cs="宋体"/>
          <w:color w:val="auto"/>
          <w:sz w:val="31"/>
          <w:szCs w:val="31"/>
          <w:highlight w:val="none"/>
          <w:u w:val="single"/>
        </w:rPr>
        <w:t>（由投标人填写）</w:t>
      </w:r>
      <w:r>
        <w:rPr>
          <w:rStyle w:val="17"/>
          <w:rFonts w:hint="eastAsia" w:ascii="宋体" w:hAnsi="宋体" w:eastAsia="宋体" w:cs="宋体"/>
          <w:color w:val="auto"/>
          <w:sz w:val="31"/>
          <w:szCs w:val="31"/>
          <w:highlight w:val="none"/>
        </w:rPr>
        <w:t>月</w:t>
      </w:r>
    </w:p>
    <w:p w14:paraId="15C16FA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A0D2131">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441DC57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38D1FF0">
      <w:pPr>
        <w:pStyle w:val="14"/>
        <w:keepNext w:val="0"/>
        <w:keepLines w:val="0"/>
        <w:widowControl/>
        <w:suppressLineNumbers w:val="0"/>
        <w:jc w:val="center"/>
        <w:rPr>
          <w:rFonts w:hint="eastAsia" w:ascii="宋体" w:hAnsi="宋体" w:eastAsia="宋体" w:cs="宋体"/>
          <w:color w:val="auto"/>
          <w:highlight w:val="none"/>
        </w:rPr>
      </w:pPr>
      <w:r>
        <w:rPr>
          <w:rStyle w:val="17"/>
          <w:rFonts w:hint="eastAsia" w:ascii="宋体" w:hAnsi="宋体" w:eastAsia="宋体" w:cs="宋体"/>
          <w:color w:val="auto"/>
          <w:sz w:val="28"/>
          <w:szCs w:val="28"/>
          <w:highlight w:val="none"/>
        </w:rPr>
        <w:t>索引</w:t>
      </w:r>
    </w:p>
    <w:p w14:paraId="7FFFD78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一、标的说明一览表</w:t>
      </w:r>
    </w:p>
    <w:p w14:paraId="43748A7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二、技术和服务要求响应表</w:t>
      </w:r>
    </w:p>
    <w:p w14:paraId="166A693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三、商务条件响应表</w:t>
      </w:r>
    </w:p>
    <w:p w14:paraId="3739FAF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8"/>
          <w:szCs w:val="28"/>
          <w:highlight w:val="none"/>
        </w:rPr>
        <w:t>四、投标人提交的其他资料（若有）</w:t>
      </w:r>
    </w:p>
    <w:p w14:paraId="29D955C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B105CB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24B75A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5D69F301">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技术商务部分中不得出现报价部分的全部或部分的投标报价信息（或组成资料），否则</w:t>
      </w:r>
      <w:r>
        <w:rPr>
          <w:rStyle w:val="17"/>
          <w:rFonts w:hint="eastAsia" w:ascii="宋体" w:hAnsi="宋体" w:eastAsia="宋体" w:cs="宋体"/>
          <w:color w:val="auto"/>
          <w:sz w:val="21"/>
          <w:szCs w:val="21"/>
          <w:highlight w:val="none"/>
        </w:rPr>
        <w:t>符合性审查不合格</w:t>
      </w:r>
      <w:r>
        <w:rPr>
          <w:rFonts w:hint="eastAsia" w:ascii="宋体" w:hAnsi="宋体" w:eastAsia="宋体" w:cs="宋体"/>
          <w:color w:val="auto"/>
          <w:sz w:val="21"/>
          <w:szCs w:val="21"/>
          <w:highlight w:val="none"/>
        </w:rPr>
        <w:t>。</w:t>
      </w:r>
    </w:p>
    <w:p w14:paraId="424D122C">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2FE1365">
      <w:pPr>
        <w:pStyle w:val="14"/>
        <w:keepNext w:val="0"/>
        <w:keepLines w:val="0"/>
        <w:widowControl/>
        <w:suppressLineNumbers w:val="0"/>
        <w:ind w:left="0"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C64A181">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2556C565">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一、标的说明一览表</w:t>
      </w:r>
    </w:p>
    <w:p w14:paraId="224AF34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1B43CC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w:t>
      </w:r>
    </w:p>
    <w:tbl>
      <w:tblPr>
        <w:tblStyle w:val="15"/>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79"/>
        <w:gridCol w:w="870"/>
        <w:gridCol w:w="1663"/>
        <w:gridCol w:w="864"/>
        <w:gridCol w:w="1146"/>
        <w:gridCol w:w="1135"/>
        <w:gridCol w:w="1863"/>
      </w:tblGrid>
      <w:tr w14:paraId="307F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934" w:type="dxa"/>
            <w:shd w:val="clear" w:color="auto" w:fill="auto"/>
            <w:tcMar>
              <w:top w:w="0" w:type="dxa"/>
              <w:left w:w="105" w:type="dxa"/>
              <w:bottom w:w="0" w:type="dxa"/>
              <w:right w:w="105" w:type="dxa"/>
            </w:tcMar>
            <w:vAlign w:val="center"/>
          </w:tcPr>
          <w:p w14:paraId="487970C3">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采购包</w:t>
            </w:r>
          </w:p>
        </w:tc>
        <w:tc>
          <w:tcPr>
            <w:tcW w:w="840" w:type="dxa"/>
            <w:shd w:val="clear" w:color="auto" w:fill="auto"/>
            <w:tcMar>
              <w:top w:w="0" w:type="dxa"/>
              <w:left w:w="105" w:type="dxa"/>
              <w:bottom w:w="0" w:type="dxa"/>
              <w:right w:w="105" w:type="dxa"/>
            </w:tcMar>
            <w:vAlign w:val="center"/>
          </w:tcPr>
          <w:p w14:paraId="64B70FC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品目号</w:t>
            </w:r>
          </w:p>
        </w:tc>
        <w:tc>
          <w:tcPr>
            <w:tcW w:w="1633" w:type="dxa"/>
            <w:shd w:val="clear" w:color="auto" w:fill="auto"/>
            <w:tcMar>
              <w:top w:w="0" w:type="dxa"/>
              <w:left w:w="105" w:type="dxa"/>
              <w:bottom w:w="0" w:type="dxa"/>
              <w:right w:w="105" w:type="dxa"/>
            </w:tcMar>
            <w:vAlign w:val="center"/>
          </w:tcPr>
          <w:p w14:paraId="64B7377D">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投标标的</w:t>
            </w:r>
          </w:p>
        </w:tc>
        <w:tc>
          <w:tcPr>
            <w:tcW w:w="834" w:type="dxa"/>
            <w:shd w:val="clear" w:color="auto" w:fill="auto"/>
            <w:tcMar>
              <w:top w:w="0" w:type="dxa"/>
              <w:left w:w="105" w:type="dxa"/>
              <w:bottom w:w="0" w:type="dxa"/>
              <w:right w:w="105" w:type="dxa"/>
            </w:tcMar>
            <w:vAlign w:val="center"/>
          </w:tcPr>
          <w:p w14:paraId="6E40C625">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数量</w:t>
            </w:r>
          </w:p>
        </w:tc>
        <w:tc>
          <w:tcPr>
            <w:tcW w:w="1116" w:type="dxa"/>
            <w:shd w:val="clear" w:color="auto" w:fill="auto"/>
            <w:tcMar>
              <w:top w:w="0" w:type="dxa"/>
              <w:left w:w="105" w:type="dxa"/>
              <w:bottom w:w="0" w:type="dxa"/>
              <w:right w:w="105" w:type="dxa"/>
            </w:tcMar>
            <w:vAlign w:val="center"/>
          </w:tcPr>
          <w:p w14:paraId="41E6C023">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规格（品牌/型号）</w:t>
            </w:r>
          </w:p>
        </w:tc>
        <w:tc>
          <w:tcPr>
            <w:tcW w:w="1105" w:type="dxa"/>
            <w:shd w:val="clear" w:color="auto" w:fill="auto"/>
            <w:tcMar>
              <w:top w:w="0" w:type="dxa"/>
              <w:left w:w="105" w:type="dxa"/>
              <w:bottom w:w="0" w:type="dxa"/>
              <w:right w:w="105" w:type="dxa"/>
            </w:tcMar>
            <w:vAlign w:val="center"/>
          </w:tcPr>
          <w:p w14:paraId="4A9CF729">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来源地</w:t>
            </w:r>
          </w:p>
        </w:tc>
        <w:tc>
          <w:tcPr>
            <w:tcW w:w="1818" w:type="dxa"/>
            <w:shd w:val="clear" w:color="auto" w:fill="auto"/>
            <w:tcMar>
              <w:top w:w="0" w:type="dxa"/>
              <w:left w:w="105" w:type="dxa"/>
              <w:bottom w:w="0" w:type="dxa"/>
              <w:right w:w="105" w:type="dxa"/>
            </w:tcMar>
            <w:vAlign w:val="center"/>
          </w:tcPr>
          <w:p w14:paraId="096F2226">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备注</w:t>
            </w:r>
          </w:p>
        </w:tc>
      </w:tr>
      <w:tr w14:paraId="23CA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34" w:type="dxa"/>
            <w:vMerge w:val="restart"/>
            <w:shd w:val="clear" w:color="auto" w:fill="auto"/>
            <w:tcMar>
              <w:top w:w="0" w:type="dxa"/>
              <w:left w:w="105" w:type="dxa"/>
              <w:bottom w:w="0" w:type="dxa"/>
              <w:right w:w="105" w:type="dxa"/>
            </w:tcMar>
            <w:vAlign w:val="center"/>
          </w:tcPr>
          <w:p w14:paraId="35229A0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840" w:type="dxa"/>
            <w:shd w:val="clear" w:color="auto" w:fill="auto"/>
            <w:tcMar>
              <w:top w:w="0" w:type="dxa"/>
              <w:left w:w="105" w:type="dxa"/>
              <w:bottom w:w="0" w:type="dxa"/>
              <w:right w:w="105" w:type="dxa"/>
            </w:tcMar>
            <w:vAlign w:val="center"/>
          </w:tcPr>
          <w:p w14:paraId="0031B13C">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1633" w:type="dxa"/>
            <w:shd w:val="clear" w:color="auto" w:fill="auto"/>
            <w:tcMar>
              <w:top w:w="0" w:type="dxa"/>
              <w:left w:w="105" w:type="dxa"/>
              <w:bottom w:w="0" w:type="dxa"/>
              <w:right w:w="105" w:type="dxa"/>
            </w:tcMar>
            <w:vAlign w:val="top"/>
          </w:tcPr>
          <w:p w14:paraId="2CCF2327">
            <w:pPr>
              <w:keepNext w:val="0"/>
              <w:keepLines w:val="0"/>
              <w:widowControl/>
              <w:suppressLineNumbers w:val="0"/>
              <w:jc w:val="left"/>
              <w:rPr>
                <w:rFonts w:hint="eastAsia" w:ascii="宋体" w:hAnsi="宋体" w:eastAsia="宋体" w:cs="宋体"/>
                <w:color w:val="auto"/>
                <w:highlight w:val="none"/>
              </w:rPr>
            </w:pPr>
          </w:p>
        </w:tc>
        <w:tc>
          <w:tcPr>
            <w:tcW w:w="834" w:type="dxa"/>
            <w:shd w:val="clear" w:color="auto" w:fill="auto"/>
            <w:tcMar>
              <w:top w:w="0" w:type="dxa"/>
              <w:left w:w="105" w:type="dxa"/>
              <w:bottom w:w="0" w:type="dxa"/>
              <w:right w:w="105" w:type="dxa"/>
            </w:tcMar>
            <w:vAlign w:val="top"/>
          </w:tcPr>
          <w:p w14:paraId="73506D39">
            <w:pPr>
              <w:keepNext w:val="0"/>
              <w:keepLines w:val="0"/>
              <w:widowControl/>
              <w:suppressLineNumbers w:val="0"/>
              <w:jc w:val="left"/>
              <w:rPr>
                <w:rFonts w:hint="eastAsia" w:ascii="宋体" w:hAnsi="宋体" w:eastAsia="宋体" w:cs="宋体"/>
                <w:color w:val="auto"/>
                <w:highlight w:val="none"/>
              </w:rPr>
            </w:pPr>
          </w:p>
        </w:tc>
        <w:tc>
          <w:tcPr>
            <w:tcW w:w="1116" w:type="dxa"/>
            <w:shd w:val="clear" w:color="auto" w:fill="auto"/>
            <w:tcMar>
              <w:top w:w="0" w:type="dxa"/>
              <w:left w:w="105" w:type="dxa"/>
              <w:bottom w:w="0" w:type="dxa"/>
              <w:right w:w="105" w:type="dxa"/>
            </w:tcMar>
            <w:vAlign w:val="top"/>
          </w:tcPr>
          <w:p w14:paraId="412E854E">
            <w:pPr>
              <w:keepNext w:val="0"/>
              <w:keepLines w:val="0"/>
              <w:widowControl/>
              <w:suppressLineNumbers w:val="0"/>
              <w:jc w:val="left"/>
              <w:rPr>
                <w:rFonts w:hint="eastAsia" w:ascii="宋体" w:hAnsi="宋体" w:eastAsia="宋体" w:cs="宋体"/>
                <w:color w:val="auto"/>
                <w:highlight w:val="none"/>
              </w:rPr>
            </w:pPr>
          </w:p>
        </w:tc>
        <w:tc>
          <w:tcPr>
            <w:tcW w:w="1105" w:type="dxa"/>
            <w:shd w:val="clear" w:color="auto" w:fill="auto"/>
            <w:tcMar>
              <w:top w:w="0" w:type="dxa"/>
              <w:left w:w="105" w:type="dxa"/>
              <w:bottom w:w="0" w:type="dxa"/>
              <w:right w:w="105" w:type="dxa"/>
            </w:tcMar>
            <w:vAlign w:val="top"/>
          </w:tcPr>
          <w:p w14:paraId="0E21C344">
            <w:pPr>
              <w:keepNext w:val="0"/>
              <w:keepLines w:val="0"/>
              <w:widowControl/>
              <w:suppressLineNumbers w:val="0"/>
              <w:jc w:val="left"/>
              <w:rPr>
                <w:rFonts w:hint="eastAsia" w:ascii="宋体" w:hAnsi="宋体" w:eastAsia="宋体" w:cs="宋体"/>
                <w:color w:val="auto"/>
                <w:highlight w:val="none"/>
              </w:rPr>
            </w:pPr>
          </w:p>
        </w:tc>
        <w:tc>
          <w:tcPr>
            <w:tcW w:w="1818" w:type="dxa"/>
            <w:shd w:val="clear" w:color="auto" w:fill="auto"/>
            <w:tcMar>
              <w:top w:w="0" w:type="dxa"/>
              <w:left w:w="105" w:type="dxa"/>
              <w:bottom w:w="0" w:type="dxa"/>
              <w:right w:w="105" w:type="dxa"/>
            </w:tcMar>
            <w:vAlign w:val="top"/>
          </w:tcPr>
          <w:p w14:paraId="715C7643">
            <w:pPr>
              <w:keepNext w:val="0"/>
              <w:keepLines w:val="0"/>
              <w:widowControl/>
              <w:suppressLineNumbers w:val="0"/>
              <w:jc w:val="left"/>
              <w:rPr>
                <w:rFonts w:hint="eastAsia" w:ascii="宋体" w:hAnsi="宋体" w:eastAsia="宋体" w:cs="宋体"/>
                <w:color w:val="auto"/>
                <w:highlight w:val="none"/>
              </w:rPr>
            </w:pPr>
          </w:p>
        </w:tc>
      </w:tr>
      <w:tr w14:paraId="39B7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34" w:type="dxa"/>
            <w:vMerge w:val="continue"/>
            <w:shd w:val="clear" w:color="auto" w:fill="auto"/>
            <w:tcMar>
              <w:top w:w="0" w:type="dxa"/>
              <w:left w:w="105" w:type="dxa"/>
              <w:bottom w:w="0" w:type="dxa"/>
              <w:right w:w="105" w:type="dxa"/>
            </w:tcMar>
            <w:vAlign w:val="center"/>
          </w:tcPr>
          <w:p w14:paraId="797B0941">
            <w:pPr>
              <w:rPr>
                <w:rFonts w:hint="eastAsia" w:ascii="宋体" w:hAnsi="宋体" w:eastAsia="宋体" w:cs="宋体"/>
                <w:color w:val="auto"/>
                <w:sz w:val="24"/>
                <w:szCs w:val="24"/>
                <w:highlight w:val="none"/>
              </w:rPr>
            </w:pPr>
          </w:p>
        </w:tc>
        <w:tc>
          <w:tcPr>
            <w:tcW w:w="840" w:type="dxa"/>
            <w:shd w:val="clear" w:color="auto" w:fill="auto"/>
            <w:tcMar>
              <w:top w:w="0" w:type="dxa"/>
              <w:left w:w="105" w:type="dxa"/>
              <w:bottom w:w="0" w:type="dxa"/>
              <w:right w:w="105" w:type="dxa"/>
            </w:tcMar>
            <w:vAlign w:val="center"/>
          </w:tcPr>
          <w:p w14:paraId="3972CE76">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1633" w:type="dxa"/>
            <w:shd w:val="clear" w:color="auto" w:fill="auto"/>
            <w:tcMar>
              <w:top w:w="0" w:type="dxa"/>
              <w:left w:w="105" w:type="dxa"/>
              <w:bottom w:w="0" w:type="dxa"/>
              <w:right w:w="105" w:type="dxa"/>
            </w:tcMar>
            <w:vAlign w:val="top"/>
          </w:tcPr>
          <w:p w14:paraId="6BF9FA24">
            <w:pPr>
              <w:keepNext w:val="0"/>
              <w:keepLines w:val="0"/>
              <w:widowControl/>
              <w:suppressLineNumbers w:val="0"/>
              <w:jc w:val="left"/>
              <w:rPr>
                <w:rFonts w:hint="eastAsia" w:ascii="宋体" w:hAnsi="宋体" w:eastAsia="宋体" w:cs="宋体"/>
                <w:color w:val="auto"/>
                <w:highlight w:val="none"/>
              </w:rPr>
            </w:pPr>
          </w:p>
        </w:tc>
        <w:tc>
          <w:tcPr>
            <w:tcW w:w="834" w:type="dxa"/>
            <w:shd w:val="clear" w:color="auto" w:fill="auto"/>
            <w:tcMar>
              <w:top w:w="0" w:type="dxa"/>
              <w:left w:w="105" w:type="dxa"/>
              <w:bottom w:w="0" w:type="dxa"/>
              <w:right w:w="105" w:type="dxa"/>
            </w:tcMar>
            <w:vAlign w:val="top"/>
          </w:tcPr>
          <w:p w14:paraId="68CE1BB4">
            <w:pPr>
              <w:keepNext w:val="0"/>
              <w:keepLines w:val="0"/>
              <w:widowControl/>
              <w:suppressLineNumbers w:val="0"/>
              <w:jc w:val="left"/>
              <w:rPr>
                <w:rFonts w:hint="eastAsia" w:ascii="宋体" w:hAnsi="宋体" w:eastAsia="宋体" w:cs="宋体"/>
                <w:color w:val="auto"/>
                <w:highlight w:val="none"/>
              </w:rPr>
            </w:pPr>
          </w:p>
        </w:tc>
        <w:tc>
          <w:tcPr>
            <w:tcW w:w="1116" w:type="dxa"/>
            <w:shd w:val="clear" w:color="auto" w:fill="auto"/>
            <w:tcMar>
              <w:top w:w="0" w:type="dxa"/>
              <w:left w:w="105" w:type="dxa"/>
              <w:bottom w:w="0" w:type="dxa"/>
              <w:right w:w="105" w:type="dxa"/>
            </w:tcMar>
            <w:vAlign w:val="top"/>
          </w:tcPr>
          <w:p w14:paraId="02F84FE5">
            <w:pPr>
              <w:keepNext w:val="0"/>
              <w:keepLines w:val="0"/>
              <w:widowControl/>
              <w:suppressLineNumbers w:val="0"/>
              <w:jc w:val="left"/>
              <w:rPr>
                <w:rFonts w:hint="eastAsia" w:ascii="宋体" w:hAnsi="宋体" w:eastAsia="宋体" w:cs="宋体"/>
                <w:color w:val="auto"/>
                <w:highlight w:val="none"/>
              </w:rPr>
            </w:pPr>
          </w:p>
        </w:tc>
        <w:tc>
          <w:tcPr>
            <w:tcW w:w="1105" w:type="dxa"/>
            <w:shd w:val="clear" w:color="auto" w:fill="auto"/>
            <w:tcMar>
              <w:top w:w="0" w:type="dxa"/>
              <w:left w:w="105" w:type="dxa"/>
              <w:bottom w:w="0" w:type="dxa"/>
              <w:right w:w="105" w:type="dxa"/>
            </w:tcMar>
            <w:vAlign w:val="top"/>
          </w:tcPr>
          <w:p w14:paraId="520C2293">
            <w:pPr>
              <w:keepNext w:val="0"/>
              <w:keepLines w:val="0"/>
              <w:widowControl/>
              <w:suppressLineNumbers w:val="0"/>
              <w:jc w:val="left"/>
              <w:rPr>
                <w:rFonts w:hint="eastAsia" w:ascii="宋体" w:hAnsi="宋体" w:eastAsia="宋体" w:cs="宋体"/>
                <w:color w:val="auto"/>
                <w:highlight w:val="none"/>
              </w:rPr>
            </w:pPr>
          </w:p>
        </w:tc>
        <w:tc>
          <w:tcPr>
            <w:tcW w:w="1818" w:type="dxa"/>
            <w:shd w:val="clear" w:color="auto" w:fill="auto"/>
            <w:tcMar>
              <w:top w:w="0" w:type="dxa"/>
              <w:left w:w="105" w:type="dxa"/>
              <w:bottom w:w="0" w:type="dxa"/>
              <w:right w:w="105" w:type="dxa"/>
            </w:tcMar>
            <w:vAlign w:val="top"/>
          </w:tcPr>
          <w:p w14:paraId="076A955D">
            <w:pPr>
              <w:keepNext w:val="0"/>
              <w:keepLines w:val="0"/>
              <w:widowControl/>
              <w:suppressLineNumbers w:val="0"/>
              <w:jc w:val="left"/>
              <w:rPr>
                <w:rFonts w:hint="eastAsia" w:ascii="宋体" w:hAnsi="宋体" w:eastAsia="宋体" w:cs="宋体"/>
                <w:color w:val="auto"/>
                <w:highlight w:val="none"/>
              </w:rPr>
            </w:pPr>
          </w:p>
        </w:tc>
      </w:tr>
      <w:tr w14:paraId="2504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34" w:type="dxa"/>
            <w:shd w:val="clear" w:color="auto" w:fill="auto"/>
            <w:tcMar>
              <w:top w:w="0" w:type="dxa"/>
              <w:left w:w="105" w:type="dxa"/>
              <w:bottom w:w="0" w:type="dxa"/>
              <w:right w:w="105" w:type="dxa"/>
            </w:tcMar>
            <w:vAlign w:val="center"/>
          </w:tcPr>
          <w:p w14:paraId="4C34E26F">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840" w:type="dxa"/>
            <w:shd w:val="clear" w:color="auto" w:fill="auto"/>
            <w:tcMar>
              <w:top w:w="0" w:type="dxa"/>
              <w:left w:w="105" w:type="dxa"/>
              <w:bottom w:w="0" w:type="dxa"/>
              <w:right w:w="105" w:type="dxa"/>
            </w:tcMar>
            <w:vAlign w:val="center"/>
          </w:tcPr>
          <w:p w14:paraId="76B6AF0C">
            <w:pPr>
              <w:keepNext w:val="0"/>
              <w:keepLines w:val="0"/>
              <w:widowControl/>
              <w:suppressLineNumbers w:val="0"/>
              <w:jc w:val="left"/>
              <w:rPr>
                <w:rFonts w:hint="eastAsia" w:ascii="宋体" w:hAnsi="宋体" w:eastAsia="宋体" w:cs="宋体"/>
                <w:color w:val="auto"/>
                <w:highlight w:val="none"/>
              </w:rPr>
            </w:pPr>
          </w:p>
        </w:tc>
        <w:tc>
          <w:tcPr>
            <w:tcW w:w="1633" w:type="dxa"/>
            <w:shd w:val="clear" w:color="auto" w:fill="auto"/>
            <w:tcMar>
              <w:top w:w="0" w:type="dxa"/>
              <w:left w:w="105" w:type="dxa"/>
              <w:bottom w:w="0" w:type="dxa"/>
              <w:right w:w="105" w:type="dxa"/>
            </w:tcMar>
            <w:vAlign w:val="top"/>
          </w:tcPr>
          <w:p w14:paraId="764DBEEB">
            <w:pPr>
              <w:keepNext w:val="0"/>
              <w:keepLines w:val="0"/>
              <w:widowControl/>
              <w:suppressLineNumbers w:val="0"/>
              <w:jc w:val="left"/>
              <w:rPr>
                <w:rFonts w:hint="eastAsia" w:ascii="宋体" w:hAnsi="宋体" w:eastAsia="宋体" w:cs="宋体"/>
                <w:color w:val="auto"/>
                <w:highlight w:val="none"/>
              </w:rPr>
            </w:pPr>
          </w:p>
        </w:tc>
        <w:tc>
          <w:tcPr>
            <w:tcW w:w="834" w:type="dxa"/>
            <w:shd w:val="clear" w:color="auto" w:fill="auto"/>
            <w:tcMar>
              <w:top w:w="0" w:type="dxa"/>
              <w:left w:w="105" w:type="dxa"/>
              <w:bottom w:w="0" w:type="dxa"/>
              <w:right w:w="105" w:type="dxa"/>
            </w:tcMar>
            <w:vAlign w:val="top"/>
          </w:tcPr>
          <w:p w14:paraId="503536DE">
            <w:pPr>
              <w:keepNext w:val="0"/>
              <w:keepLines w:val="0"/>
              <w:widowControl/>
              <w:suppressLineNumbers w:val="0"/>
              <w:jc w:val="left"/>
              <w:rPr>
                <w:rFonts w:hint="eastAsia" w:ascii="宋体" w:hAnsi="宋体" w:eastAsia="宋体" w:cs="宋体"/>
                <w:color w:val="auto"/>
                <w:highlight w:val="none"/>
              </w:rPr>
            </w:pPr>
          </w:p>
        </w:tc>
        <w:tc>
          <w:tcPr>
            <w:tcW w:w="1116" w:type="dxa"/>
            <w:shd w:val="clear" w:color="auto" w:fill="auto"/>
            <w:tcMar>
              <w:top w:w="0" w:type="dxa"/>
              <w:left w:w="105" w:type="dxa"/>
              <w:bottom w:w="0" w:type="dxa"/>
              <w:right w:w="105" w:type="dxa"/>
            </w:tcMar>
            <w:vAlign w:val="top"/>
          </w:tcPr>
          <w:p w14:paraId="160DACAA">
            <w:pPr>
              <w:keepNext w:val="0"/>
              <w:keepLines w:val="0"/>
              <w:widowControl/>
              <w:suppressLineNumbers w:val="0"/>
              <w:jc w:val="left"/>
              <w:rPr>
                <w:rFonts w:hint="eastAsia" w:ascii="宋体" w:hAnsi="宋体" w:eastAsia="宋体" w:cs="宋体"/>
                <w:color w:val="auto"/>
                <w:highlight w:val="none"/>
              </w:rPr>
            </w:pPr>
          </w:p>
        </w:tc>
        <w:tc>
          <w:tcPr>
            <w:tcW w:w="1105" w:type="dxa"/>
            <w:shd w:val="clear" w:color="auto" w:fill="auto"/>
            <w:tcMar>
              <w:top w:w="0" w:type="dxa"/>
              <w:left w:w="105" w:type="dxa"/>
              <w:bottom w:w="0" w:type="dxa"/>
              <w:right w:w="105" w:type="dxa"/>
            </w:tcMar>
            <w:vAlign w:val="top"/>
          </w:tcPr>
          <w:p w14:paraId="5217F157">
            <w:pPr>
              <w:keepNext w:val="0"/>
              <w:keepLines w:val="0"/>
              <w:widowControl/>
              <w:suppressLineNumbers w:val="0"/>
              <w:jc w:val="left"/>
              <w:rPr>
                <w:rFonts w:hint="eastAsia" w:ascii="宋体" w:hAnsi="宋体" w:eastAsia="宋体" w:cs="宋体"/>
                <w:color w:val="auto"/>
                <w:highlight w:val="none"/>
              </w:rPr>
            </w:pPr>
          </w:p>
        </w:tc>
        <w:tc>
          <w:tcPr>
            <w:tcW w:w="1818" w:type="dxa"/>
            <w:shd w:val="clear" w:color="auto" w:fill="auto"/>
            <w:tcMar>
              <w:top w:w="0" w:type="dxa"/>
              <w:left w:w="105" w:type="dxa"/>
              <w:bottom w:w="0" w:type="dxa"/>
              <w:right w:w="105" w:type="dxa"/>
            </w:tcMar>
            <w:vAlign w:val="top"/>
          </w:tcPr>
          <w:p w14:paraId="751F7171">
            <w:pPr>
              <w:keepNext w:val="0"/>
              <w:keepLines w:val="0"/>
              <w:widowControl/>
              <w:suppressLineNumbers w:val="0"/>
              <w:jc w:val="left"/>
              <w:rPr>
                <w:rFonts w:hint="eastAsia" w:ascii="宋体" w:hAnsi="宋体" w:eastAsia="宋体" w:cs="宋体"/>
                <w:color w:val="auto"/>
                <w:highlight w:val="none"/>
              </w:rPr>
            </w:pPr>
          </w:p>
        </w:tc>
      </w:tr>
    </w:tbl>
    <w:p w14:paraId="5026D0B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0058249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1、本表应按照下列规定填写：</w:t>
      </w:r>
    </w:p>
    <w:p w14:paraId="7942519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1.1“采购包”、“品目号”、“投标标的”及“数量”应与招标文件《采购标的一览表》中的有关内容（“采购包”、“品目号”、“采购标的”及“数量”）保持一致。</w:t>
      </w:r>
    </w:p>
    <w:p w14:paraId="4F09C5F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1.2“投标标的”为货物的：</w:t>
      </w:r>
      <w:r>
        <w:rPr>
          <w:rStyle w:val="17"/>
          <w:rFonts w:hint="eastAsia" w:ascii="宋体" w:hAnsi="宋体" w:eastAsia="宋体" w:cs="宋体"/>
          <w:color w:val="auto"/>
          <w:sz w:val="21"/>
          <w:szCs w:val="21"/>
          <w:highlight w:val="none"/>
        </w:rPr>
        <w:t>“规格”</w:t>
      </w:r>
      <w:r>
        <w:rPr>
          <w:rFonts w:hint="eastAsia" w:ascii="宋体" w:hAnsi="宋体" w:eastAsia="宋体" w:cs="宋体"/>
          <w:color w:val="auto"/>
          <w:sz w:val="21"/>
          <w:szCs w:val="21"/>
          <w:highlight w:val="none"/>
        </w:rPr>
        <w:t>项下应填写货物制造厂商赋予的品牌（属于节能、环保清单产品的货物，填写的品牌名称应与清单载明的品牌名称保持一致）及具体型号。</w:t>
      </w:r>
      <w:r>
        <w:rPr>
          <w:rStyle w:val="17"/>
          <w:rFonts w:hint="eastAsia" w:ascii="宋体" w:hAnsi="宋体" w:eastAsia="宋体" w:cs="宋体"/>
          <w:color w:val="auto"/>
          <w:sz w:val="21"/>
          <w:szCs w:val="21"/>
          <w:highlight w:val="none"/>
        </w:rPr>
        <w:t>“来源地”</w:t>
      </w:r>
      <w:r>
        <w:rPr>
          <w:rFonts w:hint="eastAsia" w:ascii="宋体" w:hAnsi="宋体" w:eastAsia="宋体" w:cs="宋体"/>
          <w:color w:val="auto"/>
          <w:sz w:val="21"/>
          <w:szCs w:val="21"/>
          <w:highlight w:val="none"/>
        </w:rPr>
        <w:t>应填写货物的原产地。</w:t>
      </w:r>
      <w:r>
        <w:rPr>
          <w:rStyle w:val="17"/>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9F2015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1.3“投标标的”为服务的：</w:t>
      </w:r>
      <w:r>
        <w:rPr>
          <w:rStyle w:val="17"/>
          <w:rFonts w:hint="eastAsia" w:ascii="宋体" w:hAnsi="宋体" w:eastAsia="宋体" w:cs="宋体"/>
          <w:color w:val="auto"/>
          <w:sz w:val="21"/>
          <w:szCs w:val="21"/>
          <w:highlight w:val="none"/>
        </w:rPr>
        <w:t>“规格”</w:t>
      </w:r>
      <w:r>
        <w:rPr>
          <w:rFonts w:hint="eastAsia" w:ascii="宋体" w:hAnsi="宋体" w:eastAsia="宋体" w:cs="宋体"/>
          <w:color w:val="auto"/>
          <w:sz w:val="21"/>
          <w:szCs w:val="21"/>
          <w:highlight w:val="none"/>
        </w:rPr>
        <w:t>项下应填写服务提供者提供的服务标准及品牌（若有）。</w:t>
      </w:r>
      <w:r>
        <w:rPr>
          <w:rStyle w:val="17"/>
          <w:rFonts w:hint="eastAsia" w:ascii="宋体" w:hAnsi="宋体" w:eastAsia="宋体" w:cs="宋体"/>
          <w:color w:val="auto"/>
          <w:sz w:val="21"/>
          <w:szCs w:val="21"/>
          <w:highlight w:val="none"/>
        </w:rPr>
        <w:t>“来源地”</w:t>
      </w:r>
      <w:r>
        <w:rPr>
          <w:rFonts w:hint="eastAsia" w:ascii="宋体" w:hAnsi="宋体" w:eastAsia="宋体" w:cs="宋体"/>
          <w:color w:val="auto"/>
          <w:sz w:val="21"/>
          <w:szCs w:val="21"/>
          <w:highlight w:val="none"/>
        </w:rPr>
        <w:t>应填写服务提供者的所在地。</w:t>
      </w:r>
      <w:r>
        <w:rPr>
          <w:rStyle w:val="17"/>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rPr>
        <w:t>项下应填写关于服务标准所涵盖的具体项目或内容的说明等。</w:t>
      </w:r>
    </w:p>
    <w:p w14:paraId="3BB533C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2、投标人需要说明的内容若需特殊表达，应先在本表中进行相应说明，再另页应答，但应做好标注说明，方便评委查阅评审。未标注说明可能导致的不利的评审后果由投标人自行承担。</w:t>
      </w:r>
    </w:p>
    <w:p w14:paraId="782764A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3、投标文件中涉及</w:t>
      </w:r>
      <w:r>
        <w:rPr>
          <w:rStyle w:val="17"/>
          <w:rFonts w:hint="eastAsia" w:ascii="宋体" w:hAnsi="宋体" w:eastAsia="宋体" w:cs="宋体"/>
          <w:color w:val="auto"/>
          <w:sz w:val="21"/>
          <w:szCs w:val="21"/>
          <w:highlight w:val="none"/>
        </w:rPr>
        <w:t>“投标标的”、“数量”、“规格”、“来源地”</w:t>
      </w:r>
      <w:r>
        <w:rPr>
          <w:rFonts w:hint="eastAsia" w:ascii="宋体" w:hAnsi="宋体" w:eastAsia="宋体" w:cs="宋体"/>
          <w:color w:val="auto"/>
          <w:sz w:val="21"/>
          <w:szCs w:val="21"/>
          <w:highlight w:val="none"/>
        </w:rPr>
        <w:t>的内容若不一致，</w:t>
      </w:r>
      <w:r>
        <w:rPr>
          <w:rStyle w:val="17"/>
          <w:rFonts w:hint="eastAsia" w:ascii="宋体" w:hAnsi="宋体" w:eastAsia="宋体" w:cs="宋体"/>
          <w:color w:val="auto"/>
          <w:sz w:val="21"/>
          <w:szCs w:val="21"/>
          <w:highlight w:val="none"/>
        </w:rPr>
        <w:t>应以本表为准</w:t>
      </w:r>
      <w:r>
        <w:rPr>
          <w:rFonts w:hint="eastAsia" w:ascii="宋体" w:hAnsi="宋体" w:eastAsia="宋体" w:cs="宋体"/>
          <w:color w:val="auto"/>
          <w:sz w:val="21"/>
          <w:szCs w:val="21"/>
          <w:highlight w:val="none"/>
        </w:rPr>
        <w:t>。</w:t>
      </w:r>
    </w:p>
    <w:p w14:paraId="51DE720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A524CE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F982314">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64EF7BF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69B5C595">
      <w:pPr>
        <w:pStyle w:val="14"/>
        <w:keepNext w:val="0"/>
        <w:keepLines w:val="0"/>
        <w:widowControl/>
        <w:suppressLineNumbers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0F06C55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E58CBE7">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二、技术和服务要求响应表</w:t>
      </w:r>
    </w:p>
    <w:p w14:paraId="5722964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2D94C9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w:t>
      </w:r>
    </w:p>
    <w:tbl>
      <w:tblPr>
        <w:tblStyle w:val="15"/>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90"/>
        <w:gridCol w:w="876"/>
        <w:gridCol w:w="2927"/>
        <w:gridCol w:w="1834"/>
        <w:gridCol w:w="1893"/>
      </w:tblGrid>
      <w:tr w14:paraId="4E4E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55" w:hRule="atLeast"/>
          <w:tblCellSpacing w:w="15" w:type="dxa"/>
        </w:trPr>
        <w:tc>
          <w:tcPr>
            <w:tcW w:w="945" w:type="dxa"/>
            <w:shd w:val="clear" w:color="auto" w:fill="auto"/>
            <w:tcMar>
              <w:top w:w="0" w:type="dxa"/>
              <w:left w:w="105" w:type="dxa"/>
              <w:bottom w:w="0" w:type="dxa"/>
              <w:right w:w="105" w:type="dxa"/>
            </w:tcMar>
            <w:vAlign w:val="center"/>
          </w:tcPr>
          <w:p w14:paraId="013E54F9">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采购包</w:t>
            </w:r>
          </w:p>
        </w:tc>
        <w:tc>
          <w:tcPr>
            <w:tcW w:w="846" w:type="dxa"/>
            <w:shd w:val="clear" w:color="auto" w:fill="auto"/>
            <w:tcMar>
              <w:top w:w="0" w:type="dxa"/>
              <w:left w:w="105" w:type="dxa"/>
              <w:bottom w:w="0" w:type="dxa"/>
              <w:right w:w="105" w:type="dxa"/>
            </w:tcMar>
            <w:vAlign w:val="center"/>
          </w:tcPr>
          <w:p w14:paraId="3BAF861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品目号</w:t>
            </w:r>
          </w:p>
        </w:tc>
        <w:tc>
          <w:tcPr>
            <w:tcW w:w="2897" w:type="dxa"/>
            <w:shd w:val="clear" w:color="auto" w:fill="auto"/>
            <w:tcMar>
              <w:top w:w="0" w:type="dxa"/>
              <w:left w:w="105" w:type="dxa"/>
              <w:bottom w:w="0" w:type="dxa"/>
              <w:right w:w="105" w:type="dxa"/>
            </w:tcMar>
            <w:vAlign w:val="center"/>
          </w:tcPr>
          <w:p w14:paraId="0C1894F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技术和服务要求</w:t>
            </w:r>
          </w:p>
        </w:tc>
        <w:tc>
          <w:tcPr>
            <w:tcW w:w="1804" w:type="dxa"/>
            <w:shd w:val="clear" w:color="auto" w:fill="auto"/>
            <w:tcMar>
              <w:top w:w="0" w:type="dxa"/>
              <w:left w:w="105" w:type="dxa"/>
              <w:bottom w:w="0" w:type="dxa"/>
              <w:right w:w="105" w:type="dxa"/>
            </w:tcMar>
            <w:vAlign w:val="center"/>
          </w:tcPr>
          <w:p w14:paraId="43DDD79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投标响应</w:t>
            </w:r>
          </w:p>
        </w:tc>
        <w:tc>
          <w:tcPr>
            <w:tcW w:w="1848" w:type="dxa"/>
            <w:shd w:val="clear" w:color="auto" w:fill="auto"/>
            <w:tcMar>
              <w:top w:w="0" w:type="dxa"/>
              <w:left w:w="105" w:type="dxa"/>
              <w:bottom w:w="0" w:type="dxa"/>
              <w:right w:w="105" w:type="dxa"/>
            </w:tcMar>
            <w:vAlign w:val="center"/>
          </w:tcPr>
          <w:p w14:paraId="54398E1E">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是否偏离及说明</w:t>
            </w:r>
          </w:p>
        </w:tc>
      </w:tr>
      <w:tr w14:paraId="7EFB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restart"/>
            <w:shd w:val="clear" w:color="auto" w:fill="auto"/>
            <w:tcMar>
              <w:top w:w="0" w:type="dxa"/>
              <w:left w:w="105" w:type="dxa"/>
              <w:bottom w:w="0" w:type="dxa"/>
              <w:right w:w="105" w:type="dxa"/>
            </w:tcMar>
            <w:vAlign w:val="center"/>
          </w:tcPr>
          <w:p w14:paraId="1B22D29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846" w:type="dxa"/>
            <w:shd w:val="clear" w:color="auto" w:fill="auto"/>
            <w:tcMar>
              <w:top w:w="0" w:type="dxa"/>
              <w:left w:w="105" w:type="dxa"/>
              <w:bottom w:w="0" w:type="dxa"/>
              <w:right w:w="105" w:type="dxa"/>
            </w:tcMar>
            <w:vAlign w:val="center"/>
          </w:tcPr>
          <w:p w14:paraId="5E29120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2897" w:type="dxa"/>
            <w:shd w:val="clear" w:color="auto" w:fill="auto"/>
            <w:tcMar>
              <w:top w:w="0" w:type="dxa"/>
              <w:left w:w="105" w:type="dxa"/>
              <w:bottom w:w="0" w:type="dxa"/>
              <w:right w:w="105" w:type="dxa"/>
            </w:tcMar>
            <w:vAlign w:val="top"/>
          </w:tcPr>
          <w:p w14:paraId="45C44CFE">
            <w:pPr>
              <w:keepNext w:val="0"/>
              <w:keepLines w:val="0"/>
              <w:widowControl/>
              <w:suppressLineNumbers w:val="0"/>
              <w:jc w:val="left"/>
              <w:rPr>
                <w:rFonts w:hint="eastAsia" w:ascii="宋体" w:hAnsi="宋体" w:eastAsia="宋体" w:cs="宋体"/>
                <w:color w:val="auto"/>
                <w:highlight w:val="none"/>
              </w:rPr>
            </w:pPr>
          </w:p>
        </w:tc>
        <w:tc>
          <w:tcPr>
            <w:tcW w:w="1804" w:type="dxa"/>
            <w:shd w:val="clear" w:color="auto" w:fill="auto"/>
            <w:tcMar>
              <w:top w:w="0" w:type="dxa"/>
              <w:left w:w="105" w:type="dxa"/>
              <w:bottom w:w="0" w:type="dxa"/>
              <w:right w:w="105" w:type="dxa"/>
            </w:tcMar>
            <w:vAlign w:val="top"/>
          </w:tcPr>
          <w:p w14:paraId="072D8984">
            <w:pPr>
              <w:keepNext w:val="0"/>
              <w:keepLines w:val="0"/>
              <w:widowControl/>
              <w:suppressLineNumbers w:val="0"/>
              <w:jc w:val="left"/>
              <w:rPr>
                <w:rFonts w:hint="eastAsia" w:ascii="宋体" w:hAnsi="宋体" w:eastAsia="宋体" w:cs="宋体"/>
                <w:color w:val="auto"/>
                <w:highlight w:val="none"/>
              </w:rPr>
            </w:pPr>
          </w:p>
        </w:tc>
        <w:tc>
          <w:tcPr>
            <w:tcW w:w="1848" w:type="dxa"/>
            <w:shd w:val="clear" w:color="auto" w:fill="auto"/>
            <w:tcMar>
              <w:top w:w="0" w:type="dxa"/>
              <w:left w:w="105" w:type="dxa"/>
              <w:bottom w:w="0" w:type="dxa"/>
              <w:right w:w="105" w:type="dxa"/>
            </w:tcMar>
            <w:vAlign w:val="top"/>
          </w:tcPr>
          <w:p w14:paraId="25DEB151">
            <w:pPr>
              <w:keepNext w:val="0"/>
              <w:keepLines w:val="0"/>
              <w:widowControl/>
              <w:suppressLineNumbers w:val="0"/>
              <w:jc w:val="left"/>
              <w:rPr>
                <w:rFonts w:hint="eastAsia" w:ascii="宋体" w:hAnsi="宋体" w:eastAsia="宋体" w:cs="宋体"/>
                <w:color w:val="auto"/>
                <w:highlight w:val="none"/>
              </w:rPr>
            </w:pPr>
          </w:p>
        </w:tc>
      </w:tr>
      <w:tr w14:paraId="1566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continue"/>
            <w:shd w:val="clear" w:color="auto" w:fill="auto"/>
            <w:tcMar>
              <w:top w:w="0" w:type="dxa"/>
              <w:left w:w="105" w:type="dxa"/>
              <w:bottom w:w="0" w:type="dxa"/>
              <w:right w:w="105" w:type="dxa"/>
            </w:tcMar>
            <w:vAlign w:val="center"/>
          </w:tcPr>
          <w:p w14:paraId="7EFABB84">
            <w:pPr>
              <w:rPr>
                <w:rFonts w:hint="eastAsia" w:ascii="宋体" w:hAnsi="宋体" w:eastAsia="宋体" w:cs="宋体"/>
                <w:color w:val="auto"/>
                <w:sz w:val="24"/>
                <w:szCs w:val="24"/>
                <w:highlight w:val="none"/>
              </w:rPr>
            </w:pPr>
          </w:p>
        </w:tc>
        <w:tc>
          <w:tcPr>
            <w:tcW w:w="846" w:type="dxa"/>
            <w:shd w:val="clear" w:color="auto" w:fill="auto"/>
            <w:tcMar>
              <w:top w:w="0" w:type="dxa"/>
              <w:left w:w="105" w:type="dxa"/>
              <w:bottom w:w="0" w:type="dxa"/>
              <w:right w:w="105" w:type="dxa"/>
            </w:tcMar>
            <w:vAlign w:val="center"/>
          </w:tcPr>
          <w:p w14:paraId="2A59FC22">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2897" w:type="dxa"/>
            <w:shd w:val="clear" w:color="auto" w:fill="auto"/>
            <w:tcMar>
              <w:top w:w="0" w:type="dxa"/>
              <w:left w:w="105" w:type="dxa"/>
              <w:bottom w:w="0" w:type="dxa"/>
              <w:right w:w="105" w:type="dxa"/>
            </w:tcMar>
            <w:vAlign w:val="top"/>
          </w:tcPr>
          <w:p w14:paraId="5879E2B5">
            <w:pPr>
              <w:keepNext w:val="0"/>
              <w:keepLines w:val="0"/>
              <w:widowControl/>
              <w:suppressLineNumbers w:val="0"/>
              <w:jc w:val="left"/>
              <w:rPr>
                <w:rFonts w:hint="eastAsia" w:ascii="宋体" w:hAnsi="宋体" w:eastAsia="宋体" w:cs="宋体"/>
                <w:color w:val="auto"/>
                <w:highlight w:val="none"/>
              </w:rPr>
            </w:pPr>
          </w:p>
        </w:tc>
        <w:tc>
          <w:tcPr>
            <w:tcW w:w="1804" w:type="dxa"/>
            <w:shd w:val="clear" w:color="auto" w:fill="auto"/>
            <w:tcMar>
              <w:top w:w="0" w:type="dxa"/>
              <w:left w:w="105" w:type="dxa"/>
              <w:bottom w:w="0" w:type="dxa"/>
              <w:right w:w="105" w:type="dxa"/>
            </w:tcMar>
            <w:vAlign w:val="top"/>
          </w:tcPr>
          <w:p w14:paraId="412445A8">
            <w:pPr>
              <w:keepNext w:val="0"/>
              <w:keepLines w:val="0"/>
              <w:widowControl/>
              <w:suppressLineNumbers w:val="0"/>
              <w:jc w:val="left"/>
              <w:rPr>
                <w:rFonts w:hint="eastAsia" w:ascii="宋体" w:hAnsi="宋体" w:eastAsia="宋体" w:cs="宋体"/>
                <w:color w:val="auto"/>
                <w:highlight w:val="none"/>
              </w:rPr>
            </w:pPr>
          </w:p>
        </w:tc>
        <w:tc>
          <w:tcPr>
            <w:tcW w:w="1848" w:type="dxa"/>
            <w:shd w:val="clear" w:color="auto" w:fill="auto"/>
            <w:tcMar>
              <w:top w:w="0" w:type="dxa"/>
              <w:left w:w="105" w:type="dxa"/>
              <w:bottom w:w="0" w:type="dxa"/>
              <w:right w:w="105" w:type="dxa"/>
            </w:tcMar>
            <w:vAlign w:val="top"/>
          </w:tcPr>
          <w:p w14:paraId="0B3C9D81">
            <w:pPr>
              <w:keepNext w:val="0"/>
              <w:keepLines w:val="0"/>
              <w:widowControl/>
              <w:suppressLineNumbers w:val="0"/>
              <w:jc w:val="left"/>
              <w:rPr>
                <w:rFonts w:hint="eastAsia" w:ascii="宋体" w:hAnsi="宋体" w:eastAsia="宋体" w:cs="宋体"/>
                <w:color w:val="auto"/>
                <w:highlight w:val="none"/>
              </w:rPr>
            </w:pPr>
          </w:p>
        </w:tc>
      </w:tr>
      <w:tr w14:paraId="7FFA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shd w:val="clear" w:color="auto" w:fill="auto"/>
            <w:tcMar>
              <w:top w:w="0" w:type="dxa"/>
              <w:left w:w="105" w:type="dxa"/>
              <w:bottom w:w="0" w:type="dxa"/>
              <w:right w:w="105" w:type="dxa"/>
            </w:tcMar>
            <w:vAlign w:val="center"/>
          </w:tcPr>
          <w:p w14:paraId="2F50D136">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846" w:type="dxa"/>
            <w:shd w:val="clear" w:color="auto" w:fill="auto"/>
            <w:tcMar>
              <w:top w:w="0" w:type="dxa"/>
              <w:left w:w="105" w:type="dxa"/>
              <w:bottom w:w="0" w:type="dxa"/>
              <w:right w:w="105" w:type="dxa"/>
            </w:tcMar>
            <w:vAlign w:val="center"/>
          </w:tcPr>
          <w:p w14:paraId="5EF5F68B">
            <w:pPr>
              <w:keepNext w:val="0"/>
              <w:keepLines w:val="0"/>
              <w:widowControl/>
              <w:suppressLineNumbers w:val="0"/>
              <w:jc w:val="left"/>
              <w:rPr>
                <w:rFonts w:hint="eastAsia" w:ascii="宋体" w:hAnsi="宋体" w:eastAsia="宋体" w:cs="宋体"/>
                <w:color w:val="auto"/>
                <w:highlight w:val="none"/>
              </w:rPr>
            </w:pPr>
          </w:p>
        </w:tc>
        <w:tc>
          <w:tcPr>
            <w:tcW w:w="2897" w:type="dxa"/>
            <w:shd w:val="clear" w:color="auto" w:fill="auto"/>
            <w:tcMar>
              <w:top w:w="0" w:type="dxa"/>
              <w:left w:w="105" w:type="dxa"/>
              <w:bottom w:w="0" w:type="dxa"/>
              <w:right w:w="105" w:type="dxa"/>
            </w:tcMar>
            <w:vAlign w:val="center"/>
          </w:tcPr>
          <w:p w14:paraId="6BD36953">
            <w:pPr>
              <w:keepNext w:val="0"/>
              <w:keepLines w:val="0"/>
              <w:widowControl/>
              <w:suppressLineNumbers w:val="0"/>
              <w:jc w:val="left"/>
              <w:rPr>
                <w:rFonts w:hint="eastAsia" w:ascii="宋体" w:hAnsi="宋体" w:eastAsia="宋体" w:cs="宋体"/>
                <w:color w:val="auto"/>
                <w:highlight w:val="none"/>
              </w:rPr>
            </w:pPr>
          </w:p>
        </w:tc>
        <w:tc>
          <w:tcPr>
            <w:tcW w:w="1804" w:type="dxa"/>
            <w:shd w:val="clear" w:color="auto" w:fill="auto"/>
            <w:tcMar>
              <w:top w:w="0" w:type="dxa"/>
              <w:left w:w="105" w:type="dxa"/>
              <w:bottom w:w="0" w:type="dxa"/>
              <w:right w:w="105" w:type="dxa"/>
            </w:tcMar>
            <w:vAlign w:val="center"/>
          </w:tcPr>
          <w:p w14:paraId="35C409B5">
            <w:pPr>
              <w:keepNext w:val="0"/>
              <w:keepLines w:val="0"/>
              <w:widowControl/>
              <w:suppressLineNumbers w:val="0"/>
              <w:jc w:val="left"/>
              <w:rPr>
                <w:rFonts w:hint="eastAsia" w:ascii="宋体" w:hAnsi="宋体" w:eastAsia="宋体" w:cs="宋体"/>
                <w:color w:val="auto"/>
                <w:highlight w:val="none"/>
              </w:rPr>
            </w:pPr>
          </w:p>
        </w:tc>
        <w:tc>
          <w:tcPr>
            <w:tcW w:w="1848" w:type="dxa"/>
            <w:shd w:val="clear" w:color="auto" w:fill="auto"/>
            <w:tcMar>
              <w:top w:w="0" w:type="dxa"/>
              <w:left w:w="105" w:type="dxa"/>
              <w:bottom w:w="0" w:type="dxa"/>
              <w:right w:w="105" w:type="dxa"/>
            </w:tcMar>
            <w:vAlign w:val="center"/>
          </w:tcPr>
          <w:p w14:paraId="4A810191">
            <w:pPr>
              <w:keepNext w:val="0"/>
              <w:keepLines w:val="0"/>
              <w:widowControl/>
              <w:suppressLineNumbers w:val="0"/>
              <w:jc w:val="left"/>
              <w:rPr>
                <w:rFonts w:hint="eastAsia" w:ascii="宋体" w:hAnsi="宋体" w:eastAsia="宋体" w:cs="宋体"/>
                <w:color w:val="auto"/>
                <w:highlight w:val="none"/>
              </w:rPr>
            </w:pPr>
          </w:p>
        </w:tc>
      </w:tr>
    </w:tbl>
    <w:p w14:paraId="71E29F38">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0958E629">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1、本表应按照下列规定填写：</w:t>
      </w:r>
    </w:p>
    <w:p w14:paraId="3877D3A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1.1“技术和服务要求”项下填写的内容应与招标文件第五章“技术和服务要求”的内容保持一致。</w:t>
      </w:r>
    </w:p>
    <w:p w14:paraId="49FDA8D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38E0837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1.3“是否偏离及说明”项下应按下列规定填写：优于的，填写“正偏离”；符合的，填写“无偏离”；低于的，填写“负偏离”。</w:t>
      </w:r>
    </w:p>
    <w:p w14:paraId="254947EB">
      <w:pPr>
        <w:pStyle w:val="14"/>
        <w:keepNext w:val="0"/>
        <w:keepLines w:val="0"/>
        <w:widowControl/>
        <w:suppressLineNumbers w:val="0"/>
        <w:spacing w:before="75" w:beforeAutospacing="0" w:after="75" w:afterAutospacing="0"/>
        <w:ind w:left="0" w:right="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2、投标人需要说明的内容若需特殊表达，应先在本表中进行相应说明，再另页应答，但应做好标注说明，方便评委查阅评审。未标注说明可能导致的不利的评审后果由投标人自行承担。</w:t>
      </w:r>
    </w:p>
    <w:p w14:paraId="20067A6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3E0AAD6F">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207ECBF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48D1AD0E">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15001872">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BCF1F3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C8CD521">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56330280">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三、商务条件响应表</w:t>
      </w:r>
    </w:p>
    <w:p w14:paraId="2878AD0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7A6325A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w:t>
      </w:r>
    </w:p>
    <w:tbl>
      <w:tblPr>
        <w:tblStyle w:val="15"/>
        <w:tblW w:w="8520"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90"/>
        <w:gridCol w:w="876"/>
        <w:gridCol w:w="2927"/>
        <w:gridCol w:w="1834"/>
        <w:gridCol w:w="1893"/>
      </w:tblGrid>
      <w:tr w14:paraId="0A5D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945" w:type="dxa"/>
            <w:shd w:val="clear" w:color="auto" w:fill="auto"/>
            <w:tcMar>
              <w:top w:w="0" w:type="dxa"/>
              <w:left w:w="105" w:type="dxa"/>
              <w:bottom w:w="0" w:type="dxa"/>
              <w:right w:w="105" w:type="dxa"/>
            </w:tcMar>
            <w:vAlign w:val="center"/>
          </w:tcPr>
          <w:p w14:paraId="4154DD6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采购包</w:t>
            </w:r>
          </w:p>
        </w:tc>
        <w:tc>
          <w:tcPr>
            <w:tcW w:w="846" w:type="dxa"/>
            <w:shd w:val="clear" w:color="auto" w:fill="auto"/>
            <w:tcMar>
              <w:top w:w="0" w:type="dxa"/>
              <w:left w:w="105" w:type="dxa"/>
              <w:bottom w:w="0" w:type="dxa"/>
              <w:right w:w="105" w:type="dxa"/>
            </w:tcMar>
            <w:vAlign w:val="center"/>
          </w:tcPr>
          <w:p w14:paraId="27A80DDB">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品目号</w:t>
            </w:r>
          </w:p>
        </w:tc>
        <w:tc>
          <w:tcPr>
            <w:tcW w:w="2897" w:type="dxa"/>
            <w:shd w:val="clear" w:color="auto" w:fill="auto"/>
            <w:tcMar>
              <w:top w:w="0" w:type="dxa"/>
              <w:left w:w="105" w:type="dxa"/>
              <w:bottom w:w="0" w:type="dxa"/>
              <w:right w:w="105" w:type="dxa"/>
            </w:tcMar>
            <w:vAlign w:val="center"/>
          </w:tcPr>
          <w:p w14:paraId="615926B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商务条件</w:t>
            </w:r>
          </w:p>
        </w:tc>
        <w:tc>
          <w:tcPr>
            <w:tcW w:w="1804" w:type="dxa"/>
            <w:shd w:val="clear" w:color="auto" w:fill="auto"/>
            <w:tcMar>
              <w:top w:w="0" w:type="dxa"/>
              <w:left w:w="105" w:type="dxa"/>
              <w:bottom w:w="0" w:type="dxa"/>
              <w:right w:w="105" w:type="dxa"/>
            </w:tcMar>
            <w:vAlign w:val="center"/>
          </w:tcPr>
          <w:p w14:paraId="12398846">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投标响应</w:t>
            </w:r>
          </w:p>
        </w:tc>
        <w:tc>
          <w:tcPr>
            <w:tcW w:w="1848" w:type="dxa"/>
            <w:shd w:val="clear" w:color="auto" w:fill="auto"/>
            <w:tcMar>
              <w:top w:w="0" w:type="dxa"/>
              <w:left w:w="105" w:type="dxa"/>
              <w:bottom w:w="0" w:type="dxa"/>
              <w:right w:w="105" w:type="dxa"/>
            </w:tcMar>
            <w:vAlign w:val="center"/>
          </w:tcPr>
          <w:p w14:paraId="15987CC9">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是否偏离及说明</w:t>
            </w:r>
          </w:p>
        </w:tc>
      </w:tr>
      <w:tr w14:paraId="4BB6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restart"/>
            <w:shd w:val="clear" w:color="auto" w:fill="auto"/>
            <w:tcMar>
              <w:top w:w="0" w:type="dxa"/>
              <w:left w:w="105" w:type="dxa"/>
              <w:bottom w:w="0" w:type="dxa"/>
              <w:right w:w="105" w:type="dxa"/>
            </w:tcMar>
            <w:vAlign w:val="center"/>
          </w:tcPr>
          <w:p w14:paraId="2251D78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846" w:type="dxa"/>
            <w:shd w:val="clear" w:color="auto" w:fill="auto"/>
            <w:tcMar>
              <w:top w:w="0" w:type="dxa"/>
              <w:left w:w="105" w:type="dxa"/>
              <w:bottom w:w="0" w:type="dxa"/>
              <w:right w:w="105" w:type="dxa"/>
            </w:tcMar>
            <w:vAlign w:val="center"/>
          </w:tcPr>
          <w:p w14:paraId="5504B4FD">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*-1</w:t>
            </w:r>
          </w:p>
        </w:tc>
        <w:tc>
          <w:tcPr>
            <w:tcW w:w="2897" w:type="dxa"/>
            <w:shd w:val="clear" w:color="auto" w:fill="auto"/>
            <w:tcMar>
              <w:top w:w="0" w:type="dxa"/>
              <w:left w:w="105" w:type="dxa"/>
              <w:bottom w:w="0" w:type="dxa"/>
              <w:right w:w="105" w:type="dxa"/>
            </w:tcMar>
            <w:vAlign w:val="top"/>
          </w:tcPr>
          <w:p w14:paraId="0CDAACFC">
            <w:pPr>
              <w:keepNext w:val="0"/>
              <w:keepLines w:val="0"/>
              <w:widowControl/>
              <w:suppressLineNumbers w:val="0"/>
              <w:jc w:val="left"/>
              <w:rPr>
                <w:rFonts w:hint="eastAsia" w:ascii="宋体" w:hAnsi="宋体" w:eastAsia="宋体" w:cs="宋体"/>
                <w:color w:val="auto"/>
                <w:highlight w:val="none"/>
              </w:rPr>
            </w:pPr>
          </w:p>
        </w:tc>
        <w:tc>
          <w:tcPr>
            <w:tcW w:w="1804" w:type="dxa"/>
            <w:shd w:val="clear" w:color="auto" w:fill="auto"/>
            <w:tcMar>
              <w:top w:w="0" w:type="dxa"/>
              <w:left w:w="105" w:type="dxa"/>
              <w:bottom w:w="0" w:type="dxa"/>
              <w:right w:w="105" w:type="dxa"/>
            </w:tcMar>
            <w:vAlign w:val="top"/>
          </w:tcPr>
          <w:p w14:paraId="53D6720F">
            <w:pPr>
              <w:keepNext w:val="0"/>
              <w:keepLines w:val="0"/>
              <w:widowControl/>
              <w:suppressLineNumbers w:val="0"/>
              <w:jc w:val="left"/>
              <w:rPr>
                <w:rFonts w:hint="eastAsia" w:ascii="宋体" w:hAnsi="宋体" w:eastAsia="宋体" w:cs="宋体"/>
                <w:color w:val="auto"/>
                <w:highlight w:val="none"/>
              </w:rPr>
            </w:pPr>
          </w:p>
        </w:tc>
        <w:tc>
          <w:tcPr>
            <w:tcW w:w="1848" w:type="dxa"/>
            <w:shd w:val="clear" w:color="auto" w:fill="auto"/>
            <w:tcMar>
              <w:top w:w="0" w:type="dxa"/>
              <w:left w:w="105" w:type="dxa"/>
              <w:bottom w:w="0" w:type="dxa"/>
              <w:right w:w="105" w:type="dxa"/>
            </w:tcMar>
            <w:vAlign w:val="top"/>
          </w:tcPr>
          <w:p w14:paraId="193C1EA9">
            <w:pPr>
              <w:keepNext w:val="0"/>
              <w:keepLines w:val="0"/>
              <w:widowControl/>
              <w:suppressLineNumbers w:val="0"/>
              <w:jc w:val="left"/>
              <w:rPr>
                <w:rFonts w:hint="eastAsia" w:ascii="宋体" w:hAnsi="宋体" w:eastAsia="宋体" w:cs="宋体"/>
                <w:color w:val="auto"/>
                <w:highlight w:val="none"/>
              </w:rPr>
            </w:pPr>
          </w:p>
        </w:tc>
      </w:tr>
      <w:tr w14:paraId="30AF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vMerge w:val="continue"/>
            <w:shd w:val="clear" w:color="auto" w:fill="auto"/>
            <w:tcMar>
              <w:top w:w="0" w:type="dxa"/>
              <w:left w:w="105" w:type="dxa"/>
              <w:bottom w:w="0" w:type="dxa"/>
              <w:right w:w="105" w:type="dxa"/>
            </w:tcMar>
            <w:vAlign w:val="center"/>
          </w:tcPr>
          <w:p w14:paraId="450A8A58">
            <w:pPr>
              <w:rPr>
                <w:rFonts w:hint="eastAsia" w:ascii="宋体" w:hAnsi="宋体" w:eastAsia="宋体" w:cs="宋体"/>
                <w:color w:val="auto"/>
                <w:sz w:val="24"/>
                <w:szCs w:val="24"/>
                <w:highlight w:val="none"/>
              </w:rPr>
            </w:pPr>
          </w:p>
        </w:tc>
        <w:tc>
          <w:tcPr>
            <w:tcW w:w="846" w:type="dxa"/>
            <w:shd w:val="clear" w:color="auto" w:fill="auto"/>
            <w:tcMar>
              <w:top w:w="0" w:type="dxa"/>
              <w:left w:w="105" w:type="dxa"/>
              <w:bottom w:w="0" w:type="dxa"/>
              <w:right w:w="105" w:type="dxa"/>
            </w:tcMar>
            <w:vAlign w:val="center"/>
          </w:tcPr>
          <w:p w14:paraId="46A4B380">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2897" w:type="dxa"/>
            <w:shd w:val="clear" w:color="auto" w:fill="auto"/>
            <w:tcMar>
              <w:top w:w="0" w:type="dxa"/>
              <w:left w:w="105" w:type="dxa"/>
              <w:bottom w:w="0" w:type="dxa"/>
              <w:right w:w="105" w:type="dxa"/>
            </w:tcMar>
            <w:vAlign w:val="top"/>
          </w:tcPr>
          <w:p w14:paraId="69788A95">
            <w:pPr>
              <w:keepNext w:val="0"/>
              <w:keepLines w:val="0"/>
              <w:widowControl/>
              <w:suppressLineNumbers w:val="0"/>
              <w:jc w:val="left"/>
              <w:rPr>
                <w:rFonts w:hint="eastAsia" w:ascii="宋体" w:hAnsi="宋体" w:eastAsia="宋体" w:cs="宋体"/>
                <w:color w:val="auto"/>
                <w:highlight w:val="none"/>
              </w:rPr>
            </w:pPr>
          </w:p>
        </w:tc>
        <w:tc>
          <w:tcPr>
            <w:tcW w:w="1804" w:type="dxa"/>
            <w:shd w:val="clear" w:color="auto" w:fill="auto"/>
            <w:tcMar>
              <w:top w:w="0" w:type="dxa"/>
              <w:left w:w="105" w:type="dxa"/>
              <w:bottom w:w="0" w:type="dxa"/>
              <w:right w:w="105" w:type="dxa"/>
            </w:tcMar>
            <w:vAlign w:val="top"/>
          </w:tcPr>
          <w:p w14:paraId="4876A3EE">
            <w:pPr>
              <w:keepNext w:val="0"/>
              <w:keepLines w:val="0"/>
              <w:widowControl/>
              <w:suppressLineNumbers w:val="0"/>
              <w:jc w:val="left"/>
              <w:rPr>
                <w:rFonts w:hint="eastAsia" w:ascii="宋体" w:hAnsi="宋体" w:eastAsia="宋体" w:cs="宋体"/>
                <w:color w:val="auto"/>
                <w:highlight w:val="none"/>
              </w:rPr>
            </w:pPr>
          </w:p>
        </w:tc>
        <w:tc>
          <w:tcPr>
            <w:tcW w:w="1848" w:type="dxa"/>
            <w:shd w:val="clear" w:color="auto" w:fill="auto"/>
            <w:tcMar>
              <w:top w:w="0" w:type="dxa"/>
              <w:left w:w="105" w:type="dxa"/>
              <w:bottom w:w="0" w:type="dxa"/>
              <w:right w:w="105" w:type="dxa"/>
            </w:tcMar>
            <w:vAlign w:val="top"/>
          </w:tcPr>
          <w:p w14:paraId="61FD0419">
            <w:pPr>
              <w:keepNext w:val="0"/>
              <w:keepLines w:val="0"/>
              <w:widowControl/>
              <w:suppressLineNumbers w:val="0"/>
              <w:jc w:val="left"/>
              <w:rPr>
                <w:rFonts w:hint="eastAsia" w:ascii="宋体" w:hAnsi="宋体" w:eastAsia="宋体" w:cs="宋体"/>
                <w:color w:val="auto"/>
                <w:highlight w:val="none"/>
              </w:rPr>
            </w:pPr>
          </w:p>
        </w:tc>
      </w:tr>
      <w:tr w14:paraId="4895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5" w:type="dxa"/>
            <w:shd w:val="clear" w:color="auto" w:fill="auto"/>
            <w:tcMar>
              <w:top w:w="0" w:type="dxa"/>
              <w:left w:w="105" w:type="dxa"/>
              <w:bottom w:w="0" w:type="dxa"/>
              <w:right w:w="105" w:type="dxa"/>
            </w:tcMar>
            <w:vAlign w:val="center"/>
          </w:tcPr>
          <w:p w14:paraId="4041CDFC">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p>
        </w:tc>
        <w:tc>
          <w:tcPr>
            <w:tcW w:w="846" w:type="dxa"/>
            <w:shd w:val="clear" w:color="auto" w:fill="auto"/>
            <w:tcMar>
              <w:top w:w="0" w:type="dxa"/>
              <w:left w:w="105" w:type="dxa"/>
              <w:bottom w:w="0" w:type="dxa"/>
              <w:right w:w="105" w:type="dxa"/>
            </w:tcMar>
            <w:vAlign w:val="center"/>
          </w:tcPr>
          <w:p w14:paraId="0EAB8CD7">
            <w:pPr>
              <w:keepNext w:val="0"/>
              <w:keepLines w:val="0"/>
              <w:widowControl/>
              <w:suppressLineNumbers w:val="0"/>
              <w:jc w:val="left"/>
              <w:rPr>
                <w:rFonts w:hint="eastAsia" w:ascii="宋体" w:hAnsi="宋体" w:eastAsia="宋体" w:cs="宋体"/>
                <w:color w:val="auto"/>
                <w:highlight w:val="none"/>
              </w:rPr>
            </w:pPr>
          </w:p>
        </w:tc>
        <w:tc>
          <w:tcPr>
            <w:tcW w:w="2897" w:type="dxa"/>
            <w:shd w:val="clear" w:color="auto" w:fill="auto"/>
            <w:tcMar>
              <w:top w:w="0" w:type="dxa"/>
              <w:left w:w="105" w:type="dxa"/>
              <w:bottom w:w="0" w:type="dxa"/>
              <w:right w:w="105" w:type="dxa"/>
            </w:tcMar>
            <w:vAlign w:val="center"/>
          </w:tcPr>
          <w:p w14:paraId="2F90AAB4">
            <w:pPr>
              <w:keepNext w:val="0"/>
              <w:keepLines w:val="0"/>
              <w:widowControl/>
              <w:suppressLineNumbers w:val="0"/>
              <w:jc w:val="left"/>
              <w:rPr>
                <w:rFonts w:hint="eastAsia" w:ascii="宋体" w:hAnsi="宋体" w:eastAsia="宋体" w:cs="宋体"/>
                <w:color w:val="auto"/>
                <w:highlight w:val="none"/>
              </w:rPr>
            </w:pPr>
          </w:p>
        </w:tc>
        <w:tc>
          <w:tcPr>
            <w:tcW w:w="1804" w:type="dxa"/>
            <w:shd w:val="clear" w:color="auto" w:fill="auto"/>
            <w:tcMar>
              <w:top w:w="0" w:type="dxa"/>
              <w:left w:w="105" w:type="dxa"/>
              <w:bottom w:w="0" w:type="dxa"/>
              <w:right w:w="105" w:type="dxa"/>
            </w:tcMar>
            <w:vAlign w:val="center"/>
          </w:tcPr>
          <w:p w14:paraId="5B0CB82B">
            <w:pPr>
              <w:keepNext w:val="0"/>
              <w:keepLines w:val="0"/>
              <w:widowControl/>
              <w:suppressLineNumbers w:val="0"/>
              <w:jc w:val="left"/>
              <w:rPr>
                <w:rFonts w:hint="eastAsia" w:ascii="宋体" w:hAnsi="宋体" w:eastAsia="宋体" w:cs="宋体"/>
                <w:color w:val="auto"/>
                <w:highlight w:val="none"/>
              </w:rPr>
            </w:pPr>
          </w:p>
        </w:tc>
        <w:tc>
          <w:tcPr>
            <w:tcW w:w="1848" w:type="dxa"/>
            <w:shd w:val="clear" w:color="auto" w:fill="auto"/>
            <w:tcMar>
              <w:top w:w="0" w:type="dxa"/>
              <w:left w:w="105" w:type="dxa"/>
              <w:bottom w:w="0" w:type="dxa"/>
              <w:right w:w="105" w:type="dxa"/>
            </w:tcMar>
            <w:vAlign w:val="center"/>
          </w:tcPr>
          <w:p w14:paraId="5FBC5339">
            <w:pPr>
              <w:keepNext w:val="0"/>
              <w:keepLines w:val="0"/>
              <w:widowControl/>
              <w:suppressLineNumbers w:val="0"/>
              <w:jc w:val="left"/>
              <w:rPr>
                <w:rFonts w:hint="eastAsia" w:ascii="宋体" w:hAnsi="宋体" w:eastAsia="宋体" w:cs="宋体"/>
                <w:color w:val="auto"/>
                <w:highlight w:val="none"/>
              </w:rPr>
            </w:pPr>
          </w:p>
        </w:tc>
      </w:tr>
    </w:tbl>
    <w:p w14:paraId="52E30237">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※注意：</w:t>
      </w:r>
    </w:p>
    <w:p w14:paraId="7E4AB4DD">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1、本表应按照下列规定填写：</w:t>
      </w:r>
    </w:p>
    <w:p w14:paraId="0C21F705">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1.1“商务条件”项下填写的内容应与招标文件第五章“商务条件”的内容保持一致。</w:t>
      </w:r>
    </w:p>
    <w:p w14:paraId="17D285D3">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1.2“投标响应”项下应填写具体的响应内容并与“商务条件”项下填写的内容逐项对应；对“商务条件”项下涉及“≥或＞”、“≤或＜”及某个区间值范围内的内容，应填写具体的数值。</w:t>
      </w:r>
    </w:p>
    <w:p w14:paraId="6F0F82F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1.3“是否偏离及说明”项下应按下列规定填写：优于的，填写“正偏离”；符合的，填写“无偏离”；低于的，填写“负偏离”。</w:t>
      </w:r>
    </w:p>
    <w:p w14:paraId="5DD2B66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2、投标人需要说明的内容若需特殊表达，应先在本表中进行相应说明，再另页应答，但应做好标注说明，方便评委查阅评审。未标注说明可能导致的不利的评审后果由投标人自行承担。</w:t>
      </w:r>
    </w:p>
    <w:p w14:paraId="55DF6931">
      <w:pPr>
        <w:pStyle w:val="14"/>
        <w:keepNext w:val="0"/>
        <w:keepLines w:val="0"/>
        <w:widowControl/>
        <w:suppressLineNumbers w:val="0"/>
        <w:rPr>
          <w:rFonts w:hint="eastAsia" w:ascii="宋体" w:hAnsi="宋体" w:eastAsia="宋体" w:cs="宋体"/>
          <w:color w:val="auto"/>
          <w:highlight w:val="none"/>
        </w:rPr>
      </w:pPr>
    </w:p>
    <w:p w14:paraId="0B60BE3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u w:val="single"/>
        </w:rPr>
        <w:t>（全称并加盖单位公章）</w:t>
      </w:r>
    </w:p>
    <w:p w14:paraId="36FD6D6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日</w:t>
      </w:r>
    </w:p>
    <w:p w14:paraId="3393979C">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9658A71">
      <w:pPr>
        <w:pStyle w:val="14"/>
        <w:keepNext w:val="0"/>
        <w:keepLines w:val="0"/>
        <w:widowControl/>
        <w:suppressLineNumbers w:val="0"/>
        <w:spacing w:after="240" w:afterAutospacing="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r>
        <w:rPr>
          <w:rFonts w:hint="eastAsia" w:ascii="宋体" w:hAnsi="宋体" w:eastAsia="宋体" w:cs="宋体"/>
          <w:color w:val="auto"/>
          <w:sz w:val="21"/>
          <w:szCs w:val="21"/>
          <w:highlight w:val="none"/>
        </w:rPr>
        <w:br w:type="textWrapping"/>
      </w:r>
    </w:p>
    <w:p w14:paraId="72AA8D43">
      <w:pPr>
        <w:rPr>
          <w:rStyle w:val="17"/>
          <w:rFonts w:hint="eastAsia" w:ascii="宋体" w:hAnsi="宋体" w:eastAsia="宋体" w:cs="宋体"/>
          <w:color w:val="auto"/>
          <w:sz w:val="21"/>
          <w:szCs w:val="21"/>
          <w:highlight w:val="none"/>
        </w:rPr>
      </w:pPr>
      <w:r>
        <w:rPr>
          <w:rStyle w:val="17"/>
          <w:rFonts w:hint="eastAsia" w:ascii="宋体" w:hAnsi="宋体" w:eastAsia="宋体" w:cs="宋体"/>
          <w:color w:val="auto"/>
          <w:sz w:val="21"/>
          <w:szCs w:val="21"/>
          <w:highlight w:val="none"/>
        </w:rPr>
        <w:br w:type="page"/>
      </w:r>
    </w:p>
    <w:p w14:paraId="410234B4">
      <w:pPr>
        <w:pStyle w:val="14"/>
        <w:keepNext w:val="0"/>
        <w:keepLines w:val="0"/>
        <w:widowControl/>
        <w:suppressLineNumbers w:val="0"/>
        <w:jc w:val="center"/>
        <w:outlineLvl w:val="2"/>
        <w:rPr>
          <w:rFonts w:hint="eastAsia" w:ascii="宋体" w:hAnsi="宋体" w:eastAsia="宋体" w:cs="宋体"/>
          <w:color w:val="auto"/>
          <w:highlight w:val="none"/>
        </w:rPr>
      </w:pPr>
      <w:r>
        <w:rPr>
          <w:rStyle w:val="17"/>
          <w:rFonts w:hint="eastAsia" w:ascii="宋体" w:hAnsi="宋体" w:eastAsia="宋体" w:cs="宋体"/>
          <w:color w:val="auto"/>
          <w:sz w:val="21"/>
          <w:szCs w:val="21"/>
          <w:highlight w:val="none"/>
        </w:rPr>
        <w:t>四、投标人提交的其他资料（若有）</w:t>
      </w:r>
    </w:p>
    <w:p w14:paraId="32DE221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B1B095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11E20681">
      <w:pPr>
        <w:pStyle w:val="14"/>
        <w:keepNext w:val="0"/>
        <w:keepLines w:val="0"/>
        <w:widowControl/>
        <w:suppressLineNumbers w:val="0"/>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编制说明</w:t>
      </w:r>
    </w:p>
    <w:p w14:paraId="6750A7A4">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545AB8EA">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1、招标文件要求提交的除</w:t>
      </w:r>
      <w:r>
        <w:rPr>
          <w:rStyle w:val="17"/>
          <w:rFonts w:hint="eastAsia" w:ascii="宋体" w:hAnsi="宋体" w:eastAsia="宋体" w:cs="宋体"/>
          <w:color w:val="auto"/>
          <w:sz w:val="21"/>
          <w:szCs w:val="21"/>
          <w:highlight w:val="none"/>
        </w:rPr>
        <w:t>“资格及资信证明部分”、“报价部分”</w:t>
      </w:r>
      <w:r>
        <w:rPr>
          <w:rFonts w:hint="eastAsia" w:ascii="宋体" w:hAnsi="宋体" w:eastAsia="宋体" w:cs="宋体"/>
          <w:color w:val="auto"/>
          <w:sz w:val="21"/>
          <w:szCs w:val="21"/>
          <w:highlight w:val="none"/>
        </w:rPr>
        <w:t>外的其他证明材料或资料加盖投标人的单位公章后应在此项下提交。</w:t>
      </w:r>
    </w:p>
    <w:p w14:paraId="3AF264C1">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2、招标文件要求投标人提供方案（包括但不限于：组织、实施、技术、服务方案等）的，投标人应在此项下提交。</w:t>
      </w:r>
    </w:p>
    <w:p w14:paraId="300D9CFB">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3、除招标文件另有规定外，投标人认为需要提交的其他证明材料或资料加盖投标人的单位公章后应在此项下提交。</w:t>
      </w:r>
    </w:p>
    <w:p w14:paraId="20A43596">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2E47510">
      <w:pPr>
        <w:pStyle w:val="14"/>
        <w:keepNext w:val="0"/>
        <w:keepLines w:val="0"/>
        <w:widowControl/>
        <w:suppressLineNumbers w:val="0"/>
        <w:rPr>
          <w:rFonts w:hint="eastAsia" w:ascii="宋体" w:hAnsi="宋体" w:eastAsia="宋体" w:cs="宋体"/>
          <w:color w:val="auto"/>
          <w:highlight w:val="none"/>
        </w:rPr>
      </w:pPr>
      <w:r>
        <w:rPr>
          <w:rFonts w:hint="eastAsia" w:ascii="宋体" w:hAnsi="宋体" w:eastAsia="宋体" w:cs="宋体"/>
          <w:color w:val="auto"/>
          <w:sz w:val="21"/>
          <w:szCs w:val="21"/>
          <w:highlight w:val="none"/>
        </w:rPr>
        <w:t> </w:t>
      </w:r>
    </w:p>
    <w:p w14:paraId="046267DD">
      <w:pPr>
        <w:pStyle w:val="14"/>
        <w:keepNext w:val="0"/>
        <w:keepLines w:val="0"/>
        <w:widowControl/>
        <w:suppressLineNumbers w:val="0"/>
        <w:spacing w:before="75" w:beforeAutospacing="0" w:after="75" w:afterAutospacing="0"/>
        <w:ind w:left="0" w:right="0" w:firstLine="0"/>
        <w:rPr>
          <w:rFonts w:hint="eastAsia" w:ascii="宋体" w:hAnsi="宋体" w:eastAsia="宋体" w:cs="宋体"/>
          <w:color w:val="auto"/>
          <w:highlight w:val="none"/>
        </w:rPr>
      </w:pPr>
      <w:r>
        <w:rPr>
          <w:rFonts w:hint="eastAsia" w:ascii="宋体" w:hAnsi="宋体" w:eastAsia="宋体" w:cs="宋体"/>
          <w:color w:val="auto"/>
          <w:spacing w:val="0"/>
          <w:sz w:val="21"/>
          <w:szCs w:val="21"/>
          <w:highlight w:val="none"/>
        </w:rPr>
        <w:t> </w:t>
      </w:r>
    </w:p>
    <w:p w14:paraId="51314F70">
      <w:pPr>
        <w:keepNext w:val="0"/>
        <w:keepLines w:val="0"/>
        <w:widowControl/>
        <w:suppressLineNumbers w:val="0"/>
        <w:ind w:left="0" w:firstLine="0"/>
        <w:outlineLvl w:val="9"/>
        <w:rPr>
          <w:rFonts w:hint="eastAsia" w:ascii="宋体" w:hAnsi="宋体" w:eastAsia="宋体" w:cs="宋体"/>
          <w:i w:val="0"/>
          <w:iCs w:val="0"/>
          <w:caps w:val="0"/>
          <w:color w:val="auto"/>
          <w:spacing w:val="0"/>
          <w:highlight w:val="none"/>
        </w:rPr>
      </w:pPr>
      <w:r>
        <w:rPr>
          <w:rFonts w:hint="eastAsia" w:ascii="宋体" w:hAnsi="宋体" w:eastAsia="宋体" w:cs="宋体"/>
          <w:i w:val="0"/>
          <w:iCs w:val="0"/>
          <w:caps w:val="0"/>
          <w:color w:val="auto"/>
          <w:spacing w:val="0"/>
          <w:highlight w:val="none"/>
        </w:rPr>
        <w:t>采购文件相关附件</w:t>
      </w:r>
    </w:p>
    <w:p w14:paraId="1DCCACF5">
      <w:pPr>
        <w:rPr>
          <w:rFonts w:hint="eastAsia" w:ascii="宋体" w:hAnsi="宋体" w:eastAsia="宋体" w:cs="宋体"/>
          <w:color w:val="auto"/>
          <w:highlight w:val="none"/>
        </w:rPr>
      </w:pPr>
    </w:p>
    <w:sectPr>
      <w:pgSz w:w="11906" w:h="16838"/>
      <w:pgMar w:top="1440" w:right="1800" w:bottom="1440" w:left="1800"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D50FA">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0AB9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5400AB9A">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3D0758"/>
    <w:multiLevelType w:val="singleLevel"/>
    <w:tmpl w:val="A63D0758"/>
    <w:lvl w:ilvl="0" w:tentative="0">
      <w:start w:val="10"/>
      <w:numFmt w:val="decimal"/>
      <w:suff w:val="nothing"/>
      <w:lvlText w:val="%1、"/>
      <w:lvlJc w:val="left"/>
    </w:lvl>
  </w:abstractNum>
  <w:abstractNum w:abstractNumId="1">
    <w:nsid w:val="D6CD3130"/>
    <w:multiLevelType w:val="multilevel"/>
    <w:tmpl w:val="D6CD3130"/>
    <w:lvl w:ilvl="0" w:tentative="0">
      <w:start w:val="1"/>
      <w:numFmt w:val="decimal"/>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isLgl/>
      <w:suff w:val="space"/>
      <w:lvlText w:val="%1.%2.%3"/>
      <w:lvlJc w:val="left"/>
      <w:pPr>
        <w:ind w:left="0" w:firstLine="0"/>
      </w:pPr>
      <w:rPr>
        <w:rFonts w:hint="default"/>
        <w:b w:val="0"/>
        <w:bCs w:val="0"/>
        <w:i w:val="0"/>
        <w:iCs w:val="0"/>
        <w:caps w:val="0"/>
        <w:smallCaps w:val="0"/>
        <w:strike w:val="0"/>
        <w:dstrike w:val="0"/>
        <w:vanish w:val="0"/>
        <w:color w:val="000000"/>
        <w:spacing w:val="0"/>
        <w:kern w:val="0"/>
        <w:position w:val="0"/>
        <w:sz w:val="32"/>
        <w:szCs w:val="32"/>
        <w:u w:val="none"/>
        <w:vertAlign w:val="baseline"/>
        <w:lang w:bidi="zh-CN"/>
      </w:rPr>
    </w:lvl>
    <w:lvl w:ilvl="3" w:tentative="0">
      <w:start w:val="1"/>
      <w:numFmt w:val="decimal"/>
      <w:isLgl/>
      <w:suff w:val="space"/>
      <w:lvlText w:val="%1.%2.%3.%4"/>
      <w:lvlJc w:val="left"/>
      <w:pPr>
        <w:ind w:left="0" w:firstLine="0"/>
      </w:pPr>
      <w:rPr>
        <w:rFonts w:hint="default"/>
        <w:b w:val="0"/>
        <w:bCs w:val="0"/>
        <w:i w:val="0"/>
        <w:iCs w:val="0"/>
        <w:caps w:val="0"/>
        <w:smallCaps w:val="0"/>
        <w:strike w:val="0"/>
        <w:dstrike w:val="0"/>
        <w:vanish w:val="0"/>
        <w:color w:val="000000"/>
        <w:spacing w:val="0"/>
        <w:position w:val="0"/>
        <w:sz w:val="30"/>
        <w:szCs w:val="30"/>
        <w:u w:val="none"/>
        <w:vertAlign w:val="baseline"/>
        <w:lang w:bidi="zh-CN"/>
      </w:rPr>
    </w:lvl>
    <w:lvl w:ilvl="4" w:tentative="0">
      <w:start w:val="1"/>
      <w:numFmt w:val="decimal"/>
      <w:isLgl/>
      <w:suff w:val="space"/>
      <w:lvlText w:val="%1.%2.%3.%4.%5"/>
      <w:lvlJc w:val="left"/>
      <w:pPr>
        <w:ind w:left="0" w:firstLine="0"/>
      </w:pPr>
      <w:rPr>
        <w:rFonts w:hint="default"/>
        <w:b/>
        <w:bCs/>
        <w:i w:val="0"/>
        <w:iCs w:val="0"/>
        <w:caps w:val="0"/>
        <w:smallCaps w:val="0"/>
        <w:strike w:val="0"/>
        <w:dstrike w:val="0"/>
        <w:vanish w:val="0"/>
        <w:color w:val="000000"/>
        <w:spacing w:val="0"/>
        <w:position w:val="0"/>
        <w:u w:val="none"/>
        <w:vertAlign w:val="baseline"/>
        <w:lang w:bidi="zh-CN"/>
      </w:rPr>
    </w:lvl>
    <w:lvl w:ilvl="5" w:tentative="0">
      <w:start w:val="1"/>
      <w:numFmt w:val="decimal"/>
      <w:isLgl/>
      <w:suff w:val="space"/>
      <w:lvlText w:val="%1.%2.%3.%4.%5.%6"/>
      <w:lvlJc w:val="left"/>
      <w:pPr>
        <w:ind w:left="0" w:firstLine="0"/>
      </w:pPr>
      <w:rPr>
        <w:rFonts w:hint="default" w:ascii="宋体" w:hAnsi="宋体" w:eastAsia="宋体"/>
        <w:b w:val="0"/>
        <w:bCs w:val="0"/>
        <w:i w:val="0"/>
        <w:iCs w:val="0"/>
        <w:caps w:val="0"/>
        <w:smallCaps w:val="0"/>
        <w:strike w:val="0"/>
        <w:dstrike w:val="0"/>
        <w:vanish w:val="0"/>
        <w:color w:val="000000"/>
        <w:spacing w:val="0"/>
        <w:position w:val="0"/>
        <w:u w:val="none"/>
        <w:vertAlign w:val="baseline"/>
        <w:lang w:bidi="zh-CN"/>
      </w:rPr>
    </w:lvl>
    <w:lvl w:ilvl="6" w:tentative="0">
      <w:start w:val="1"/>
      <w:numFmt w:val="decimal"/>
      <w:pStyle w:val="4"/>
      <w:isLgl/>
      <w:suff w:val="space"/>
      <w:lvlText w:val="%1.%2.%3.%4.%5.%6.%7"/>
      <w:lvlJc w:val="left"/>
      <w:rPr>
        <w:rFonts w:hint="default"/>
        <w:b w:val="0"/>
        <w:bCs w:val="0"/>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7" w:tentative="0">
      <w:start w:val="1"/>
      <w:numFmt w:val="decimal"/>
      <w:isLgl/>
      <w:suff w:val="space"/>
      <w:lvlText w:val="%1.%2.%3.%4.%5.%6.%7.%8"/>
      <w:lvlJc w:val="left"/>
      <w:pPr>
        <w:ind w:left="0" w:firstLine="0"/>
      </w:pPr>
      <w:rPr>
        <w:rFonts w:hint="eastAsia"/>
        <w:b w:val="0"/>
        <w:bCs w:val="0"/>
        <w:i w:val="0"/>
        <w:iCs w:val="0"/>
        <w:caps w:val="0"/>
        <w:smallCaps w:val="0"/>
        <w:strike w:val="0"/>
        <w:dstrike w:val="0"/>
        <w:vanish w:val="0"/>
        <w:color w:val="000000"/>
        <w:spacing w:val="0"/>
        <w:position w:val="0"/>
        <w:u w:val="none"/>
        <w:vertAlign w:val="baseline"/>
      </w:rPr>
    </w:lvl>
    <w:lvl w:ilvl="8" w:tentative="0">
      <w:start w:val="1"/>
      <w:numFmt w:val="decimal"/>
      <w:isLgl/>
      <w:suff w:val="space"/>
      <w:lvlText w:val="%1.%2.%3.%4.%5.%6.%7.%8.%9"/>
      <w:lvlJc w:val="left"/>
      <w:pPr>
        <w:ind w:left="0" w:firstLine="0"/>
      </w:pPr>
      <w:rPr>
        <w:rFonts w:hint="eastAsia"/>
      </w:rPr>
    </w:lvl>
  </w:abstractNum>
  <w:abstractNum w:abstractNumId="2">
    <w:nsid w:val="32C7403F"/>
    <w:multiLevelType w:val="multilevel"/>
    <w:tmpl w:val="32C7403F"/>
    <w:lvl w:ilvl="0" w:tentative="0">
      <w:start w:val="1"/>
      <w:numFmt w:val="decimal"/>
      <w:lvlText w:val="第%1章."/>
      <w:lvlJc w:val="left"/>
      <w:pPr>
        <w:ind w:left="420" w:hanging="420"/>
      </w:pPr>
      <w:rPr>
        <w:rFonts w:hint="eastAsia"/>
      </w:rPr>
    </w:lvl>
    <w:lvl w:ilvl="1" w:tentative="0">
      <w:start w:val="1"/>
      <w:numFmt w:val="decimal"/>
      <w:pStyle w:val="3"/>
      <w:isLgl/>
      <w:lvlText w:val="%1.%2"/>
      <w:lvlJc w:val="left"/>
      <w:pPr>
        <w:ind w:left="1050" w:hanging="576"/>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2" w:hanging="1152"/>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kMmNkMzFlZmM3YjVlNzg5NDQzOTA0NGE0ZGUyYzIifQ=="/>
  </w:docVars>
  <w:rsids>
    <w:rsidRoot w:val="00000000"/>
    <w:rsid w:val="00D663D2"/>
    <w:rsid w:val="029735E3"/>
    <w:rsid w:val="0DF32C8E"/>
    <w:rsid w:val="0EDB4997"/>
    <w:rsid w:val="0F4A3C2D"/>
    <w:rsid w:val="0FBC287A"/>
    <w:rsid w:val="10D63915"/>
    <w:rsid w:val="12321A89"/>
    <w:rsid w:val="130D5F9F"/>
    <w:rsid w:val="14A86584"/>
    <w:rsid w:val="150732F7"/>
    <w:rsid w:val="247052C5"/>
    <w:rsid w:val="271C1365"/>
    <w:rsid w:val="2BDC2BE4"/>
    <w:rsid w:val="2C3E1B13"/>
    <w:rsid w:val="2FF4117D"/>
    <w:rsid w:val="30355B19"/>
    <w:rsid w:val="33C86D70"/>
    <w:rsid w:val="343F7FF0"/>
    <w:rsid w:val="38915FC9"/>
    <w:rsid w:val="393F2B3E"/>
    <w:rsid w:val="463777FA"/>
    <w:rsid w:val="47CB08C4"/>
    <w:rsid w:val="4B0629F7"/>
    <w:rsid w:val="4BFF5C1C"/>
    <w:rsid w:val="51B92A85"/>
    <w:rsid w:val="569C1791"/>
    <w:rsid w:val="57BC6EA5"/>
    <w:rsid w:val="5F4B07FF"/>
    <w:rsid w:val="5F53298F"/>
    <w:rsid w:val="60795D1B"/>
    <w:rsid w:val="63147D74"/>
    <w:rsid w:val="63FF3289"/>
    <w:rsid w:val="665F3F0F"/>
    <w:rsid w:val="6A9F596E"/>
    <w:rsid w:val="777436AA"/>
    <w:rsid w:val="77C70AAF"/>
    <w:rsid w:val="79762B77"/>
    <w:rsid w:val="7DE848C7"/>
    <w:rsid w:val="BBFC5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4"/>
    <w:next w:val="1"/>
    <w:unhideWhenUsed/>
    <w:qFormat/>
    <w:uiPriority w:val="0"/>
    <w:pPr>
      <w:keepNext/>
      <w:keepLines/>
      <w:numPr>
        <w:ilvl w:val="1"/>
        <w:numId w:val="1"/>
      </w:numPr>
      <w:spacing w:before="240" w:after="240"/>
      <w:ind w:firstLine="0"/>
      <w:outlineLvl w:val="1"/>
    </w:pPr>
    <w:rPr>
      <w:rFonts w:ascii="黑体" w:hAnsi="黑体" w:eastAsia="黑体" w:cs="Times New Roman"/>
      <w:b/>
      <w:bCs/>
      <w:sz w:val="30"/>
      <w:szCs w:val="30"/>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7">
    <w:name w:val="heading 5"/>
    <w:basedOn w:val="1"/>
    <w:next w:val="1"/>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8">
    <w:name w:val="heading 6"/>
    <w:basedOn w:val="1"/>
    <w:next w:val="1"/>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paragraph" w:styleId="4">
    <w:name w:val="heading 7"/>
    <w:basedOn w:val="1"/>
    <w:next w:val="1"/>
    <w:unhideWhenUsed/>
    <w:qFormat/>
    <w:uiPriority w:val="9"/>
    <w:pPr>
      <w:keepNext/>
      <w:keepLines/>
      <w:numPr>
        <w:ilvl w:val="6"/>
        <w:numId w:val="2"/>
      </w:numPr>
      <w:spacing w:before="240" w:after="64" w:line="360" w:lineRule="auto"/>
      <w:outlineLvl w:val="6"/>
    </w:pPr>
    <w:rPr>
      <w:rFonts w:ascii="宋体" w:hAnsi="宋体" w:eastAsia="宋体" w:cs="宋体"/>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9">
    <w:name w:val="annotation text"/>
    <w:basedOn w:val="1"/>
    <w:qFormat/>
    <w:uiPriority w:val="0"/>
    <w:pPr>
      <w:jc w:val="left"/>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Strong"/>
    <w:basedOn w:val="16"/>
    <w:qFormat/>
    <w:uiPriority w:val="0"/>
    <w:rPr>
      <w:b/>
    </w:rPr>
  </w:style>
  <w:style w:type="paragraph" w:customStyle="1" w:styleId="18">
    <w:name w:val="FC正文"/>
    <w:basedOn w:val="1"/>
    <w:qFormat/>
    <w:uiPriority w:val="0"/>
    <w:pPr>
      <w:snapToGrid w:val="0"/>
      <w:spacing w:before="50" w:beforeLines="50" w:after="50" w:afterLines="50"/>
      <w:contextualSpacing/>
    </w:pPr>
    <w:rPr>
      <w:rFonts w:ascii="宋体" w:hAnsi="宋体" w:eastAsia="宋体"/>
      <w:szCs w:val="21"/>
    </w:rPr>
  </w:style>
  <w:style w:type="paragraph" w:customStyle="1" w:styleId="19">
    <w:name w:val="！正文"/>
    <w:basedOn w:val="1"/>
    <w:qFormat/>
    <w:uiPriority w:val="0"/>
    <w:rPr>
      <w:szCs w:val="24"/>
    </w:rPr>
  </w:style>
  <w:style w:type="character" w:customStyle="1" w:styleId="20">
    <w:name w:val="font21"/>
    <w:basedOn w:val="16"/>
    <w:qFormat/>
    <w:uiPriority w:val="0"/>
    <w:rPr>
      <w:rFonts w:hint="eastAsia" w:ascii="宋体" w:hAnsi="宋体" w:eastAsia="宋体" w:cs="宋体"/>
      <w:color w:val="000000"/>
      <w:sz w:val="21"/>
      <w:szCs w:val="21"/>
      <w:u w:val="none"/>
    </w:rPr>
  </w:style>
  <w:style w:type="character" w:customStyle="1" w:styleId="21">
    <w:name w:val="font11"/>
    <w:basedOn w:val="16"/>
    <w:qFormat/>
    <w:uiPriority w:val="0"/>
    <w:rPr>
      <w:rFonts w:hint="eastAsia" w:ascii="宋体" w:hAnsi="宋体" w:eastAsia="宋体" w:cs="宋体"/>
      <w:color w:val="000000"/>
      <w:sz w:val="24"/>
      <w:szCs w:val="24"/>
      <w:u w:val="none"/>
    </w:rPr>
  </w:style>
  <w:style w:type="character" w:customStyle="1" w:styleId="22">
    <w:name w:val="active"/>
    <w:basedOn w:val="16"/>
    <w:qFormat/>
    <w:uiPriority w:val="0"/>
    <w:rPr>
      <w:shd w:val="clear" w:fill="EC3535"/>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222</Pages>
  <Words>22089</Words>
  <Characters>23000</Characters>
  <Lines>0</Lines>
  <Paragraphs>0</Paragraphs>
  <TotalTime>2</TotalTime>
  <ScaleCrop>false</ScaleCrop>
  <LinksUpToDate>false</LinksUpToDate>
  <CharactersWithSpaces>23199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2022-04-21T16:42:00Z</dcterms:created>
  <dc:creator>LT</dc:creator>
  <cp:lastModifiedBy>去吧！打火鸡</cp:lastModifiedBy>
  <cp:lastPrinted>2022-07-19T10:13:00Z</cp:lastPrinted>
  <dcterms:modified xsi:type="dcterms:W3CDTF">2026-05-06T09:22:22Z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B496D6DF931143F897E6553FF660B994</vt:lpwstr>
  </property>
  <property fmtid="{D5CDD505-2E9C-101B-9397-08002B2CF9AE}" pid="4" name="commondata">
    <vt:lpwstr>eyJoZGlkIjoiNTc0OWVjNDU1ODJhYTMyMDcxOWJlNTgxYzllYTAzNzgifQ==</vt:lpwstr>
  </property>
  <property fmtid="{D5CDD505-2E9C-101B-9397-08002B2CF9AE}" pid="5" name="KSOTemplateDocerSaveRecord">
    <vt:lpwstr>eyJoZGlkIjoiNWI4Y2I1YjFkZmMyZjY0MWI3YjRmYTBmNDFhM2RkNzciLCJ1c2VySWQiOiIzNTE1NDUyMDIifQ==</vt:lpwstr>
  </property>
</Properties>
</file>