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auto"/>
          <w:spacing w:val="0"/>
          <w:sz w:val="27"/>
          <w:szCs w:val="27"/>
          <w:highlight w:val="none"/>
        </w:rPr>
      </w:pPr>
      <w:r>
        <w:rPr>
          <w:rStyle w:val="17"/>
          <w:rFonts w:hint="eastAsia" w:ascii="宋体" w:hAnsi="宋体" w:eastAsia="宋体" w:cs="宋体"/>
          <w:i w:val="0"/>
          <w:iCs w:val="0"/>
          <w:caps w:val="0"/>
          <w:color w:val="auto"/>
          <w:spacing w:val="0"/>
          <w:sz w:val="72"/>
          <w:szCs w:val="72"/>
          <w:highlight w:val="none"/>
        </w:rPr>
        <w:t>福建省政府采购</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auto"/>
          <w:spacing w:val="0"/>
          <w:sz w:val="27"/>
          <w:szCs w:val="27"/>
          <w:highlight w:val="none"/>
        </w:rPr>
      </w:pPr>
      <w:r>
        <w:rPr>
          <w:rStyle w:val="17"/>
          <w:rFonts w:hint="eastAsia" w:ascii="宋体" w:hAnsi="宋体" w:eastAsia="宋体" w:cs="宋体"/>
          <w:i w:val="0"/>
          <w:iCs w:val="0"/>
          <w:caps w:val="0"/>
          <w:color w:val="auto"/>
          <w:spacing w:val="0"/>
          <w:sz w:val="72"/>
          <w:szCs w:val="72"/>
          <w:highlight w:val="none"/>
        </w:rPr>
        <w:t>货物和服务项目</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auto"/>
          <w:spacing w:val="0"/>
          <w:sz w:val="27"/>
          <w:szCs w:val="27"/>
          <w:highlight w:val="none"/>
        </w:rPr>
      </w:pPr>
      <w:r>
        <w:rPr>
          <w:rStyle w:val="17"/>
          <w:rFonts w:hint="eastAsia" w:ascii="宋体" w:hAnsi="宋体" w:eastAsia="宋体" w:cs="宋体"/>
          <w:i w:val="0"/>
          <w:iCs w:val="0"/>
          <w:caps w:val="0"/>
          <w:color w:val="auto"/>
          <w:spacing w:val="0"/>
          <w:sz w:val="72"/>
          <w:szCs w:val="72"/>
          <w:highlight w:val="none"/>
        </w:rPr>
        <w:t>公开招标文件</w:t>
      </w:r>
    </w:p>
    <w:p>
      <w:pPr>
        <w:pStyle w:val="14"/>
        <w:keepNext w:val="0"/>
        <w:keepLines w:val="0"/>
        <w:widowControl/>
        <w:suppressLineNumbers w:val="0"/>
        <w:spacing w:before="75" w:beforeAutospacing="0" w:after="75" w:afterAutospacing="0"/>
        <w:ind w:left="0" w:right="0" w:firstLine="0"/>
        <w:jc w:val="center"/>
        <w:rPr>
          <w:rStyle w:val="17"/>
          <w:rFonts w:hint="eastAsia" w:ascii="宋体" w:hAnsi="宋体" w:eastAsia="宋体" w:cs="宋体"/>
          <w:color w:val="auto"/>
          <w:sz w:val="36"/>
          <w:szCs w:val="36"/>
          <w:highlight w:val="none"/>
          <w:lang w:eastAsia="zh-CN"/>
        </w:rPr>
      </w:pPr>
    </w:p>
    <w:p>
      <w:pPr>
        <w:pStyle w:val="14"/>
        <w:keepNext w:val="0"/>
        <w:keepLines w:val="0"/>
        <w:widowControl/>
        <w:suppressLineNumbers w:val="0"/>
        <w:spacing w:before="75" w:beforeAutospacing="0" w:after="75" w:afterAutospacing="0"/>
        <w:ind w:left="0" w:right="0" w:firstLine="0"/>
        <w:jc w:val="center"/>
        <w:rPr>
          <w:rStyle w:val="17"/>
          <w:rFonts w:hint="eastAsia" w:ascii="宋体" w:hAnsi="宋体" w:eastAsia="宋体" w:cs="宋体"/>
          <w:color w:val="auto"/>
          <w:sz w:val="36"/>
          <w:szCs w:val="36"/>
          <w:highlight w:val="none"/>
          <w:lang w:eastAsia="zh-CN"/>
        </w:rPr>
      </w:pPr>
      <w:r>
        <w:rPr>
          <w:rStyle w:val="17"/>
          <w:rFonts w:hint="eastAsia" w:ascii="宋体" w:hAnsi="宋体" w:eastAsia="宋体" w:cs="宋体"/>
          <w:color w:val="auto"/>
          <w:sz w:val="36"/>
          <w:szCs w:val="36"/>
          <w:highlight w:val="none"/>
          <w:lang w:eastAsia="zh-CN"/>
        </w:rPr>
        <w:t>（</w:t>
      </w:r>
      <w:r>
        <w:rPr>
          <w:rStyle w:val="17"/>
          <w:rFonts w:hint="eastAsia" w:ascii="宋体" w:hAnsi="宋体" w:eastAsia="宋体" w:cs="宋体"/>
          <w:color w:val="auto"/>
          <w:sz w:val="36"/>
          <w:szCs w:val="36"/>
          <w:highlight w:val="none"/>
          <w:lang w:val="en-US" w:eastAsia="zh-CN"/>
        </w:rPr>
        <w:t>预公告版</w:t>
      </w:r>
      <w:r>
        <w:rPr>
          <w:rStyle w:val="17"/>
          <w:rFonts w:hint="eastAsia" w:ascii="宋体" w:hAnsi="宋体" w:eastAsia="宋体" w:cs="宋体"/>
          <w:color w:val="auto"/>
          <w:sz w:val="36"/>
          <w:szCs w:val="36"/>
          <w:highlight w:val="none"/>
          <w:lang w:eastAsia="zh-CN"/>
        </w:rPr>
        <w:t>）</w:t>
      </w:r>
    </w:p>
    <w:p>
      <w:pPr>
        <w:pStyle w:val="14"/>
        <w:keepNext w:val="0"/>
        <w:keepLines w:val="0"/>
        <w:widowControl/>
        <w:suppressLineNumbers w:val="0"/>
        <w:spacing w:before="75" w:beforeAutospacing="0" w:after="75" w:afterAutospacing="0"/>
        <w:ind w:left="0" w:right="0" w:firstLine="0"/>
        <w:rPr>
          <w:rStyle w:val="17"/>
          <w:rFonts w:hint="eastAsia" w:ascii="宋体" w:hAnsi="宋体" w:eastAsia="宋体" w:cs="宋体"/>
          <w:color w:val="auto"/>
          <w:sz w:val="36"/>
          <w:szCs w:val="36"/>
          <w:highlight w:val="none"/>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050"/>
        <w:jc w:val="center"/>
        <w:textAlignment w:val="auto"/>
        <w:rPr>
          <w:rFonts w:hint="eastAsia" w:ascii="宋体" w:hAnsi="宋体" w:eastAsia="宋体" w:cs="宋体"/>
          <w:i w:val="0"/>
          <w:iCs w:val="0"/>
          <w:caps w:val="0"/>
          <w:color w:val="auto"/>
          <w:spacing w:val="0"/>
          <w:sz w:val="27"/>
          <w:szCs w:val="27"/>
          <w:highlight w:val="none"/>
        </w:rPr>
      </w:pPr>
      <w:r>
        <w:rPr>
          <w:rStyle w:val="17"/>
          <w:rFonts w:hint="eastAsia" w:ascii="宋体" w:hAnsi="宋体" w:eastAsia="宋体" w:cs="宋体"/>
          <w:i w:val="0"/>
          <w:iCs w:val="0"/>
          <w:caps w:val="0"/>
          <w:color w:val="auto"/>
          <w:spacing w:val="0"/>
          <w:sz w:val="30"/>
          <w:szCs w:val="30"/>
          <w:highlight w:val="none"/>
        </w:rPr>
        <w:t>项目名称：</w:t>
      </w:r>
      <w:r>
        <w:rPr>
          <w:rFonts w:hint="eastAsia" w:ascii="宋体" w:hAnsi="宋体" w:eastAsia="宋体" w:cs="宋体"/>
          <w:i w:val="0"/>
          <w:iCs w:val="0"/>
          <w:caps w:val="0"/>
          <w:color w:val="auto"/>
          <w:spacing w:val="0"/>
          <w:sz w:val="30"/>
          <w:szCs w:val="30"/>
          <w:highlight w:val="none"/>
        </w:rPr>
        <w:t>福州市城市综合管理服务平台项目建设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i w:val="0"/>
          <w:iCs w:val="0"/>
          <w:caps w:val="0"/>
          <w:color w:val="auto"/>
          <w:spacing w:val="0"/>
          <w:sz w:val="27"/>
          <w:szCs w:val="27"/>
          <w:highlight w:val="none"/>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050"/>
        <w:jc w:val="center"/>
        <w:textAlignment w:val="auto"/>
        <w:rPr>
          <w:rFonts w:hint="eastAsia" w:ascii="宋体" w:hAnsi="宋体" w:eastAsia="宋体" w:cs="宋体"/>
          <w:i w:val="0"/>
          <w:iCs w:val="0"/>
          <w:caps w:val="0"/>
          <w:color w:val="auto"/>
          <w:spacing w:val="0"/>
          <w:sz w:val="27"/>
          <w:szCs w:val="27"/>
          <w:highlight w:val="none"/>
        </w:rPr>
      </w:pPr>
      <w:r>
        <w:rPr>
          <w:rStyle w:val="17"/>
          <w:rFonts w:hint="eastAsia" w:ascii="宋体" w:hAnsi="宋体" w:eastAsia="宋体" w:cs="宋体"/>
          <w:i w:val="0"/>
          <w:iCs w:val="0"/>
          <w:caps w:val="0"/>
          <w:color w:val="auto"/>
          <w:spacing w:val="0"/>
          <w:sz w:val="30"/>
          <w:szCs w:val="30"/>
          <w:highlight w:val="none"/>
        </w:rPr>
        <w:t>备案编号：</w:t>
      </w:r>
      <w:r>
        <w:rPr>
          <w:rFonts w:hint="eastAsia" w:ascii="宋体" w:hAnsi="宋体" w:eastAsia="宋体" w:cs="宋体"/>
          <w:i w:val="0"/>
          <w:iCs w:val="0"/>
          <w:caps w:val="0"/>
          <w:color w:val="auto"/>
          <w:spacing w:val="0"/>
          <w:sz w:val="30"/>
          <w:szCs w:val="30"/>
          <w:highlight w:val="none"/>
        </w:rPr>
        <w:t>A-126-GK-202203-B1022-ZBZX</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i w:val="0"/>
          <w:iCs w:val="0"/>
          <w:caps w:val="0"/>
          <w:color w:val="auto"/>
          <w:spacing w:val="0"/>
          <w:sz w:val="27"/>
          <w:szCs w:val="27"/>
          <w:highlight w:val="none"/>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050"/>
        <w:jc w:val="center"/>
        <w:textAlignment w:val="auto"/>
        <w:rPr>
          <w:rStyle w:val="17"/>
          <w:rFonts w:hint="eastAsia" w:ascii="宋体" w:hAnsi="宋体" w:eastAsia="宋体" w:cs="宋体"/>
          <w:i w:val="0"/>
          <w:iCs w:val="0"/>
          <w:caps w:val="0"/>
          <w:color w:val="auto"/>
          <w:spacing w:val="0"/>
          <w:sz w:val="30"/>
          <w:szCs w:val="30"/>
          <w:highlight w:val="none"/>
          <w:lang w:eastAsia="zh-CN"/>
        </w:rPr>
      </w:pPr>
      <w:r>
        <w:rPr>
          <w:rStyle w:val="17"/>
          <w:rFonts w:hint="eastAsia" w:ascii="宋体" w:hAnsi="宋体" w:eastAsia="宋体" w:cs="宋体"/>
          <w:i w:val="0"/>
          <w:iCs w:val="0"/>
          <w:caps w:val="0"/>
          <w:color w:val="auto"/>
          <w:spacing w:val="0"/>
          <w:sz w:val="30"/>
          <w:szCs w:val="30"/>
          <w:highlight w:val="none"/>
        </w:rPr>
        <w:t>项目编号：</w:t>
      </w:r>
      <w:r>
        <w:rPr>
          <w:rFonts w:hint="eastAsia" w:ascii="宋体" w:hAnsi="宋体" w:eastAsia="宋体" w:cs="宋体"/>
          <w:i w:val="0"/>
          <w:iCs w:val="0"/>
          <w:caps w:val="0"/>
          <w:color w:val="auto"/>
          <w:spacing w:val="0"/>
          <w:sz w:val="30"/>
          <w:szCs w:val="30"/>
          <w:highlight w:val="none"/>
          <w:lang w:eastAsia="zh-CN"/>
        </w:rPr>
        <w:t>[350100]ZBZX[GK]2022002-1</w:t>
      </w:r>
    </w:p>
    <w:p>
      <w:pPr>
        <w:pStyle w:val="14"/>
        <w:keepNext w:val="0"/>
        <w:keepLines w:val="0"/>
        <w:widowControl/>
        <w:suppressLineNumbers w:val="0"/>
        <w:spacing w:before="75" w:beforeAutospacing="0" w:after="75" w:afterAutospacing="0"/>
        <w:ind w:left="0" w:right="0" w:firstLine="1050"/>
        <w:rPr>
          <w:rStyle w:val="17"/>
          <w:rFonts w:hint="eastAsia" w:ascii="宋体" w:hAnsi="宋体" w:eastAsia="宋体" w:cs="宋体"/>
          <w:i w:val="0"/>
          <w:iCs w:val="0"/>
          <w:caps w:val="0"/>
          <w:color w:val="auto"/>
          <w:spacing w:val="0"/>
          <w:sz w:val="30"/>
          <w:szCs w:val="30"/>
          <w:highlight w:val="none"/>
        </w:rPr>
      </w:pPr>
    </w:p>
    <w:p>
      <w:pPr>
        <w:pStyle w:val="14"/>
        <w:keepNext w:val="0"/>
        <w:keepLines w:val="0"/>
        <w:widowControl/>
        <w:suppressLineNumbers w:val="0"/>
        <w:spacing w:before="75" w:beforeAutospacing="0" w:after="75" w:afterAutospacing="0"/>
        <w:ind w:left="0" w:right="0" w:firstLine="1050"/>
        <w:rPr>
          <w:rStyle w:val="17"/>
          <w:rFonts w:hint="eastAsia" w:ascii="宋体" w:hAnsi="宋体" w:eastAsia="宋体" w:cs="宋体"/>
          <w:i w:val="0"/>
          <w:iCs w:val="0"/>
          <w:caps w:val="0"/>
          <w:color w:val="auto"/>
          <w:spacing w:val="0"/>
          <w:sz w:val="30"/>
          <w:szCs w:val="30"/>
          <w:highlight w:val="none"/>
        </w:rPr>
      </w:pPr>
    </w:p>
    <w:p>
      <w:pPr>
        <w:pStyle w:val="14"/>
        <w:keepNext w:val="0"/>
        <w:keepLines w:val="0"/>
        <w:widowControl/>
        <w:suppressLineNumbers w:val="0"/>
        <w:spacing w:before="75" w:beforeAutospacing="0" w:after="75" w:afterAutospacing="0"/>
        <w:ind w:left="0" w:right="0" w:firstLine="1050"/>
        <w:rPr>
          <w:rStyle w:val="17"/>
          <w:rFonts w:hint="eastAsia" w:ascii="宋体" w:hAnsi="宋体" w:eastAsia="宋体" w:cs="宋体"/>
          <w:i w:val="0"/>
          <w:iCs w:val="0"/>
          <w:caps w:val="0"/>
          <w:color w:val="auto"/>
          <w:spacing w:val="0"/>
          <w:sz w:val="30"/>
          <w:szCs w:val="30"/>
          <w:highlight w:val="none"/>
        </w:rPr>
      </w:pPr>
    </w:p>
    <w:p>
      <w:pPr>
        <w:pStyle w:val="14"/>
        <w:keepNext w:val="0"/>
        <w:keepLines w:val="0"/>
        <w:widowControl/>
        <w:suppressLineNumbers w:val="0"/>
        <w:spacing w:before="75" w:beforeAutospacing="0" w:after="75" w:afterAutospacing="0"/>
        <w:ind w:left="0" w:right="0" w:firstLine="1050"/>
        <w:rPr>
          <w:rStyle w:val="17"/>
          <w:rFonts w:hint="eastAsia" w:ascii="宋体" w:hAnsi="宋体" w:eastAsia="宋体" w:cs="宋体"/>
          <w:i w:val="0"/>
          <w:iCs w:val="0"/>
          <w:caps w:val="0"/>
          <w:color w:val="auto"/>
          <w:spacing w:val="0"/>
          <w:sz w:val="30"/>
          <w:szCs w:val="30"/>
          <w:highlight w:val="none"/>
        </w:rPr>
      </w:pP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auto"/>
          <w:spacing w:val="0"/>
          <w:sz w:val="27"/>
          <w:szCs w:val="27"/>
          <w:highlight w:val="none"/>
        </w:rPr>
      </w:pPr>
      <w:r>
        <w:rPr>
          <w:rStyle w:val="17"/>
          <w:rFonts w:hint="eastAsia" w:ascii="宋体" w:hAnsi="宋体" w:eastAsia="宋体" w:cs="宋体"/>
          <w:i w:val="0"/>
          <w:iCs w:val="0"/>
          <w:caps w:val="0"/>
          <w:color w:val="auto"/>
          <w:spacing w:val="0"/>
          <w:sz w:val="27"/>
          <w:szCs w:val="27"/>
          <w:highlight w:val="none"/>
          <w:lang w:val="en-US" w:eastAsia="zh-CN"/>
        </w:rPr>
        <w:t xml:space="preserve">   </w:t>
      </w:r>
      <w:r>
        <w:rPr>
          <w:rStyle w:val="17"/>
          <w:rFonts w:hint="eastAsia" w:ascii="宋体" w:hAnsi="宋体" w:eastAsia="宋体" w:cs="宋体"/>
          <w:i w:val="0"/>
          <w:iCs w:val="0"/>
          <w:caps w:val="0"/>
          <w:color w:val="auto"/>
          <w:spacing w:val="0"/>
          <w:sz w:val="27"/>
          <w:szCs w:val="27"/>
          <w:highlight w:val="none"/>
        </w:rPr>
        <w:t>采购人：</w:t>
      </w:r>
      <w:r>
        <w:rPr>
          <w:rFonts w:hint="eastAsia" w:ascii="宋体" w:hAnsi="宋体" w:eastAsia="宋体" w:cs="宋体"/>
          <w:i w:val="0"/>
          <w:iCs w:val="0"/>
          <w:caps w:val="0"/>
          <w:color w:val="auto"/>
          <w:spacing w:val="0"/>
          <w:sz w:val="27"/>
          <w:szCs w:val="27"/>
          <w:highlight w:val="none"/>
        </w:rPr>
        <w:t> </w:t>
      </w:r>
      <w:r>
        <w:rPr>
          <w:rFonts w:hint="eastAsia" w:ascii="宋体" w:hAnsi="宋体" w:eastAsia="宋体" w:cs="宋体"/>
          <w:i w:val="0"/>
          <w:iCs w:val="0"/>
          <w:caps w:val="0"/>
          <w:color w:val="auto"/>
          <w:spacing w:val="0"/>
          <w:sz w:val="28"/>
          <w:szCs w:val="28"/>
          <w:highlight w:val="none"/>
        </w:rPr>
        <w:t>福州市“智慧福州”管理服务中心</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auto"/>
          <w:spacing w:val="0"/>
          <w:sz w:val="27"/>
          <w:szCs w:val="27"/>
          <w:highlight w:val="none"/>
        </w:rPr>
      </w:pPr>
      <w:r>
        <w:rPr>
          <w:rStyle w:val="17"/>
          <w:rFonts w:hint="eastAsia" w:ascii="宋体" w:hAnsi="宋体" w:eastAsia="宋体" w:cs="宋体"/>
          <w:i w:val="0"/>
          <w:iCs w:val="0"/>
          <w:caps w:val="0"/>
          <w:color w:val="auto"/>
          <w:spacing w:val="0"/>
          <w:sz w:val="28"/>
          <w:szCs w:val="28"/>
          <w:highlight w:val="none"/>
        </w:rPr>
        <w:t>代理机构：</w:t>
      </w:r>
      <w:r>
        <w:rPr>
          <w:rFonts w:hint="eastAsia" w:ascii="宋体" w:hAnsi="宋体" w:eastAsia="宋体" w:cs="宋体"/>
          <w:i w:val="0"/>
          <w:iCs w:val="0"/>
          <w:caps w:val="0"/>
          <w:color w:val="auto"/>
          <w:spacing w:val="0"/>
          <w:sz w:val="28"/>
          <w:szCs w:val="28"/>
          <w:highlight w:val="none"/>
        </w:rPr>
        <w:t>福建省招标中心有限责任公司</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 </w:t>
      </w:r>
    </w:p>
    <w:p>
      <w:pPr>
        <w:pStyle w:val="14"/>
        <w:keepNext w:val="0"/>
        <w:keepLines w:val="0"/>
        <w:widowControl/>
        <w:suppressLineNumbers w:val="0"/>
        <w:spacing w:before="75" w:beforeAutospacing="0" w:after="75" w:afterAutospacing="0" w:line="360" w:lineRule="atLeast"/>
        <w:ind w:left="0" w:right="720" w:firstLine="0"/>
        <w:jc w:val="center"/>
        <w:rPr>
          <w:rFonts w:hint="eastAsia" w:ascii="宋体" w:hAnsi="宋体" w:eastAsia="宋体" w:cs="宋体"/>
          <w:i w:val="0"/>
          <w:iCs w:val="0"/>
          <w:caps w:val="0"/>
          <w:color w:val="auto"/>
          <w:spacing w:val="0"/>
          <w:sz w:val="27"/>
          <w:szCs w:val="27"/>
          <w:highlight w:val="none"/>
        </w:rPr>
      </w:pPr>
      <w:r>
        <w:rPr>
          <w:rStyle w:val="17"/>
          <w:rFonts w:hint="eastAsia" w:ascii="宋体" w:hAnsi="宋体" w:eastAsia="宋体" w:cs="宋体"/>
          <w:i w:val="0"/>
          <w:iCs w:val="0"/>
          <w:caps w:val="0"/>
          <w:color w:val="auto"/>
          <w:spacing w:val="0"/>
          <w:sz w:val="28"/>
          <w:szCs w:val="28"/>
          <w:highlight w:val="none"/>
        </w:rPr>
        <w:t>2022年0</w:t>
      </w:r>
      <w:r>
        <w:rPr>
          <w:rStyle w:val="17"/>
          <w:rFonts w:hint="eastAsia" w:ascii="宋体" w:hAnsi="宋体" w:eastAsia="宋体" w:cs="宋体"/>
          <w:i w:val="0"/>
          <w:iCs w:val="0"/>
          <w:caps w:val="0"/>
          <w:color w:val="auto"/>
          <w:spacing w:val="0"/>
          <w:sz w:val="28"/>
          <w:szCs w:val="28"/>
          <w:highlight w:val="none"/>
          <w:lang w:val="en-US" w:eastAsia="zh-CN"/>
        </w:rPr>
        <w:t>7</w:t>
      </w:r>
      <w:r>
        <w:rPr>
          <w:rStyle w:val="17"/>
          <w:rFonts w:hint="eastAsia" w:ascii="宋体" w:hAnsi="宋体" w:eastAsia="宋体" w:cs="宋体"/>
          <w:i w:val="0"/>
          <w:iCs w:val="0"/>
          <w:caps w:val="0"/>
          <w:color w:val="auto"/>
          <w:spacing w:val="0"/>
          <w:sz w:val="28"/>
          <w:szCs w:val="28"/>
          <w:highlight w:val="none"/>
        </w:rPr>
        <w:t>月</w:t>
      </w:r>
      <w:r>
        <w:rPr>
          <w:rFonts w:hint="eastAsia" w:ascii="宋体" w:hAnsi="宋体" w:eastAsia="宋体" w:cs="宋体"/>
          <w:i w:val="0"/>
          <w:iCs w:val="0"/>
          <w:caps w:val="0"/>
          <w:color w:val="auto"/>
          <w:spacing w:val="0"/>
          <w:sz w:val="24"/>
          <w:szCs w:val="24"/>
          <w:highlight w:val="none"/>
        </w:rPr>
        <w:t> </w:t>
      </w:r>
    </w:p>
    <w:p>
      <w:pPr>
        <w:pStyle w:val="14"/>
        <w:keepNext w:val="0"/>
        <w:keepLines w:val="0"/>
        <w:widowControl/>
        <w:suppressLineNumbers w:val="0"/>
        <w:spacing w:before="75" w:beforeAutospacing="0" w:after="75" w:afterAutospacing="0" w:line="360" w:lineRule="atLeast"/>
        <w:ind w:left="0" w:right="720" w:firstLine="0"/>
        <w:jc w:val="center"/>
        <w:rPr>
          <w:rFonts w:hint="eastAsia" w:ascii="宋体" w:hAnsi="宋体" w:eastAsia="宋体" w:cs="宋体"/>
          <w:i w:val="0"/>
          <w:iCs w:val="0"/>
          <w:caps w:val="0"/>
          <w:color w:val="auto"/>
          <w:spacing w:val="0"/>
          <w:sz w:val="36"/>
          <w:szCs w:val="36"/>
          <w:highlight w:val="none"/>
          <w:lang w:val="en-US" w:eastAsia="zh-CN"/>
        </w:rPr>
        <w:sectPr>
          <w:pgSz w:w="11906" w:h="16838"/>
          <w:pgMar w:top="1440" w:right="1800" w:bottom="1440" w:left="1800" w:header="851" w:footer="992" w:gutter="0"/>
          <w:cols w:space="425" w:num="1"/>
          <w:docGrid w:type="lines" w:linePitch="312" w:charSpace="0"/>
        </w:sectPr>
      </w:pPr>
    </w:p>
    <w:p>
      <w:pPr>
        <w:pStyle w:val="14"/>
        <w:keepNext w:val="0"/>
        <w:keepLines w:val="0"/>
        <w:widowControl/>
        <w:suppressLineNumbers w:val="0"/>
        <w:spacing w:before="75" w:beforeAutospacing="0" w:after="75" w:afterAutospacing="0" w:line="360" w:lineRule="atLeast"/>
        <w:ind w:left="0" w:right="720" w:firstLine="0"/>
        <w:jc w:val="center"/>
        <w:rPr>
          <w:rFonts w:hint="eastAsia" w:ascii="宋体" w:hAnsi="宋体" w:eastAsia="宋体" w:cs="宋体"/>
          <w:i w:val="0"/>
          <w:iCs w:val="0"/>
          <w:caps w:val="0"/>
          <w:color w:val="auto"/>
          <w:spacing w:val="0"/>
          <w:sz w:val="36"/>
          <w:szCs w:val="36"/>
          <w:highlight w:val="none"/>
          <w:lang w:val="en-US" w:eastAsia="zh-CN"/>
        </w:rPr>
      </w:pPr>
      <w:r>
        <w:rPr>
          <w:rFonts w:hint="eastAsia" w:ascii="宋体" w:hAnsi="宋体" w:eastAsia="宋体" w:cs="宋体"/>
          <w:i w:val="0"/>
          <w:iCs w:val="0"/>
          <w:caps w:val="0"/>
          <w:color w:val="auto"/>
          <w:spacing w:val="0"/>
          <w:sz w:val="36"/>
          <w:szCs w:val="36"/>
          <w:highlight w:val="none"/>
          <w:lang w:val="en-US" w:eastAsia="zh-CN"/>
        </w:rPr>
        <w:t>目录</w:t>
      </w:r>
    </w:p>
    <w:p>
      <w:pPr>
        <w:pStyle w:val="12"/>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TOC \o "1-2" \h \u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_Toc12624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pacing w:val="0"/>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_Toc12624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2"/>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_Toc6788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pacing w:val="0"/>
          <w:sz w:val="28"/>
          <w:szCs w:val="28"/>
          <w:highlight w:val="none"/>
        </w:rPr>
        <w:t>第二章   投标人须知前附表（表1、2）</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_Toc6788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3"/>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_Toc7754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z w:val="28"/>
          <w:szCs w:val="28"/>
          <w:highlight w:val="none"/>
        </w:rPr>
        <w:t>一、投标人须知前附表1</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_Toc7754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3"/>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_Toc5699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z w:val="28"/>
          <w:szCs w:val="28"/>
          <w:highlight w:val="none"/>
        </w:rPr>
        <w:t>二、投标人须知前附表2</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_Toc5699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2"/>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_Toc8231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pacing w:val="0"/>
          <w:sz w:val="28"/>
          <w:szCs w:val="28"/>
          <w:highlight w:val="none"/>
        </w:rPr>
        <w:t>第三章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_Toc8231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2"/>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_Toc31231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pacing w:val="0"/>
          <w:sz w:val="28"/>
          <w:szCs w:val="28"/>
          <w:highlight w:val="none"/>
        </w:rPr>
        <w:t>第四章   资格审查与评标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_Toc31231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2"/>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_Toc24345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pacing w:val="0"/>
          <w:sz w:val="28"/>
          <w:szCs w:val="28"/>
          <w:highlight w:val="none"/>
        </w:rPr>
        <w:t>第五章   招标内容及要求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_Toc24345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3"/>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_Toc3157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pacing w:val="0"/>
          <w:sz w:val="28"/>
          <w:szCs w:val="28"/>
          <w:highlight w:val="none"/>
        </w:rPr>
        <w:t>一、项目概况（采购标的）</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3"/>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_Toc4536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pacing w:val="0"/>
          <w:sz w:val="28"/>
          <w:szCs w:val="28"/>
          <w:highlight w:val="none"/>
        </w:rPr>
        <w:t>二、技术和服务要求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_Toc4536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2"/>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_Toc12863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pacing w:val="0"/>
          <w:sz w:val="28"/>
          <w:szCs w:val="28"/>
          <w:highlight w:val="none"/>
        </w:rPr>
        <w:t>第六章   政府采购合同（参考文本）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_Toc12863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172</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2"/>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_Toc30408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pacing w:val="0"/>
          <w:sz w:val="28"/>
          <w:szCs w:val="28"/>
          <w:highlight w:val="none"/>
        </w:rPr>
        <w:t>第七章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_Toc30408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175</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3"/>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_Toc20032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z w:val="28"/>
          <w:szCs w:val="28"/>
          <w:highlight w:val="none"/>
        </w:rPr>
        <w:t>（资格及资信证明部分）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_Toc20032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176</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3"/>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_Toc21072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z w:val="28"/>
          <w:szCs w:val="28"/>
          <w:highlight w:val="none"/>
        </w:rPr>
        <w:t>（报价部分）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_Toc21072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200</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3"/>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lang w:val="en-US" w:eastAsia="zh-CN"/>
        </w:rPr>
        <w:fldChar w:fldCharType="begin"/>
      </w:r>
      <w:r>
        <w:rPr>
          <w:rFonts w:hint="eastAsia" w:ascii="宋体" w:hAnsi="宋体" w:eastAsia="宋体" w:cs="宋体"/>
          <w:i w:val="0"/>
          <w:iCs w:val="0"/>
          <w:caps w:val="0"/>
          <w:color w:val="auto"/>
          <w:spacing w:val="0"/>
          <w:sz w:val="28"/>
          <w:szCs w:val="28"/>
          <w:highlight w:val="none"/>
          <w:lang w:val="en-US" w:eastAsia="zh-CN"/>
        </w:rPr>
        <w:instrText xml:space="preserve"> HYPERLINK \l _Toc31143 </w:instrText>
      </w:r>
      <w:r>
        <w:rPr>
          <w:rFonts w:hint="eastAsia" w:ascii="宋体" w:hAnsi="宋体" w:eastAsia="宋体" w:cs="宋体"/>
          <w:i w:val="0"/>
          <w:iCs w:val="0"/>
          <w:caps w:val="0"/>
          <w:color w:val="auto"/>
          <w:spacing w:val="0"/>
          <w:sz w:val="28"/>
          <w:szCs w:val="28"/>
          <w:highlight w:val="none"/>
          <w:lang w:val="en-US" w:eastAsia="zh-CN"/>
        </w:rPr>
        <w:fldChar w:fldCharType="separate"/>
      </w:r>
      <w:r>
        <w:rPr>
          <w:rFonts w:hint="eastAsia" w:ascii="宋体" w:hAnsi="宋体" w:eastAsia="宋体" w:cs="宋体"/>
          <w:color w:val="auto"/>
          <w:sz w:val="28"/>
          <w:szCs w:val="28"/>
          <w:highlight w:val="none"/>
        </w:rPr>
        <w:t>（技术商务部分）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_Toc31143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214</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aps w:val="0"/>
          <w:color w:val="auto"/>
          <w:spacing w:val="0"/>
          <w:sz w:val="28"/>
          <w:szCs w:val="28"/>
          <w:highlight w:val="none"/>
          <w:lang w:val="en-US" w:eastAsia="zh-CN"/>
        </w:rPr>
        <w:fldChar w:fldCharType="end"/>
      </w:r>
    </w:p>
    <w:p>
      <w:pPr>
        <w:pStyle w:val="14"/>
        <w:keepNext w:val="0"/>
        <w:keepLines w:val="0"/>
        <w:widowControl/>
        <w:suppressLineNumbers w:val="0"/>
        <w:spacing w:before="75" w:beforeAutospacing="0" w:after="75" w:afterAutospacing="0" w:line="360" w:lineRule="atLeast"/>
        <w:ind w:left="0" w:right="720" w:firstLine="0"/>
        <w:jc w:val="center"/>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fldChar w:fldCharType="end"/>
      </w:r>
    </w:p>
    <w:p>
      <w:pPr>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br w:type="page"/>
      </w:r>
    </w:p>
    <w:p>
      <w:pPr>
        <w:pStyle w:val="14"/>
        <w:keepNext w:val="0"/>
        <w:keepLines w:val="0"/>
        <w:widowControl/>
        <w:suppressLineNumbers w:val="0"/>
        <w:spacing w:before="75" w:beforeAutospacing="0" w:after="75" w:afterAutospacing="0"/>
        <w:ind w:left="0" w:right="0" w:firstLine="0"/>
        <w:jc w:val="center"/>
        <w:outlineLvl w:val="0"/>
        <w:rPr>
          <w:rFonts w:hint="eastAsia" w:ascii="宋体" w:hAnsi="宋体" w:eastAsia="宋体" w:cs="宋体"/>
          <w:color w:val="auto"/>
          <w:highlight w:val="none"/>
        </w:rPr>
      </w:pPr>
      <w:bookmarkStart w:id="0" w:name="_Toc12624"/>
      <w:r>
        <w:rPr>
          <w:rStyle w:val="17"/>
          <w:rFonts w:hint="eastAsia" w:ascii="宋体" w:hAnsi="宋体" w:eastAsia="宋体" w:cs="宋体"/>
          <w:color w:val="auto"/>
          <w:spacing w:val="0"/>
          <w:sz w:val="31"/>
          <w:szCs w:val="31"/>
          <w:highlight w:val="none"/>
        </w:rPr>
        <w:t>第一章   投标邀请</w:t>
      </w:r>
      <w:bookmarkEnd w:id="0"/>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采用</w:t>
      </w:r>
      <w:r>
        <w:rPr>
          <w:rFonts w:hint="eastAsia" w:ascii="宋体" w:hAnsi="宋体" w:eastAsia="宋体" w:cs="宋体"/>
          <w:color w:val="auto"/>
          <w:spacing w:val="0"/>
          <w:sz w:val="24"/>
          <w:szCs w:val="24"/>
          <w:highlight w:val="none"/>
          <w:u w:val="single"/>
        </w:rPr>
        <w:t>公开招标方式</w:t>
      </w:r>
      <w:r>
        <w:rPr>
          <w:rFonts w:hint="eastAsia" w:ascii="宋体" w:hAnsi="宋体" w:eastAsia="宋体" w:cs="宋体"/>
          <w:color w:val="auto"/>
          <w:spacing w:val="0"/>
          <w:sz w:val="24"/>
          <w:szCs w:val="24"/>
          <w:highlight w:val="none"/>
        </w:rPr>
        <w:t>组织</w:t>
      </w:r>
      <w:r>
        <w:rPr>
          <w:rFonts w:hint="eastAsia" w:ascii="宋体" w:hAnsi="宋体" w:eastAsia="宋体" w:cs="宋体"/>
          <w:color w:val="auto"/>
          <w:spacing w:val="0"/>
          <w:sz w:val="24"/>
          <w:szCs w:val="24"/>
          <w:highlight w:val="none"/>
          <w:u w:val="none"/>
        </w:rPr>
        <w:t>福州市城市综合管理服务平台项目建设</w:t>
      </w:r>
      <w:r>
        <w:rPr>
          <w:rFonts w:hint="eastAsia" w:ascii="宋体" w:hAnsi="宋体" w:eastAsia="宋体" w:cs="宋体"/>
          <w:color w:val="auto"/>
          <w:spacing w:val="0"/>
          <w:sz w:val="24"/>
          <w:szCs w:val="24"/>
          <w:highlight w:val="none"/>
        </w:rPr>
        <w:t>（以下简称：“本项目”）的政府采购活动，现邀请供应商参加投标。</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1、备案编号：</w:t>
      </w:r>
      <w:r>
        <w:rPr>
          <w:rFonts w:hint="eastAsia" w:ascii="宋体" w:hAnsi="宋体" w:eastAsia="宋体" w:cs="宋体"/>
          <w:color w:val="auto"/>
          <w:spacing w:val="0"/>
          <w:sz w:val="24"/>
          <w:szCs w:val="24"/>
          <w:highlight w:val="none"/>
          <w:u w:val="single"/>
        </w:rPr>
        <w:t>A-126-GK-202203-B1022-ZBZX</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2、项目编号：</w:t>
      </w:r>
      <w:r>
        <w:rPr>
          <w:rFonts w:hint="eastAsia" w:ascii="宋体" w:hAnsi="宋体" w:eastAsia="宋体" w:cs="宋体"/>
          <w:color w:val="auto"/>
          <w:spacing w:val="0"/>
          <w:sz w:val="24"/>
          <w:szCs w:val="24"/>
          <w:highlight w:val="none"/>
          <w:u w:val="single"/>
        </w:rPr>
        <w:t>[350100]ZBZX[GK]2022002</w:t>
      </w:r>
      <w:r>
        <w:rPr>
          <w:rFonts w:hint="eastAsia" w:ascii="宋体" w:hAnsi="宋体" w:eastAsia="宋体" w:cs="宋体"/>
          <w:color w:val="auto"/>
          <w:spacing w:val="0"/>
          <w:sz w:val="24"/>
          <w:szCs w:val="24"/>
          <w:highlight w:val="none"/>
          <w:u w:val="single"/>
          <w:lang w:val="en-US" w:eastAsia="zh-CN"/>
        </w:rPr>
        <w:t>-1</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3、预算金额、最高限价：详见《采购标的一览表》。</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  4、招标内容及要求：详见《采购标的一览表》及招标文件第五章。</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5、需要落实的政府采购政策：小型、微型企业符合财政部、工信部文件（财库〔2020〕46号），适用于本项目所有合同包。监狱企业，适用于本项目所有合同包。促进残疾人就业 ，适用于本项目所有合同包。信用记录，适用于本项目所有合同包，信用记录查询的截止时点：信用记录查询的截止时点为本项目投标截止当日。 信用记录查询渠道：信用中国（www.creditchina.gov.cn）、中国政府采购网（www.ccgp.gov.cn）。 信用记录的查询：由资格审查小组通过上述网站查询并打印投标人的信用记录。 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6、投标人的资格要求</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6.1法定条件：符合政府采购法第二十二条第一款规定的条件。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6.2特定条件：</w:t>
      </w:r>
      <w:r>
        <w:rPr>
          <w:rFonts w:hint="eastAsia" w:ascii="宋体" w:hAnsi="宋体" w:eastAsia="宋体" w:cs="宋体"/>
          <w:color w:val="auto"/>
          <w:spacing w:val="0"/>
          <w:sz w:val="24"/>
          <w:szCs w:val="24"/>
          <w:highlight w:val="none"/>
        </w:rPr>
        <w:br w:type="textWrapping"/>
      </w:r>
      <w:r>
        <w:rPr>
          <w:rStyle w:val="17"/>
          <w:rFonts w:hint="eastAsia" w:ascii="宋体" w:hAnsi="宋体" w:eastAsia="宋体" w:cs="宋体"/>
          <w:color w:val="auto"/>
          <w:spacing w:val="0"/>
          <w:sz w:val="24"/>
          <w:szCs w:val="24"/>
          <w:highlight w:val="none"/>
        </w:rPr>
        <w:t>包：1</w:t>
      </w:r>
    </w:p>
    <w:tbl>
      <w:tblPr>
        <w:tblStyle w:val="15"/>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751" w:type="dxa"/>
            <w:shd w:val="clear" w:color="auto" w:fill="auto"/>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c>
          <w:tcPr>
            <w:tcW w:w="4585" w:type="dxa"/>
            <w:shd w:val="clear" w:color="auto" w:fill="auto"/>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无</w:t>
            </w:r>
          </w:p>
        </w:tc>
        <w:tc>
          <w:tcPr>
            <w:tcW w:w="458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无</w:t>
            </w:r>
          </w:p>
        </w:tc>
      </w:tr>
    </w:tbl>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6.3是否接受联合体投标：不接受。</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※根据上述资格要求，投标文件中应提交的“投标人的资格及资信证明文件”详见招标文件第四章。</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7、招标文件的获取</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7.1、招标文件获取期限：详见招标公告或更正公告，若不一致，以更正公告为准。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7"/>
          <w:rFonts w:hint="eastAsia" w:ascii="宋体" w:hAnsi="宋体" w:eastAsia="宋体" w:cs="宋体"/>
          <w:color w:val="auto"/>
          <w:spacing w:val="0"/>
          <w:sz w:val="24"/>
          <w:szCs w:val="24"/>
          <w:highlight w:val="none"/>
        </w:rPr>
        <w:t>投标将被拒绝。</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7.3、获取地点及方式：注册账号后，通过福建省政府采购网上公开信息系统以下载方式获取。</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7.4、招标文件售价：0元。</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8、投标截止</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8.1、投标截止时间：详见招标公告或更正公告，若不一致，以更正公告为准。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8.2、投标人应在投标截止时间前按照福建省政府采购网上公开信息系统设定的操作流程将电子投标文件上传至福建省政府采购网上公开信息系统，同时将</w:t>
      </w:r>
      <w:r>
        <w:rPr>
          <w:rStyle w:val="17"/>
          <w:rFonts w:hint="eastAsia" w:ascii="宋体" w:hAnsi="宋体" w:eastAsia="宋体" w:cs="宋体"/>
          <w:color w:val="auto"/>
          <w:spacing w:val="0"/>
          <w:sz w:val="24"/>
          <w:szCs w:val="24"/>
          <w:highlight w:val="none"/>
        </w:rPr>
        <w:t>投标人的CA证书</w:t>
      </w:r>
      <w:r>
        <w:rPr>
          <w:rFonts w:hint="eastAsia" w:ascii="宋体" w:hAnsi="宋体" w:eastAsia="宋体" w:cs="宋体"/>
          <w:color w:val="auto"/>
          <w:spacing w:val="0"/>
          <w:sz w:val="24"/>
          <w:szCs w:val="24"/>
          <w:highlight w:val="none"/>
        </w:rPr>
        <w:t>送达招标文件第一章第9条载明的地点，否则</w:t>
      </w:r>
      <w:r>
        <w:rPr>
          <w:rStyle w:val="17"/>
          <w:rFonts w:hint="eastAsia" w:ascii="宋体" w:hAnsi="宋体" w:eastAsia="宋体" w:cs="宋体"/>
          <w:color w:val="auto"/>
          <w:spacing w:val="0"/>
          <w:sz w:val="24"/>
          <w:szCs w:val="24"/>
          <w:highlight w:val="none"/>
        </w:rPr>
        <w:t>投标将被拒绝。</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9、开标时间及地点：详见招标公告或更正公告，若不一致，以更正公告为准。</w:t>
      </w:r>
      <w:r>
        <w:rPr>
          <w:rStyle w:val="17"/>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10、公告期限</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10.1、招标公告的公告期限：自财政部和福建省财政厅指定的政府采购信息发布媒体最先发布公告之日起5个工作日。</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10.2、招标文件公告期限：招标文件随同招标公告一并发布，其公告期限与招标公告的公告期限保持一致。</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11、采购人：福州市“智慧福州”管理服务中心</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地址：仓山区南江滨西大道199号海峡国际会展中心东侧福州规划馆四层</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联系方法：0591-38130388</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12、代理机构：福建省招标中心有限责任公司</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地址：福州市鼓楼区洪山园路68号招标大厦C座6层</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联系方法：0591-87554218</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4"/>
          <w:szCs w:val="24"/>
          <w:highlight w:val="none"/>
        </w:rPr>
        <w:sectPr>
          <w:footerReference r:id="rId3" w:type="default"/>
          <w:pgSz w:w="11906" w:h="16838"/>
          <w:pgMar w:top="1440" w:right="1800" w:bottom="1440" w:left="1800" w:header="851" w:footer="992" w:gutter="0"/>
          <w:pgNumType w:start="2"/>
          <w:cols w:space="425" w:num="1"/>
          <w:docGrid w:type="lines" w:linePitch="312" w:charSpace="0"/>
        </w:sect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4"/>
          <w:szCs w:val="24"/>
          <w:highlight w:val="none"/>
        </w:rPr>
      </w:pP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附1：账户信息</w:t>
      </w:r>
    </w:p>
    <w:tbl>
      <w:tblPr>
        <w:tblStyle w:val="15"/>
        <w:tblW w:w="888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03" w:hRule="atLeast"/>
          <w:tblCellSpacing w:w="15" w:type="dxa"/>
        </w:trPr>
        <w:tc>
          <w:tcPr>
            <w:tcW w:w="8820"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71" w:hRule="atLeast"/>
          <w:tblCellSpacing w:w="15" w:type="dxa"/>
        </w:trPr>
        <w:tc>
          <w:tcPr>
            <w:tcW w:w="8820" w:type="dxa"/>
            <w:shd w:val="clear" w:color="auto" w:fill="auto"/>
            <w:tcMar>
              <w:top w:w="0" w:type="dxa"/>
              <w:left w:w="105" w:type="dxa"/>
              <w:bottom w:w="0" w:type="dxa"/>
              <w:right w:w="105" w:type="dxa"/>
            </w:tcMar>
            <w:vAlign w:val="top"/>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开户名称：</w:t>
            </w:r>
            <w:r>
              <w:rPr>
                <w:rFonts w:hint="eastAsia" w:ascii="宋体" w:hAnsi="宋体" w:eastAsia="宋体" w:cs="宋体"/>
                <w:color w:val="auto"/>
                <w:spacing w:val="0"/>
                <w:sz w:val="24"/>
                <w:szCs w:val="24"/>
                <w:highlight w:val="none"/>
                <w:u w:val="single"/>
                <w:shd w:val="clear" w:fill="FFFFFF"/>
              </w:rPr>
              <w:t>福建省招标中心有限责任公司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10" w:hRule="atLeast"/>
          <w:tblCellSpacing w:w="15" w:type="dxa"/>
        </w:trPr>
        <w:tc>
          <w:tcPr>
            <w:tcW w:w="8820" w:type="dxa"/>
            <w:shd w:val="clear" w:color="auto" w:fill="auto"/>
            <w:tcMar>
              <w:top w:w="0" w:type="dxa"/>
              <w:left w:w="105" w:type="dxa"/>
              <w:bottom w:w="0" w:type="dxa"/>
              <w:right w:w="105" w:type="dxa"/>
            </w:tcMar>
            <w:vAlign w:val="top"/>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开户银行：</w:t>
            </w:r>
            <w:r>
              <w:rPr>
                <w:rFonts w:hint="eastAsia" w:ascii="宋体" w:hAnsi="宋体" w:eastAsia="宋体" w:cs="宋体"/>
                <w:color w:val="auto"/>
                <w:spacing w:val="0"/>
                <w:sz w:val="24"/>
                <w:szCs w:val="24"/>
                <w:highlight w:val="none"/>
                <w:u w:val="none"/>
              </w:rPr>
              <w:t>供应商在福建省政府采购网上公开信息系统获取招标文件后，根据其提示自行选择要缴交的投标保证金托管银行</w:t>
            </w:r>
            <w:r>
              <w:rPr>
                <w:rFonts w:hint="eastAsia" w:ascii="宋体" w:hAnsi="宋体" w:eastAsia="宋体" w:cs="宋体"/>
                <w:color w:val="auto"/>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8" w:hRule="atLeast"/>
          <w:tblCellSpacing w:w="15" w:type="dxa"/>
        </w:trPr>
        <w:tc>
          <w:tcPr>
            <w:tcW w:w="8820" w:type="dxa"/>
            <w:shd w:val="clear" w:color="auto" w:fill="auto"/>
            <w:tcMar>
              <w:top w:w="0" w:type="dxa"/>
              <w:left w:w="105" w:type="dxa"/>
              <w:bottom w:w="0" w:type="dxa"/>
              <w:right w:w="105" w:type="dxa"/>
            </w:tcMar>
            <w:vAlign w:val="top"/>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银行账号：</w:t>
            </w:r>
            <w:r>
              <w:rPr>
                <w:rFonts w:hint="eastAsia" w:ascii="宋体" w:hAnsi="宋体" w:eastAsia="宋体" w:cs="宋体"/>
                <w:color w:val="auto"/>
                <w:spacing w:val="0"/>
                <w:sz w:val="24"/>
                <w:szCs w:val="24"/>
                <w:highlight w:val="none"/>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tblCellSpacing w:w="15" w:type="dxa"/>
        </w:trPr>
        <w:tc>
          <w:tcPr>
            <w:tcW w:w="8820"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1" w:hRule="atLeast"/>
          <w:tblCellSpacing w:w="15" w:type="dxa"/>
        </w:trPr>
        <w:tc>
          <w:tcPr>
            <w:tcW w:w="8820" w:type="dxa"/>
            <w:shd w:val="clear" w:color="auto" w:fill="auto"/>
            <w:tcMar>
              <w:top w:w="0" w:type="dxa"/>
              <w:left w:w="105" w:type="dxa"/>
              <w:bottom w:w="0" w:type="dxa"/>
              <w:right w:w="105" w:type="dxa"/>
            </w:tcMar>
            <w:vAlign w:val="top"/>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1、投标人应认真核对账户信息，将投标保证金汇入以上账户，并自行承担因汇错投标保证金而产生的一切后果。</w:t>
            </w:r>
          </w:p>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2、投标人在转账或电汇的凭证上应按照以下格式注明，以便核对：“（项目编号：***）的投标保证金”。</w:t>
            </w:r>
          </w:p>
        </w:tc>
      </w:tr>
    </w:tbl>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附2：采购标的一览表</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jc w:val="right"/>
        <w:rPr>
          <w:rFonts w:hint="eastAsia" w:ascii="宋体" w:hAnsi="宋体" w:eastAsia="宋体" w:cs="宋体"/>
          <w:color w:val="auto"/>
          <w:highlight w:val="none"/>
        </w:rPr>
      </w:pPr>
      <w:r>
        <w:rPr>
          <w:rFonts w:hint="eastAsia" w:ascii="宋体" w:hAnsi="宋体" w:eastAsia="宋体" w:cs="宋体"/>
          <w:color w:val="auto"/>
          <w:highlight w:val="none"/>
        </w:rPr>
        <w:t>金额单位：人民币元</w:t>
      </w:r>
    </w:p>
    <w:tbl>
      <w:tblPr>
        <w:tblStyle w:val="15"/>
        <w:tblW w:w="83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26"/>
        <w:gridCol w:w="926"/>
        <w:gridCol w:w="1853"/>
        <w:gridCol w:w="926"/>
        <w:gridCol w:w="926"/>
        <w:gridCol w:w="926"/>
        <w:gridCol w:w="927"/>
        <w:gridCol w:w="9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采购包</w:t>
            </w:r>
          </w:p>
        </w:tc>
        <w:tc>
          <w:tcPr>
            <w:tcW w:w="9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品目号</w:t>
            </w:r>
          </w:p>
        </w:tc>
        <w:tc>
          <w:tcPr>
            <w:tcW w:w="185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采购标的</w:t>
            </w:r>
          </w:p>
        </w:tc>
        <w:tc>
          <w:tcPr>
            <w:tcW w:w="9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允许进口</w:t>
            </w:r>
          </w:p>
        </w:tc>
        <w:tc>
          <w:tcPr>
            <w:tcW w:w="9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数量</w:t>
            </w:r>
          </w:p>
        </w:tc>
        <w:tc>
          <w:tcPr>
            <w:tcW w:w="9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品目号预算</w:t>
            </w:r>
          </w:p>
        </w:tc>
        <w:tc>
          <w:tcPr>
            <w:tcW w:w="92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采购包预算</w:t>
            </w:r>
          </w:p>
        </w:tc>
        <w:tc>
          <w:tcPr>
            <w:tcW w:w="92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5557"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5"/>
              <w:tblW w:w="5526"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2"/>
              <w:gridCol w:w="1845"/>
              <w:gridCol w:w="885"/>
              <w:gridCol w:w="1050"/>
              <w:gridCol w:w="814"/>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3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1-1</w:t>
                  </w:r>
                </w:p>
              </w:tc>
              <w:tc>
                <w:tcPr>
                  <w:tcW w:w="18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福州市城市综合管理服务平台集成、业务系统包</w:t>
                  </w:r>
                </w:p>
              </w:tc>
              <w:tc>
                <w:tcPr>
                  <w:tcW w:w="8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否</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1（个）</w:t>
                  </w:r>
                </w:p>
              </w:tc>
              <w:tc>
                <w:tcPr>
                  <w:tcW w:w="814"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color w:val="auto"/>
                      <w:sz w:val="20"/>
                      <w:szCs w:val="22"/>
                      <w:highlight w:val="none"/>
                    </w:rPr>
                  </w:pPr>
                  <w:r>
                    <w:rPr>
                      <w:rFonts w:hint="eastAsia"/>
                      <w:color w:val="auto"/>
                      <w:sz w:val="20"/>
                      <w:szCs w:val="22"/>
                      <w:highlight w:val="none"/>
                      <w:lang w:val="en-US" w:eastAsia="zh-CN"/>
                    </w:rPr>
                    <w:t>7,217,200.0000</w:t>
                  </w:r>
                </w:p>
              </w:tc>
            </w:tr>
          </w:tbl>
          <w:p>
            <w:pPr>
              <w:jc w:val="center"/>
              <w:rPr>
                <w:rFonts w:hint="eastAsia" w:ascii="宋体" w:hAnsi="宋体" w:eastAsia="宋体" w:cs="宋体"/>
                <w:color w:val="auto"/>
                <w:highlight w:val="none"/>
              </w:rPr>
            </w:pPr>
          </w:p>
        </w:tc>
        <w:tc>
          <w:tcPr>
            <w:tcW w:w="92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7217200</w:t>
            </w:r>
          </w:p>
        </w:tc>
        <w:tc>
          <w:tcPr>
            <w:tcW w:w="92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144000</w:t>
            </w:r>
          </w:p>
        </w:tc>
      </w:tr>
    </w:tbl>
    <w:p>
      <w:pPr>
        <w:rPr>
          <w:rStyle w:val="17"/>
          <w:rFonts w:hint="eastAsia" w:ascii="宋体" w:hAnsi="宋体" w:eastAsia="宋体" w:cs="宋体"/>
          <w:color w:val="auto"/>
          <w:spacing w:val="0"/>
          <w:sz w:val="31"/>
          <w:szCs w:val="31"/>
          <w:highlight w:val="none"/>
        </w:rPr>
      </w:pPr>
      <w:r>
        <w:rPr>
          <w:rStyle w:val="17"/>
          <w:rFonts w:hint="eastAsia" w:ascii="宋体" w:hAnsi="宋体" w:eastAsia="宋体" w:cs="宋体"/>
          <w:color w:val="auto"/>
          <w:spacing w:val="0"/>
          <w:sz w:val="31"/>
          <w:szCs w:val="31"/>
          <w:highlight w:val="none"/>
        </w:rPr>
        <w:br w:type="page"/>
      </w:r>
    </w:p>
    <w:p>
      <w:pPr>
        <w:pStyle w:val="14"/>
        <w:keepNext w:val="0"/>
        <w:keepLines w:val="0"/>
        <w:widowControl/>
        <w:suppressLineNumbers w:val="0"/>
        <w:spacing w:before="75" w:beforeAutospacing="0" w:after="75" w:afterAutospacing="0"/>
        <w:ind w:left="0" w:right="0" w:firstLine="0"/>
        <w:jc w:val="center"/>
        <w:outlineLvl w:val="0"/>
        <w:rPr>
          <w:rFonts w:hint="eastAsia" w:ascii="宋体" w:hAnsi="宋体" w:eastAsia="宋体" w:cs="宋体"/>
          <w:color w:val="auto"/>
          <w:highlight w:val="none"/>
        </w:rPr>
      </w:pPr>
      <w:bookmarkStart w:id="1" w:name="_Toc6788"/>
      <w:r>
        <w:rPr>
          <w:rStyle w:val="17"/>
          <w:rFonts w:hint="eastAsia" w:ascii="宋体" w:hAnsi="宋体" w:eastAsia="宋体" w:cs="宋体"/>
          <w:color w:val="auto"/>
          <w:spacing w:val="0"/>
          <w:sz w:val="31"/>
          <w:szCs w:val="31"/>
          <w:highlight w:val="none"/>
        </w:rPr>
        <w:t>第二章   投标人须知前附表（表1、2）</w:t>
      </w:r>
      <w:bookmarkEnd w:id="1"/>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240" w:afterAutospacing="0"/>
        <w:ind w:left="0" w:right="0" w:firstLine="0"/>
        <w:jc w:val="center"/>
        <w:outlineLvl w:val="1"/>
        <w:rPr>
          <w:rFonts w:hint="eastAsia" w:ascii="宋体" w:hAnsi="宋体" w:eastAsia="宋体" w:cs="宋体"/>
          <w:color w:val="auto"/>
          <w:highlight w:val="none"/>
        </w:rPr>
      </w:pPr>
      <w:bookmarkStart w:id="2" w:name="_Toc7754"/>
      <w:r>
        <w:rPr>
          <w:rStyle w:val="17"/>
          <w:rFonts w:hint="eastAsia" w:ascii="宋体" w:hAnsi="宋体" w:eastAsia="宋体" w:cs="宋体"/>
          <w:color w:val="auto"/>
          <w:highlight w:val="none"/>
        </w:rPr>
        <w:t>一、投标人须知前附表1</w:t>
      </w:r>
      <w:bookmarkEnd w:id="2"/>
    </w:p>
    <w:tbl>
      <w:tblPr>
        <w:tblStyle w:val="15"/>
        <w:tblW w:w="8611"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05"/>
        <w:gridCol w:w="1536"/>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51" w:type="dxa"/>
            <w:gridSpan w:val="3"/>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0"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项号</w:t>
            </w:r>
          </w:p>
        </w:tc>
        <w:tc>
          <w:tcPr>
            <w:tcW w:w="1506"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招标文件</w:t>
            </w:r>
          </w:p>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（第三章）</w:t>
            </w:r>
          </w:p>
        </w:tc>
        <w:tc>
          <w:tcPr>
            <w:tcW w:w="642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0"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w:t>
            </w:r>
          </w:p>
        </w:tc>
        <w:tc>
          <w:tcPr>
            <w:tcW w:w="1506"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6.1</w:t>
            </w:r>
          </w:p>
        </w:tc>
        <w:tc>
          <w:tcPr>
            <w:tcW w:w="642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是否组织现场考察或召开开标前答疑会：</w:t>
            </w:r>
            <w:r>
              <w:rPr>
                <w:rFonts w:hint="eastAsia" w:ascii="宋体" w:hAnsi="宋体" w:eastAsia="宋体" w:cs="宋体"/>
                <w:color w:val="auto"/>
                <w:spacing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0"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w:t>
            </w:r>
          </w:p>
        </w:tc>
        <w:tc>
          <w:tcPr>
            <w:tcW w:w="1506"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10.4</w:t>
            </w:r>
          </w:p>
        </w:tc>
        <w:tc>
          <w:tcPr>
            <w:tcW w:w="6425" w:type="dxa"/>
            <w:shd w:val="clear" w:color="auto" w:fill="auto"/>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投标文件的份数：</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（1）可读介质（光盘或U盘）</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份：投标人应将其上传至福建省政府采购网上公开信息系统的电子投标文件在该可读介质中另存</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份。</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0"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w:t>
            </w:r>
          </w:p>
        </w:tc>
        <w:tc>
          <w:tcPr>
            <w:tcW w:w="1506"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10.5-（2）-③</w:t>
            </w:r>
          </w:p>
        </w:tc>
        <w:tc>
          <w:tcPr>
            <w:tcW w:w="642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允许散装或活页装订的内容或材料：</w:t>
            </w:r>
          </w:p>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（1）投标文件的补充、修改或撤回；</w:t>
            </w:r>
          </w:p>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0"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w:t>
            </w:r>
          </w:p>
        </w:tc>
        <w:tc>
          <w:tcPr>
            <w:tcW w:w="1506"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10.7-（1）</w:t>
            </w:r>
          </w:p>
        </w:tc>
        <w:tc>
          <w:tcPr>
            <w:tcW w:w="642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是否允许中标人将本项目的非主体、非关键性工作进行分包：</w:t>
            </w:r>
          </w:p>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0"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w:t>
            </w:r>
          </w:p>
        </w:tc>
        <w:tc>
          <w:tcPr>
            <w:tcW w:w="1506"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10.8-（1）</w:t>
            </w:r>
          </w:p>
        </w:tc>
        <w:tc>
          <w:tcPr>
            <w:tcW w:w="642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投标有效期</w:t>
            </w:r>
            <w:r>
              <w:rPr>
                <w:rFonts w:hint="eastAsia" w:ascii="宋体" w:hAnsi="宋体" w:eastAsia="宋体" w:cs="宋体"/>
                <w:color w:val="auto"/>
                <w:spacing w:val="0"/>
                <w:sz w:val="24"/>
                <w:szCs w:val="24"/>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0" w:type="dxa"/>
            <w:shd w:val="clear" w:color="auto" w:fill="auto"/>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w:t>
            </w:r>
          </w:p>
        </w:tc>
        <w:tc>
          <w:tcPr>
            <w:tcW w:w="1506"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12.1</w:t>
            </w:r>
          </w:p>
        </w:tc>
        <w:tc>
          <w:tcPr>
            <w:tcW w:w="642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本项目推荐项目包1中标候选人数为1家。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0" w:type="dxa"/>
            <w:shd w:val="clear" w:color="auto" w:fill="auto"/>
            <w:tcMar>
              <w:top w:w="75" w:type="dxa"/>
              <w:left w:w="150" w:type="dxa"/>
              <w:bottom w:w="75" w:type="dxa"/>
              <w:right w:w="150" w:type="dxa"/>
            </w:tcMar>
            <w:vAlign w:val="center"/>
          </w:tcPr>
          <w:p>
            <w:pPr>
              <w:pStyle w:val="14"/>
              <w:keepNext w:val="0"/>
              <w:keepLines w:val="0"/>
              <w:widowControl/>
              <w:suppressLineNumbers w:val="0"/>
              <w:wordWrap w:val="0"/>
              <w:spacing w:before="0" w:beforeAutospacing="0" w:after="0"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7</w:t>
            </w:r>
          </w:p>
        </w:tc>
        <w:tc>
          <w:tcPr>
            <w:tcW w:w="1506" w:type="dxa"/>
            <w:shd w:val="clear" w:color="auto" w:fill="auto"/>
            <w:tcMar>
              <w:top w:w="75" w:type="dxa"/>
              <w:left w:w="150" w:type="dxa"/>
              <w:bottom w:w="75" w:type="dxa"/>
              <w:right w:w="150" w:type="dxa"/>
            </w:tcMar>
            <w:vAlign w:val="center"/>
          </w:tcPr>
          <w:p>
            <w:pPr>
              <w:pStyle w:val="14"/>
              <w:keepNext w:val="0"/>
              <w:keepLines w:val="0"/>
              <w:widowControl/>
              <w:suppressLineNumbers w:val="0"/>
              <w:spacing w:before="0" w:beforeAutospacing="0" w:after="0"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12.2</w:t>
            </w:r>
          </w:p>
        </w:tc>
        <w:tc>
          <w:tcPr>
            <w:tcW w:w="6425" w:type="dxa"/>
            <w:shd w:val="clear" w:color="auto" w:fill="auto"/>
            <w:tcMar>
              <w:top w:w="75" w:type="dxa"/>
              <w:left w:w="150" w:type="dxa"/>
              <w:bottom w:w="75" w:type="dxa"/>
              <w:right w:w="150" w:type="dxa"/>
            </w:tcMar>
            <w:vAlign w:val="center"/>
          </w:tcPr>
          <w:p>
            <w:pPr>
              <w:pStyle w:val="14"/>
              <w:keepNext w:val="0"/>
              <w:keepLines w:val="0"/>
              <w:widowControl/>
              <w:suppressLineNumbers w:val="0"/>
              <w:wordWrap w:val="0"/>
              <w:spacing w:before="0" w:beforeAutospacing="0" w:after="0" w:afterAutospacing="0"/>
              <w:ind w:left="0" w:right="0" w:firstLine="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本项目中标人的确定（以采购包为单位）：</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（1）采购人应在政府采购招投标管理办法规定的时限内确定中标人。</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（2）若出现中标候选人并列情形，则按照下列方式确定中标人：</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①招标文件规定的方式：无。</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②若本款第①点规定方式为“无”，则按照下列方式确定：无。</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③若本款第①、②点规定方式均为“无”，则按照下列方式确定：随机抽取。</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lang w:eastAsia="zh-CN"/>
              </w:rPr>
            </w:pPr>
            <w:r>
              <w:rPr>
                <w:rFonts w:hint="eastAsia" w:ascii="宋体" w:hAnsi="宋体" w:eastAsia="宋体" w:cs="宋体"/>
                <w:color w:val="auto"/>
                <w:spacing w:val="0"/>
                <w:sz w:val="24"/>
                <w:szCs w:val="24"/>
                <w:highlight w:val="none"/>
              </w:rPr>
              <w:t>（3）本项目确定的中标人家数：</w:t>
            </w:r>
            <w:r>
              <w:rPr>
                <w:rFonts w:hint="eastAsia" w:ascii="宋体" w:hAnsi="宋体" w:eastAsia="宋体" w:cs="宋体"/>
                <w:color w:val="auto"/>
                <w:spacing w:val="0"/>
                <w:highlight w:val="none"/>
              </w:rPr>
              <w:t>本项目确定项目包1中标人数为1家</w:t>
            </w:r>
            <w:r>
              <w:rPr>
                <w:rFonts w:hint="eastAsia" w:ascii="宋体" w:hAnsi="宋体" w:eastAsia="宋体" w:cs="宋体"/>
                <w:color w:val="auto"/>
                <w:spacing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0" w:type="dxa"/>
            <w:shd w:val="clear" w:color="auto" w:fill="auto"/>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8</w:t>
            </w:r>
          </w:p>
        </w:tc>
        <w:tc>
          <w:tcPr>
            <w:tcW w:w="1506"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15.1-（2）</w:t>
            </w:r>
          </w:p>
        </w:tc>
        <w:tc>
          <w:tcPr>
            <w:tcW w:w="6425" w:type="dxa"/>
            <w:shd w:val="clear" w:color="auto" w:fill="auto"/>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质疑函原件应采用下列方式提交：</w:t>
            </w:r>
            <w:r>
              <w:rPr>
                <w:rFonts w:hint="eastAsia" w:ascii="宋体" w:hAnsi="宋体" w:eastAsia="宋体" w:cs="宋体"/>
                <w:color w:val="auto"/>
                <w:spacing w:val="0"/>
                <w:sz w:val="24"/>
                <w:szCs w:val="24"/>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0" w:type="dxa"/>
            <w:shd w:val="clear" w:color="auto" w:fill="auto"/>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9</w:t>
            </w:r>
          </w:p>
        </w:tc>
        <w:tc>
          <w:tcPr>
            <w:tcW w:w="1506"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15.4</w:t>
            </w:r>
          </w:p>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tc>
        <w:tc>
          <w:tcPr>
            <w:tcW w:w="6425" w:type="dxa"/>
            <w:shd w:val="clear" w:color="auto" w:fill="auto"/>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招标文件的质疑</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（1）潜在投标人可在质疑时效期间内对招标文件以书面形式提出质疑。</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（2）质疑时效期间：应在依法获取招标文件之日起7个工作日内向福建省招标中心有限责任公司提出，依法获取招标文件的时间以福建省政府采购网上公开信息系统记载的为准。</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0" w:type="dxa"/>
            <w:shd w:val="clear" w:color="auto" w:fill="auto"/>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w:t>
            </w:r>
          </w:p>
        </w:tc>
        <w:tc>
          <w:tcPr>
            <w:tcW w:w="1506"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16.1</w:t>
            </w:r>
          </w:p>
        </w:tc>
        <w:tc>
          <w:tcPr>
            <w:tcW w:w="642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监督管理部门：</w:t>
            </w:r>
            <w:r>
              <w:rPr>
                <w:rFonts w:hint="eastAsia" w:ascii="宋体" w:hAnsi="宋体" w:eastAsia="宋体" w:cs="宋体"/>
                <w:color w:val="auto"/>
                <w:spacing w:val="0"/>
                <w:sz w:val="24"/>
                <w:szCs w:val="24"/>
                <w:highlight w:val="none"/>
              </w:rPr>
              <w:t>福州市财政局</w:t>
            </w:r>
            <w:r>
              <w:rPr>
                <w:rStyle w:val="17"/>
                <w:rFonts w:hint="eastAsia" w:ascii="宋体" w:hAnsi="宋体" w:eastAsia="宋体" w:cs="宋体"/>
                <w:color w:val="auto"/>
                <w:spacing w:val="0"/>
                <w:sz w:val="24"/>
                <w:szCs w:val="24"/>
                <w:highlight w:val="none"/>
              </w:rPr>
              <w:t>（仅限依法进行政府采购的货物或服务类项目）</w:t>
            </w:r>
            <w:r>
              <w:rPr>
                <w:rFonts w:hint="eastAsia" w:ascii="宋体" w:hAnsi="宋体" w:eastAsia="宋体" w:cs="宋体"/>
                <w:color w:val="auto"/>
                <w:spacing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0" w:type="dxa"/>
            <w:shd w:val="clear" w:color="auto" w:fill="auto"/>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w:t>
            </w:r>
          </w:p>
        </w:tc>
        <w:tc>
          <w:tcPr>
            <w:tcW w:w="1506"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18.1</w:t>
            </w:r>
          </w:p>
        </w:tc>
        <w:tc>
          <w:tcPr>
            <w:tcW w:w="6425" w:type="dxa"/>
            <w:shd w:val="clear" w:color="auto" w:fill="auto"/>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财政部和福建省财政厅指定的政府采购信息发布媒体（以下简称：“指定媒体”）：</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（1）中国政府采购网，网址www.ccgp.gov.cn</w:t>
            </w:r>
            <w:r>
              <w:rPr>
                <w:rFonts w:hint="eastAsia" w:ascii="宋体" w:hAnsi="宋体" w:eastAsia="宋体" w:cs="宋体"/>
                <w:color w:val="auto"/>
                <w:highlight w:val="none"/>
              </w:rPr>
              <w:t>。</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（2）中国政府采购网福建分网（福建省政府采购网），网址zfcg.czt.fujian.gov.cn</w:t>
            </w:r>
            <w:r>
              <w:rPr>
                <w:rFonts w:hint="eastAsia" w:ascii="宋体" w:hAnsi="宋体" w:eastAsia="宋体" w:cs="宋体"/>
                <w:color w:val="auto"/>
                <w:highlight w:val="none"/>
              </w:rPr>
              <w:t>。</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0" w:type="dxa"/>
            <w:shd w:val="clear" w:color="auto" w:fill="auto"/>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w:t>
            </w:r>
          </w:p>
        </w:tc>
        <w:tc>
          <w:tcPr>
            <w:tcW w:w="1506"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19</w:t>
            </w:r>
          </w:p>
        </w:tc>
        <w:tc>
          <w:tcPr>
            <w:tcW w:w="6425" w:type="dxa"/>
            <w:shd w:val="clear" w:color="auto" w:fill="auto"/>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其他事项：</w:t>
            </w:r>
          </w:p>
          <w:p>
            <w:pPr>
              <w:pStyle w:val="14"/>
              <w:keepNext w:val="0"/>
              <w:keepLines w:val="0"/>
              <w:widowControl/>
              <w:suppressLineNumbers w:val="0"/>
              <w:wordWrap w:val="0"/>
              <w:spacing w:before="0" w:beforeAutospacing="0" w:after="0" w:afterAutospacing="0"/>
              <w:ind w:left="0"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(1)本项目代理服务费由</w:t>
            </w:r>
            <w:r>
              <w:rPr>
                <w:rFonts w:hint="eastAsia" w:ascii="宋体" w:hAnsi="宋体" w:eastAsia="宋体" w:cs="宋体"/>
                <w:color w:val="auto"/>
                <w:spacing w:val="0"/>
                <w:sz w:val="24"/>
                <w:szCs w:val="24"/>
                <w:highlight w:val="none"/>
              </w:rPr>
              <w:t>中标人</w:t>
            </w:r>
            <w:r>
              <w:rPr>
                <w:rStyle w:val="17"/>
                <w:rFonts w:hint="eastAsia" w:ascii="宋体" w:hAnsi="宋体" w:eastAsia="宋体" w:cs="宋体"/>
                <w:color w:val="auto"/>
                <w:spacing w:val="0"/>
                <w:sz w:val="24"/>
                <w:szCs w:val="24"/>
                <w:highlight w:val="none"/>
              </w:rPr>
              <w:t>支付。</w:t>
            </w:r>
            <w:r>
              <w:rPr>
                <w:rStyle w:val="17"/>
                <w:rFonts w:hint="eastAsia" w:ascii="宋体" w:hAnsi="宋体" w:eastAsia="宋体" w:cs="宋体"/>
                <w:color w:val="auto"/>
                <w:spacing w:val="0"/>
                <w:sz w:val="24"/>
                <w:szCs w:val="24"/>
                <w:highlight w:val="none"/>
              </w:rPr>
              <w:br w:type="textWrapping"/>
            </w:r>
            <w:r>
              <w:rPr>
                <w:rStyle w:val="17"/>
                <w:rFonts w:hint="eastAsia" w:ascii="宋体" w:hAnsi="宋体" w:eastAsia="宋体" w:cs="宋体"/>
                <w:color w:val="auto"/>
                <w:spacing w:val="0"/>
                <w:sz w:val="24"/>
                <w:szCs w:val="24"/>
                <w:highlight w:val="none"/>
              </w:rPr>
              <w:t>(2)其他：</w:t>
            </w:r>
            <w:r>
              <w:rPr>
                <w:rFonts w:hint="eastAsia" w:ascii="宋体" w:hAnsi="宋体" w:eastAsia="宋体" w:cs="宋体"/>
                <w:color w:val="auto"/>
                <w:spacing w:val="0"/>
                <w:sz w:val="24"/>
                <w:szCs w:val="24"/>
                <w:highlight w:val="none"/>
              </w:rPr>
              <w:t>①本项目的招标代理服务费由中标人支付，具体收费标准：100万元以下 1.5%；100万元-500万元 0.8%；500万元-1000万元0.45%；1000万元-5000万元0.25%，招标服务费按照合同包中标金额以差额定率累进法计算。中标人应在领取中标通知书前以转帐、电汇付款方式一次性向采购代理机构缴纳招标代理服务费。 服务费缴纳账户信息：【开户名：福建省招标中心有限责任公司；开户行：兴业银行福州西门支行；账 号：118080100100104492】。②若因投标人自身原因导致其电子投标文件无法解密的，投标将被拒绝。③质疑受理的其它要求： A、质疑人线下提交书面质疑的，质疑书还应包括：a、质疑人已在福建省政府采购网上公开信息系统上已对本项目进行报名的证明文件（体现报名时间），否则将不被认定为潜在投标人【招标文件首次下载之日为质疑人在福建省政府采购网上公开信息系统成功报名之日】；b、质疑人为法人或其他组织的，质疑函需逐页加盖质疑人单位公章；若本项目接受自然人投标且质疑人为自然人的，质疑函需质疑人本人逐页签名。B、在法定质疑期内供 应商须一次性提出针对同一采购程序环节的质疑，二（多）次质疑不予受理，采购代理机构或采购人只针对第一次有效质疑进行答复。C、投标人对本项目招标文件有任何疑议或不认同之处，需在法定时间内按规定以书面方式提出质疑，否则视为投标人接受招标文件的规定。④开标后，如个别供应商开标报价明显低于其它供应商报价的，根据系统自动预警提示，评标时，评委会将会对价格合理性进行评估，根据《政府采购货物和服务招标投标管理办法》87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⑤信用记录查询的截止时点：信用记录查询的截止时点为本项目投标截止当日。 信用记录查询渠道：信用中国（www.creditchina.gov.cn）、中国政府采购网（www.ccgp.gov.cn）。 信用记录的查询：由资格审查小组通过上述网站查询并打印投标人的信用记录。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 ⑥因疫情影响享受缓缴或免缴社保、税款的企业，无法提供相关社保、税收缴纳证明材料的，提供有关情况说明视同社保、税收缴纳证明材料提交完整。⑦关于招标文件要求的“财务状况报告（财务报告、或资信证明、或投标担保函）”的补充说明：“上一年度”是指2020年度或2021年度均视同为满足招标文件的要求。⑧为本项目的整体采购项目的前期工作提供项目可行性研究报告编制单位为“福建省邮电规划设计院有限公司”，其不得再参加本项目整体项目及本项目所有分项的采购活动。⑨本项目为非专门面向中小企业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096" w:type="dxa"/>
            <w:gridSpan w:val="2"/>
            <w:shd w:val="clear" w:color="auto" w:fill="auto"/>
            <w:tcMar>
              <w:top w:w="75" w:type="dxa"/>
              <w:left w:w="150" w:type="dxa"/>
              <w:bottom w:w="75" w:type="dxa"/>
              <w:right w:w="150" w:type="dxa"/>
            </w:tcMar>
            <w:vAlign w:val="center"/>
          </w:tcPr>
          <w:p>
            <w:pPr>
              <w:pStyle w:val="14"/>
              <w:keepNext w:val="0"/>
              <w:keepLines w:val="0"/>
              <w:widowControl/>
              <w:suppressLineNumbers w:val="0"/>
              <w:spacing w:before="0" w:beforeAutospacing="0" w:after="0"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备注</w:t>
            </w:r>
          </w:p>
        </w:tc>
        <w:tc>
          <w:tcPr>
            <w:tcW w:w="6425" w:type="dxa"/>
            <w:shd w:val="clear" w:color="auto" w:fill="auto"/>
            <w:tcMar>
              <w:top w:w="75" w:type="dxa"/>
              <w:left w:w="150" w:type="dxa"/>
              <w:bottom w:w="75" w:type="dxa"/>
              <w:right w:w="150" w:type="dxa"/>
            </w:tcMar>
            <w:vAlign w:val="center"/>
          </w:tcPr>
          <w:p>
            <w:pPr>
              <w:pStyle w:val="14"/>
              <w:keepNext w:val="0"/>
              <w:keepLines w:val="0"/>
              <w:widowControl/>
              <w:suppressLineNumbers w:val="0"/>
              <w:wordWrap w:val="0"/>
              <w:spacing w:before="0" w:beforeAutospacing="0" w:after="0" w:afterAutospacing="0"/>
              <w:ind w:left="0" w:right="0" w:firstLine="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后有投标人须知前附表2，请勿遗漏。</w:t>
            </w:r>
          </w:p>
        </w:tc>
      </w:tr>
    </w:tbl>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rPr>
          <w:rStyle w:val="17"/>
          <w:rFonts w:hint="eastAsia" w:ascii="宋体" w:hAnsi="宋体" w:eastAsia="宋体" w:cs="宋体"/>
          <w:color w:val="auto"/>
          <w:highlight w:val="none"/>
        </w:rPr>
      </w:pPr>
      <w:r>
        <w:rPr>
          <w:rStyle w:val="17"/>
          <w:rFonts w:hint="eastAsia" w:ascii="宋体" w:hAnsi="宋体" w:eastAsia="宋体" w:cs="宋体"/>
          <w:color w:val="auto"/>
          <w:highlight w:val="none"/>
        </w:rPr>
        <w:br w:type="page"/>
      </w:r>
    </w:p>
    <w:p>
      <w:pPr>
        <w:pStyle w:val="14"/>
        <w:keepNext w:val="0"/>
        <w:keepLines w:val="0"/>
        <w:widowControl/>
        <w:suppressLineNumbers w:val="0"/>
        <w:spacing w:before="75" w:beforeAutospacing="0" w:after="240" w:afterAutospacing="0"/>
        <w:ind w:left="0" w:right="0" w:firstLine="0"/>
        <w:jc w:val="center"/>
        <w:outlineLvl w:val="1"/>
        <w:rPr>
          <w:rFonts w:hint="eastAsia" w:ascii="宋体" w:hAnsi="宋体" w:eastAsia="宋体" w:cs="宋体"/>
          <w:color w:val="auto"/>
          <w:highlight w:val="none"/>
        </w:rPr>
      </w:pPr>
      <w:bookmarkStart w:id="3" w:name="_Toc5699"/>
      <w:r>
        <w:rPr>
          <w:rStyle w:val="17"/>
          <w:rFonts w:hint="eastAsia" w:ascii="宋体" w:hAnsi="宋体" w:eastAsia="宋体" w:cs="宋体"/>
          <w:color w:val="auto"/>
          <w:highlight w:val="none"/>
        </w:rPr>
        <w:t>二、投标人须知前附表2</w:t>
      </w:r>
      <w:bookmarkEnd w:id="3"/>
    </w:p>
    <w:tbl>
      <w:tblPr>
        <w:tblStyle w:val="15"/>
        <w:tblW w:w="8611"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22"/>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51" w:type="dxa"/>
            <w:gridSpan w:val="2"/>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77"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序号</w:t>
            </w:r>
          </w:p>
        </w:tc>
        <w:tc>
          <w:tcPr>
            <w:tcW w:w="8044"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77"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w:t>
            </w:r>
          </w:p>
        </w:tc>
        <w:tc>
          <w:tcPr>
            <w:tcW w:w="8044" w:type="dxa"/>
            <w:shd w:val="clear" w:color="auto" w:fill="auto"/>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（1）电子招标投标活动的专门规定适用本项目电子招标投标活动。</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（2）将招标文件</w:t>
            </w:r>
            <w:r>
              <w:rPr>
                <w:rFonts w:hint="eastAsia" w:ascii="宋体" w:hAnsi="宋体" w:eastAsia="宋体" w:cs="宋体"/>
                <w:color w:val="auto"/>
                <w:spacing w:val="0"/>
                <w:sz w:val="24"/>
                <w:szCs w:val="24"/>
                <w:highlight w:val="none"/>
                <w:u w:val="single"/>
              </w:rPr>
              <w:t>无</w:t>
            </w:r>
            <w:r>
              <w:rPr>
                <w:rFonts w:hint="eastAsia" w:ascii="宋体" w:hAnsi="宋体" w:eastAsia="宋体" w:cs="宋体"/>
                <w:color w:val="auto"/>
                <w:spacing w:val="0"/>
                <w:sz w:val="24"/>
                <w:szCs w:val="24"/>
                <w:highlight w:val="none"/>
              </w:rPr>
              <w:t>的内容</w:t>
            </w:r>
            <w:r>
              <w:rPr>
                <w:rStyle w:val="17"/>
                <w:rFonts w:hint="eastAsia" w:ascii="宋体" w:hAnsi="宋体" w:eastAsia="宋体" w:cs="宋体"/>
                <w:color w:val="auto"/>
                <w:spacing w:val="0"/>
                <w:sz w:val="24"/>
                <w:szCs w:val="24"/>
                <w:highlight w:val="none"/>
              </w:rPr>
              <w:t>修正为</w:t>
            </w:r>
            <w:r>
              <w:rPr>
                <w:rFonts w:hint="eastAsia" w:ascii="宋体" w:hAnsi="宋体" w:eastAsia="宋体" w:cs="宋体"/>
                <w:color w:val="auto"/>
                <w:spacing w:val="0"/>
                <w:sz w:val="24"/>
                <w:szCs w:val="24"/>
                <w:highlight w:val="none"/>
              </w:rPr>
              <w:t>下列内容：</w:t>
            </w:r>
            <w:r>
              <w:rPr>
                <w:rFonts w:hint="eastAsia" w:ascii="宋体" w:hAnsi="宋体" w:eastAsia="宋体" w:cs="宋体"/>
                <w:color w:val="auto"/>
                <w:spacing w:val="0"/>
                <w:sz w:val="24"/>
                <w:szCs w:val="24"/>
                <w:highlight w:val="none"/>
                <w:u w:val="single"/>
              </w:rPr>
              <w:t>无</w:t>
            </w:r>
            <w:r>
              <w:rPr>
                <w:rFonts w:hint="eastAsia" w:ascii="宋体" w:hAnsi="宋体" w:eastAsia="宋体" w:cs="宋体"/>
                <w:color w:val="auto"/>
                <w:spacing w:val="0"/>
                <w:sz w:val="24"/>
                <w:szCs w:val="24"/>
                <w:highlight w:val="none"/>
              </w:rPr>
              <w:t>后适用本项目的电子招标投标活动。</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（3）将下列内容</w:t>
            </w:r>
            <w:r>
              <w:rPr>
                <w:rStyle w:val="17"/>
                <w:rFonts w:hint="eastAsia" w:ascii="宋体" w:hAnsi="宋体" w:eastAsia="宋体" w:cs="宋体"/>
                <w:color w:val="auto"/>
                <w:spacing w:val="0"/>
                <w:sz w:val="24"/>
                <w:szCs w:val="24"/>
                <w:highlight w:val="none"/>
              </w:rPr>
              <w:t>增列为</w:t>
            </w:r>
            <w:r>
              <w:rPr>
                <w:rFonts w:hint="eastAsia" w:ascii="宋体" w:hAnsi="宋体" w:eastAsia="宋体" w:cs="宋体"/>
                <w:color w:val="auto"/>
                <w:spacing w:val="0"/>
                <w:sz w:val="24"/>
                <w:szCs w:val="24"/>
                <w:highlight w:val="none"/>
              </w:rPr>
              <w:t>招标文件的组成部分（以下简称：“增列内容”）适用本项目的电子招标投标活动，若增列内容与招标文件其他章节内容有冲突，应以增列内容为准：</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①电子招标投标活动的具体操作流程以福建省政府采购网上公开信息系统设定的为准。</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②关于投标文件：</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a.投标人应按照福建省政府采购网上公开信息系统设定的评审节点编制电子投标文件，否则</w:t>
            </w:r>
            <w:r>
              <w:rPr>
                <w:rStyle w:val="17"/>
                <w:rFonts w:hint="eastAsia" w:ascii="宋体" w:hAnsi="宋体" w:eastAsia="宋体" w:cs="宋体"/>
                <w:color w:val="auto"/>
                <w:spacing w:val="0"/>
                <w:sz w:val="24"/>
                <w:szCs w:val="24"/>
                <w:highlight w:val="none"/>
              </w:rPr>
              <w:t>资格审查小组、评标委员会将按照不利于投标人的内容进行认定。</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b.投标人应在投标截止时间前按照福建省政府采购网上公开信息系统设定的操作流程将电子投标文件</w:t>
            </w:r>
            <w:r>
              <w:rPr>
                <w:rStyle w:val="17"/>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份上传至福建省政府采购网上公开信息系统。电子投标文件的分项报价一览表、投标客户端的分项报价一览表应保持一致，并以投标客户端的分项报价一览表为准。</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③关于证明材料或资料：</w:t>
            </w:r>
          </w:p>
          <w:p>
            <w:pPr>
              <w:pStyle w:val="14"/>
              <w:keepNext w:val="0"/>
              <w:keepLines w:val="0"/>
              <w:widowControl/>
              <w:suppressLineNumbers w:val="0"/>
              <w:wordWrap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w:t>
            </w:r>
            <w:r>
              <w:rPr>
                <w:rStyle w:val="17"/>
                <w:rFonts w:hint="eastAsia" w:ascii="宋体" w:hAnsi="宋体" w:eastAsia="宋体" w:cs="宋体"/>
                <w:color w:val="auto"/>
                <w:sz w:val="24"/>
                <w:szCs w:val="24"/>
                <w:highlight w:val="none"/>
              </w:rPr>
              <w:t>（未能在规定时间内提供原件核查的，将按不利于投标人进行评审）</w:t>
            </w:r>
            <w:r>
              <w:rPr>
                <w:rFonts w:hint="eastAsia" w:ascii="宋体" w:hAnsi="宋体" w:eastAsia="宋体" w:cs="宋体"/>
                <w:color w:val="auto"/>
                <w:sz w:val="24"/>
                <w:szCs w:val="24"/>
                <w:highlight w:val="none"/>
              </w:rPr>
              <w:t>；招标文件要求复印件的，投标人在投标文件中提供原件、复印件（含扫描件）皆可；招标文件对原件、复印件未作要求的，投标人在投标文件中提供原件、复印件（含扫描件）皆可。</w:t>
            </w:r>
          </w:p>
          <w:p>
            <w:pPr>
              <w:pStyle w:val="14"/>
              <w:keepNext w:val="0"/>
              <w:keepLines w:val="0"/>
              <w:widowControl/>
              <w:suppressLineNumbers w:val="0"/>
              <w:wordWrap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r>
              <w:rPr>
                <w:rStyle w:val="17"/>
                <w:rFonts w:hint="eastAsia" w:ascii="宋体" w:hAnsi="宋体" w:eastAsia="宋体" w:cs="宋体"/>
                <w:color w:val="auto"/>
                <w:sz w:val="24"/>
                <w:szCs w:val="24"/>
                <w:highlight w:val="none"/>
              </w:rPr>
              <w:t>。</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④关于“全称”、“投标人代表签字”及“加盖单位公章”：</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a.在电子投标文件中，涉及“全称”和“投标人代表签字”的内容可使用打字录入方式完成。</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b.在电子投标文件中，涉及“加盖单位公章”的内容应使用投标人的CA证书完成，否则</w:t>
            </w:r>
            <w:r>
              <w:rPr>
                <w:rStyle w:val="17"/>
                <w:rFonts w:hint="eastAsia" w:ascii="宋体" w:hAnsi="宋体" w:eastAsia="宋体" w:cs="宋体"/>
                <w:color w:val="auto"/>
                <w:spacing w:val="0"/>
                <w:sz w:val="24"/>
                <w:szCs w:val="24"/>
                <w:highlight w:val="none"/>
              </w:rPr>
              <w:t>投标无效。</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c.在电子投标文件中，若投标人按照本增列内容第④点第b项规定加盖其单位公章，则出现无全称、或投标人代表未签字等情形，</w:t>
            </w:r>
            <w:r>
              <w:rPr>
                <w:rStyle w:val="17"/>
                <w:rFonts w:hint="eastAsia" w:ascii="宋体" w:hAnsi="宋体" w:eastAsia="宋体" w:cs="宋体"/>
                <w:color w:val="auto"/>
                <w:spacing w:val="0"/>
                <w:sz w:val="24"/>
                <w:szCs w:val="24"/>
                <w:highlight w:val="none"/>
              </w:rPr>
              <w:t>不视为投标无效。</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⑤关于投标人的CA证书：</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a.投标人的CA证书应在投标截止时间前送达招标文件第一章第9条载明的地点，否则</w:t>
            </w:r>
            <w:r>
              <w:rPr>
                <w:rStyle w:val="17"/>
                <w:rFonts w:hint="eastAsia" w:ascii="宋体" w:hAnsi="宋体" w:eastAsia="宋体" w:cs="宋体"/>
                <w:color w:val="auto"/>
                <w:spacing w:val="0"/>
                <w:sz w:val="24"/>
                <w:szCs w:val="24"/>
                <w:highlight w:val="none"/>
              </w:rPr>
              <w:t>投标将被拒绝。</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b.投标人的CA证书可采用信封（包括但不限于：信封、档案袋、文件袋等）作为外包装进行单独包装。外包装密封、不密封皆可。</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c.投标人的CA证书或外包装应标记“项目名称、项目编号、投标人的全称”等内容，以方便识别、使用。</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d.投标人的CA证书应能正常、有效使用，否则产生不利后果由投标人承担责任。</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⑥关于投标截止时间过后</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a.未按招标文件规定提交投标保证金的，</w:t>
            </w:r>
            <w:r>
              <w:rPr>
                <w:rStyle w:val="17"/>
                <w:rFonts w:hint="eastAsia" w:ascii="宋体" w:hAnsi="宋体" w:eastAsia="宋体" w:cs="宋体"/>
                <w:color w:val="auto"/>
                <w:spacing w:val="0"/>
                <w:sz w:val="24"/>
                <w:szCs w:val="24"/>
                <w:highlight w:val="none"/>
              </w:rPr>
              <w:t>其投标将按无效投标处理。</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b.有下列情形之一的，其</w:t>
            </w:r>
            <w:r>
              <w:rPr>
                <w:rStyle w:val="17"/>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,其保证金不予退还：</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b1不同投标人的电子投标文件具有相同内部识别码；</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b2不同投标人的投标保证金从同一单位或个人的账户转出；</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b3投标人的投标保证金同一采购包下有其他投标人提交的投标保证金</w:t>
            </w:r>
          </w:p>
          <w:p>
            <w:pPr>
              <w:pStyle w:val="14"/>
              <w:keepNext w:val="0"/>
              <w:keepLines w:val="0"/>
              <w:widowControl/>
              <w:suppressLineNumbers w:val="0"/>
              <w:wordWrap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b4不同投标人存在串通投标的其他情形。</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4"/>
              <w:keepNext w:val="0"/>
              <w:keepLines w:val="0"/>
              <w:widowControl/>
              <w:suppressLineNumbers w:val="0"/>
              <w:wordWrap w:val="0"/>
              <w:spacing w:before="0" w:beforeAutospacing="0" w:after="0" w:afterAutospacing="0"/>
              <w:ind w:left="0" w:right="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⑧其他：无。</w:t>
            </w:r>
          </w:p>
        </w:tc>
      </w:tr>
    </w:tbl>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rPr>
          <w:rStyle w:val="17"/>
          <w:rFonts w:hint="eastAsia" w:ascii="宋体" w:hAnsi="宋体" w:eastAsia="宋体" w:cs="宋体"/>
          <w:color w:val="auto"/>
          <w:spacing w:val="0"/>
          <w:sz w:val="31"/>
          <w:szCs w:val="31"/>
          <w:highlight w:val="none"/>
        </w:rPr>
      </w:pPr>
      <w:r>
        <w:rPr>
          <w:rStyle w:val="17"/>
          <w:rFonts w:hint="eastAsia" w:ascii="宋体" w:hAnsi="宋体" w:eastAsia="宋体" w:cs="宋体"/>
          <w:color w:val="auto"/>
          <w:spacing w:val="0"/>
          <w:sz w:val="31"/>
          <w:szCs w:val="31"/>
          <w:highlight w:val="none"/>
        </w:rPr>
        <w:br w:type="page"/>
      </w:r>
    </w:p>
    <w:p>
      <w:pPr>
        <w:pStyle w:val="14"/>
        <w:keepNext w:val="0"/>
        <w:keepLines w:val="0"/>
        <w:widowControl/>
        <w:suppressLineNumbers w:val="0"/>
        <w:spacing w:before="75" w:beforeAutospacing="0" w:after="75" w:afterAutospacing="0"/>
        <w:ind w:left="0" w:right="0" w:firstLine="0"/>
        <w:jc w:val="center"/>
        <w:outlineLvl w:val="0"/>
        <w:rPr>
          <w:rFonts w:hint="eastAsia" w:ascii="宋体" w:hAnsi="宋体" w:eastAsia="宋体" w:cs="宋体"/>
          <w:color w:val="auto"/>
          <w:highlight w:val="none"/>
        </w:rPr>
      </w:pPr>
      <w:bookmarkStart w:id="4" w:name="_Toc8231"/>
      <w:r>
        <w:rPr>
          <w:rStyle w:val="17"/>
          <w:rFonts w:hint="eastAsia" w:ascii="宋体" w:hAnsi="宋体" w:eastAsia="宋体" w:cs="宋体"/>
          <w:color w:val="auto"/>
          <w:spacing w:val="0"/>
          <w:sz w:val="31"/>
          <w:szCs w:val="31"/>
          <w:highlight w:val="none"/>
        </w:rPr>
        <w:t>第三章   投标人须知</w:t>
      </w:r>
      <w:bookmarkEnd w:id="4"/>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一、总则</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1、适用范围</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1.1适用于招标文件载明项目的政府采购活动（以下简称：“本次采购活动”）。</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2、定义</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2.1“采购标的”指招标文件载明的需要采购的货物或服务。</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2.2“潜在投标人”指按照招标文件第一章第7条规定获取招标文件且有意向参加本项目投标的供应商。</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2.3“投标人”指按照招标文件第一章第7条规定获取招标文件并参加本项目投标的供应商。</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2.4“单位负责人”指单位法定代表人或法律、法规规定代表单位行使职权的主要负责人。</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2.5“投标人代表”指投标人的单位负责人或“单位负责人授权书”中载明的接受授权方。</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二、投标人</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3、合格投标人</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3.1一般规定</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（1）投标人应遵守政府采购法及实施条例、政府采购招投标管理办法、</w:t>
      </w:r>
      <w:r>
        <w:rPr>
          <w:rFonts w:hint="eastAsia" w:ascii="宋体" w:hAnsi="宋体" w:eastAsia="宋体" w:cs="宋体"/>
          <w:color w:val="auto"/>
          <w:highlight w:val="none"/>
        </w:rPr>
        <w:t>政府采购质疑和投诉办法及财政部、</w:t>
      </w:r>
      <w:r>
        <w:rPr>
          <w:rFonts w:hint="eastAsia" w:ascii="宋体" w:hAnsi="宋体" w:eastAsia="宋体" w:cs="宋体"/>
          <w:color w:val="auto"/>
          <w:spacing w:val="0"/>
          <w:highlight w:val="none"/>
        </w:rPr>
        <w:t>福建省财政厅有关政府采购文件的规定，同时还应遵守有关法律、法规和规章的强制性规定。</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（2）投标人的资格要求：详见招标文件第一章。</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3.2若本项目接受联合体投标且投标人为联合体，则联合体各方应遵守本章第3.1条规定，同时还应遵守下列规定：</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（1）联合体各方应提交联合体协议，联合体协议应符合招标文件规定。</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（2）联合体各方不得再单独参加或与其他供应商另外组成联合体参加同一合同项下的投标。</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（3）联合体各方应共同与采购人签订政府采购合同，就政府采购合同约定的事项对采购人承担连带责任。</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4、投标费用</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4.1除招标文件另有规定外，投标人应自行承担其参加本项目投标所涉及的一切费用。</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三、招标</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5、招标文件</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5.1招标文件由下述部分组成：</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（1）投标邀请</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（2）投标人须知前附表（表1、2）</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（3）投标人须知</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（4）资格审查与评标</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（5）招标内容及要求</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（6）政府采购合同（参考文本）</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（7）投标文件格式</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（8）按照招标文件规定作为招标文件组成部分的其他内容（若有）</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5.2招标文件的澄清或修改</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可对已发出的招标文件进行必要的澄清或修改，但不得对招标文件载明的采购标的和投标人的资格要求进行改变。</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（2）除本章第5.2条第（3）款规定情形外，澄清或修改的内容可能影响投标文件编制的，</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将在投标截止时间至少15个日历日前，在招标文件载明的指定媒体以更正公告的形式发布澄清或修改的内容。不足15个日历日的，</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将顺延投标截止时间及开标时间，</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和投标人受原投标截止时间及开标时间制约的所有权利和义务均延长至新的投标截止时间及开标时间。</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（3）澄清或修改的内容可能改变招标文件载明的采购标的和投标人的资格要求的，本次采购活动结束，</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将依法组织后续采购活动（包括但不限于：重新招标、采用其他方式采购等）。</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6、现场考察或开标前答疑会</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6.1是否组织现场考察或召开开标前答疑会：详见招标文件第二章。</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7、更正公告</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7.1若</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发布更正公告，则更正公告及其所发布的内容或信息（包括但不限于：招标文件的澄清或修改、现场考察或答疑会的有关事宜等）</w:t>
      </w:r>
      <w:r>
        <w:rPr>
          <w:rStyle w:val="17"/>
          <w:rFonts w:hint="eastAsia" w:ascii="宋体" w:hAnsi="宋体" w:eastAsia="宋体" w:cs="宋体"/>
          <w:color w:val="auto"/>
          <w:spacing w:val="0"/>
          <w:sz w:val="24"/>
          <w:szCs w:val="24"/>
          <w:highlight w:val="none"/>
        </w:rPr>
        <w:t>作为招标文件组成部分</w:t>
      </w:r>
      <w:r>
        <w:rPr>
          <w:rFonts w:hint="eastAsia" w:ascii="宋体" w:hAnsi="宋体" w:eastAsia="宋体" w:cs="宋体"/>
          <w:color w:val="auto"/>
          <w:spacing w:val="0"/>
          <w:sz w:val="24"/>
          <w:szCs w:val="24"/>
          <w:highlight w:val="none"/>
        </w:rPr>
        <w:t>，对投标人具有约束力。</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7.2更正公告作为</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通知所有潜在投标人的书面形式。</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8、终止公告</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8.1若出现因重大变故导致采购任务取消情形，</w:t>
      </w:r>
      <w:r>
        <w:rPr>
          <w:rFonts w:hint="eastAsia" w:ascii="宋体" w:hAnsi="宋体" w:eastAsia="宋体" w:cs="宋体"/>
          <w:color w:val="auto"/>
          <w:spacing w:val="0"/>
          <w:sz w:val="24"/>
          <w:szCs w:val="24"/>
          <w:highlight w:val="none"/>
          <w:u w:val="none"/>
        </w:rPr>
        <w:t>福建省招标中心有限责任公司可终止招标并发布终止公告。</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u w:val="none"/>
        </w:rPr>
        <w:t>8.2终止公告作为福建省招标中心有限责任公司</w:t>
      </w:r>
      <w:r>
        <w:rPr>
          <w:rFonts w:hint="eastAsia" w:ascii="宋体" w:hAnsi="宋体" w:eastAsia="宋体" w:cs="宋体"/>
          <w:color w:val="auto"/>
          <w:spacing w:val="0"/>
          <w:sz w:val="24"/>
          <w:szCs w:val="24"/>
          <w:highlight w:val="none"/>
        </w:rPr>
        <w:t>通知所有潜在投标人的书面形式。</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四、投标</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9、投标</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9.1投标人可对招标文件载明的全部或部分采购包进行投标。</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9.2投标人应对同一个采购包内的所有内容进行完整投标，否则</w:t>
      </w:r>
      <w:r>
        <w:rPr>
          <w:rStyle w:val="17"/>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9.3投标人代表只能接受一个投标人的授权参加投标，否则</w:t>
      </w:r>
      <w:r>
        <w:rPr>
          <w:rStyle w:val="17"/>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9.4单位负责人为同一人或存在直接控股、管理关系的不同供应商，不得同时参加同一合同项下的投标，否则</w:t>
      </w:r>
      <w:r>
        <w:rPr>
          <w:rStyle w:val="17"/>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9.5为本项目提供整体设计、规范编制或项目管理、监理、检测等服务的供应商，不得参加本项目除整体设计、规范编制和项目管理、监理、检测等服务外的采购活动，否则</w:t>
      </w:r>
      <w:r>
        <w:rPr>
          <w:rStyle w:val="17"/>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9.6列入失信被执行人、重大税收违法案件当事人名单、政府采购严重违法失信行为记录名单及其他不符合政府采购法第二十二条规定条件的供应商，不得参加投标，否则</w:t>
      </w:r>
      <w:r>
        <w:rPr>
          <w:rStyle w:val="17"/>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9.7有下列情形之一的，视为投标人串通投标，</w:t>
      </w:r>
      <w:r>
        <w:rPr>
          <w:rStyle w:val="17"/>
          <w:rFonts w:hint="eastAsia" w:ascii="宋体" w:hAnsi="宋体" w:eastAsia="宋体" w:cs="宋体"/>
          <w:color w:val="auto"/>
          <w:spacing w:val="0"/>
          <w:sz w:val="24"/>
          <w:szCs w:val="24"/>
          <w:highlight w:val="none"/>
        </w:rPr>
        <w:t>其投标无效：</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（1）不同投标人的投标文件由同一单位或个人编制；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（2）不同投标人委托同一单位或个人办理投标事宜；</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（3）不同投标人的投标文件载明的项目管理成员或联系人员为同一人；</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（4）不同投标人的投标文件异常一致或投标报价呈规律性差异；</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（5）不同投标人的投标文件相互混装；</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（6）不同投标人的投标保证金从同一单位或个人的账户转出；</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（7）有关法律、法规和规章及招标文件规定的其他串通投标情形。</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10、投标文件</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10.1投标文件的编制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（1）投标人应先仔细阅读招标文件的全部内容后，再进行投标文件的编制。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（2）投标文件应按照本章第10.2条规定编制其组成部分。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10.2投标文件由下述部分组成：</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（1）资格及资信证明部分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①投标函</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②投标人的资格及资信证明文件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③投标保证金</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（2）报价部分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①开标一览表</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②投标分项报价表</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③招标文件规定的价格扣除证明材料（若有）</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④招标文件规定的加分证明材料（若有）</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（3）技术商务部分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①标的说明一览表</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②技术和服务要求响应表</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③商务条件响应表</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④投标人提交的其他资料（若有）</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⑤招标文件规定作为投标文件组成部分的其他内容（若有）</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10.3投标文件的语言</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（1）除招标文件另有规定外，投标文件应使用中文文本，若有不同文本，以中文文本为准。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10.4投标文件的份数：详见招标文件第二章。</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10.5投标文件的格式</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（1）除招标文件另有规定外，投标文件应使用招标文件第七章规定的格式。</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（2）除招标文件另有规定外，投标文件应使用不能擦去的墨料或墨水打印、书写或复印。</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（3）除招标文件另有规定外，投标文件应使用人民币作为计量货币。</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（4）除招标文件另有规定外，签署、盖章应遵守下列规定：</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①投标文件应由投标人代表签字并加盖投标人的单位公章。若投标人代表为单位授权的委托代理人，应提供“单位授权书”。</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②投标文件应没有涂改或行间插字，除非这些改动是根据</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的指示进行的，或是为改正投标人造成的应修改的错误而进行的。若有前述改动，应按照下列规定之一对改动处进行处理：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a.投标人代表签字确认；</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b.加盖投标人的单位公章或校正章。</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10.6投标报价</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（1）投标报价超出最高限价将导致</w:t>
      </w:r>
      <w:r>
        <w:rPr>
          <w:rStyle w:val="17"/>
          <w:rFonts w:hint="eastAsia" w:ascii="宋体" w:hAnsi="宋体" w:eastAsia="宋体" w:cs="宋体"/>
          <w:color w:val="auto"/>
          <w:spacing w:val="0"/>
          <w:sz w:val="24"/>
          <w:szCs w:val="24"/>
          <w:highlight w:val="none"/>
        </w:rPr>
        <w:t>投标无效。</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（2）最高限价由采购人根据价格测算情况，在预算金额的额度内合理设定。最高限价不得超出预算金额。</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（3）除招标文件另有规定外，投标文件不能出现任何选择性的投标报价，即每一个采购包和品目号的采购标的都只能有一个投标报价。任何选择性的投标报价将导致</w:t>
      </w:r>
      <w:r>
        <w:rPr>
          <w:rStyle w:val="17"/>
          <w:rFonts w:hint="eastAsia" w:ascii="宋体" w:hAnsi="宋体" w:eastAsia="宋体" w:cs="宋体"/>
          <w:color w:val="auto"/>
          <w:spacing w:val="0"/>
          <w:sz w:val="24"/>
          <w:szCs w:val="24"/>
          <w:highlight w:val="none"/>
        </w:rPr>
        <w:t>投标无效。</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10.7分包</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（1）是否允许中标人将本项目的非主体、非关键性工作进行分包：详见招标文件第二章。</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（3）招标文件允许中标人将非主体、非关键性工作进行分包的项目，有下列情形之一的，中标人不得分包：</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①投标文件中未载明分包承担主体；</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②投标文件载明的分包承担主体不具备相应资质条件；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③投标文件载明的分包承担主体拟再次分包；</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④享受中小企业扶持政策获得政府采购合同的，小微企业不得将合同分包给大中型企业，中型企业不得将合同分包给大型企业。</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10.8投标有效期</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（1）招标文件载明的投标有效期：详见招标文件第二章。</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（2）投标文件承诺的投标有效期不得少于招标文件载明的投标有效期，否则</w:t>
      </w:r>
      <w:r>
        <w:rPr>
          <w:rStyle w:val="17"/>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（3）根据本次采购活动的需要，</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可于投标有效期届满之前书面要求投标人延长投标有效期，投标人应在</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10.9投标保证金</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（1）投标保证金作为投标人按照招标文件规定履行相应投标责任、义务的约束及担保。</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（2）投标保证金的有效期应与投标文件承诺的投标有效期保持一致，否则</w:t>
      </w:r>
      <w:r>
        <w:rPr>
          <w:rStyle w:val="17"/>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（3）提交</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①投标人应从其银行账户</w:t>
      </w:r>
      <w:r>
        <w:rPr>
          <w:rStyle w:val="17"/>
          <w:rFonts w:hint="eastAsia" w:ascii="宋体" w:hAnsi="宋体" w:eastAsia="宋体" w:cs="宋体"/>
          <w:color w:val="auto"/>
          <w:spacing w:val="0"/>
          <w:sz w:val="24"/>
          <w:szCs w:val="24"/>
          <w:highlight w:val="none"/>
        </w:rPr>
        <w:t>（基本存款账户）</w:t>
      </w:r>
      <w:r>
        <w:rPr>
          <w:rFonts w:hint="eastAsia" w:ascii="宋体" w:hAnsi="宋体" w:eastAsia="宋体" w:cs="宋体"/>
          <w:color w:val="auto"/>
          <w:spacing w:val="0"/>
          <w:sz w:val="24"/>
          <w:szCs w:val="24"/>
          <w:highlight w:val="none"/>
        </w:rPr>
        <w:t>按照下列方式：</w:t>
      </w:r>
      <w:r>
        <w:rPr>
          <w:rStyle w:val="17"/>
          <w:rFonts w:hint="eastAsia" w:ascii="宋体" w:hAnsi="宋体" w:eastAsia="宋体" w:cs="宋体"/>
          <w:color w:val="auto"/>
          <w:spacing w:val="0"/>
          <w:sz w:val="24"/>
          <w:szCs w:val="24"/>
          <w:highlight w:val="none"/>
        </w:rPr>
        <w:t>公对公转账方式</w:t>
      </w:r>
      <w:r>
        <w:rPr>
          <w:rFonts w:hint="eastAsia" w:ascii="宋体" w:hAnsi="宋体" w:eastAsia="宋体" w:cs="宋体"/>
          <w:color w:val="auto"/>
          <w:spacing w:val="0"/>
          <w:sz w:val="24"/>
          <w:szCs w:val="24"/>
          <w:highlight w:val="none"/>
        </w:rPr>
        <w:t>向招标文件载明的投标保证金账户提交投标保证金，具体金额详见招标文件第一章。</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②投标保证金应于投标截止时间前到达招标文件载明的投标保证金账户，否则视为投标保证金未提交；是否到达按照下列方式认定：</w:t>
      </w:r>
      <w:r>
        <w:rPr>
          <w:rStyle w:val="17"/>
          <w:rFonts w:hint="eastAsia" w:ascii="宋体" w:hAnsi="宋体" w:eastAsia="宋体" w:cs="宋体"/>
          <w:color w:val="auto"/>
          <w:spacing w:val="0"/>
          <w:sz w:val="24"/>
          <w:szCs w:val="24"/>
          <w:highlight w:val="none"/>
        </w:rPr>
        <w:t>以福建省政府采购网上公开信息系统记载的为准。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③若本项目接受联合体投标且投标人为联合体，则联合体中的牵头方应按照本章第10.9条第（3）款第①、②点规定提交投标保证金。</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※除招标文件另有规定外，未按照上述规定提交投标保证金将导致资格审查不合格。</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（4）退还</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①在投标截止时间前撤回已提交的投标文件的投标人，其投标保证金将在</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收到投标人书面撤回通知之日起5个工作日内退回原账户。</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②未中标人的投标保证金将在中标通知书发出之日起5个工作日内退回原账户。</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③中标人的投标保证金将在政府采购合同签订之日起5个工作日内退回原账户；合同签订之日</w:t>
      </w:r>
      <w:r>
        <w:rPr>
          <w:rStyle w:val="17"/>
          <w:rFonts w:hint="eastAsia" w:ascii="宋体" w:hAnsi="宋体" w:eastAsia="宋体" w:cs="宋体"/>
          <w:color w:val="auto"/>
          <w:spacing w:val="0"/>
          <w:sz w:val="24"/>
          <w:szCs w:val="24"/>
          <w:highlight w:val="none"/>
        </w:rPr>
        <w:t>以福建省政府采购网上公开信息系统记载的为准。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④终止招标的，</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将在终止公告发布之日起5个工作日内退回已收取的投标保证金及其在银行产生的孳息。</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⑤除招标文件另有规定外，质疑或投诉涉及的投标人，若投标保证金尚未退还，则待质疑或投诉处理完毕后不计利息原额退还。</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※本章第10.9条第（4）款第①、②、③点规定的投标保证金退还时限不包括因投标人自身原因导致无法及时退还而增加的时间。</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（6）有下列情形之一的，投标保证金将不予退还：</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①投标人串通投标；</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②投标人提供虚假材料；</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③投标人采取不正当手段诋毁、排挤其他投标人；</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④投标截止时间后，投标人在投标有效期内撤销投标文件；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⑤招标文件规定的其他不予退还情形；</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⑥</w:t>
      </w:r>
      <w:r>
        <w:rPr>
          <w:rFonts w:hint="eastAsia" w:ascii="宋体" w:hAnsi="宋体" w:eastAsia="宋体" w:cs="宋体"/>
          <w:color w:val="auto"/>
          <w:highlight w:val="none"/>
        </w:rPr>
        <w:t>中标人有下列情形之一的：</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a.除不可抗力外，因中标人自身原因未在中标通知书要求的期限内与采购人签订政府采购合同；</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b.未按照招标文件、投标文件的约定签订政府采购合同或提交履约保证金。</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※若上述投标保证金不予退还情形给采购人（采购代理机构）造成损失，则投标人还要承担相应的赔偿责任。</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10.10投标文件的提交</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（1）一个投标人只能提交一个投标文件，并按照招标文件第一章规定将其送达。</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10.11投标文件的补充、修改或撤回</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（1）投标截止时间前，投标人可对所提交的投标文件进行补充、修改或撤回，并书面通知</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（2）补充、修改的内容应按照本章第10.5条第（4）款规定进行签署、盖章，并按照本章第10.10条规定提交，</w:t>
      </w:r>
      <w:r>
        <w:rPr>
          <w:rStyle w:val="17"/>
          <w:rFonts w:hint="eastAsia" w:ascii="宋体" w:hAnsi="宋体" w:eastAsia="宋体" w:cs="宋体"/>
          <w:color w:val="auto"/>
          <w:spacing w:val="0"/>
          <w:sz w:val="24"/>
          <w:szCs w:val="24"/>
          <w:highlight w:val="none"/>
        </w:rPr>
        <w:t>否则将被拒收。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※按照上述规定提交的补充、修改内容作为投标文件组成部分。</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10.12除招标文件另有规定外，有下列情形之一的，</w:t>
      </w:r>
      <w:r>
        <w:rPr>
          <w:rStyle w:val="17"/>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（1）投标文件未按照招标文件要求签署、盖章；</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（2）不符合招标文件中规定的资格要求；</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（3）投标报价超过招标文件中规定的预算金额或最高限价；</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（4）投标文件含有采购人不能接受的附加条件；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（5）有关法律、法规和规章及招标文件规定的其他无效情形。</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五、开标</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11、开标</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11.1</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将在招标文件载明的开标时间及地点主持召开开标会，并邀请投标人参加。</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11.2开标会的主持人、唱标人、记录人及其他工作人员（若有）均由</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派出，现场监督人员（若有）可由有关方面派出。</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11.3参加现场开标会的投标人应签到。</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11.4开标会应遵守下列规定：</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（1）首先由主持人宣布开标会须知，然后由投标人代表对投标文件的密封情况进行检查，经确认无误后，由工作人员对密封的投标文件当众拆封。</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（3）记录人对唱标人宣布的内容作开标记录。</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（6）若投标人未参加开标会（包括但不限于投标人派出的人员不是投标人代表），视同其对开标过程和开标记录予以认可。</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※若出现本章第11.4条第（4）、（5）、（6）款规定情形之一</w:t>
      </w:r>
      <w:r>
        <w:rPr>
          <w:rFonts w:hint="eastAsia" w:ascii="宋体" w:hAnsi="宋体" w:eastAsia="宋体" w:cs="宋体"/>
          <w:color w:val="auto"/>
          <w:spacing w:val="0"/>
          <w:sz w:val="24"/>
          <w:szCs w:val="24"/>
          <w:highlight w:val="none"/>
        </w:rPr>
        <w:t>，</w:t>
      </w:r>
      <w:r>
        <w:rPr>
          <w:rStyle w:val="17"/>
          <w:rFonts w:hint="eastAsia" w:ascii="宋体" w:hAnsi="宋体" w:eastAsia="宋体" w:cs="宋体"/>
          <w:color w:val="auto"/>
          <w:spacing w:val="0"/>
          <w:sz w:val="24"/>
          <w:szCs w:val="24"/>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spacing w:val="0"/>
          <w:sz w:val="24"/>
          <w:szCs w:val="24"/>
          <w:highlight w:val="none"/>
          <w:u w:val="single"/>
        </w:rPr>
        <w:t>福建省招标中心有限责任公司</w:t>
      </w:r>
      <w:r>
        <w:rPr>
          <w:rStyle w:val="17"/>
          <w:rFonts w:hint="eastAsia" w:ascii="宋体" w:hAnsi="宋体" w:eastAsia="宋体" w:cs="宋体"/>
          <w:color w:val="auto"/>
          <w:spacing w:val="0"/>
          <w:sz w:val="24"/>
          <w:szCs w:val="24"/>
          <w:highlight w:val="none"/>
        </w:rPr>
        <w:t>提出任何疑义或要求（包括质疑）。</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11.5投标截止时间后，参加投标的投标人不足三家的，不进行开标。同时，本次采购活动结束，</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将依法组织后续采购活动（包括但不限于：重新招标、采用其他方式采购等）。</w:t>
      </w:r>
    </w:p>
    <w:p>
      <w:pPr>
        <w:pStyle w:val="14"/>
        <w:keepNext w:val="0"/>
        <w:keepLines w:val="0"/>
        <w:widowControl/>
        <w:suppressLineNumbers w:val="0"/>
        <w:spacing w:before="75" w:beforeAutospacing="0" w:after="240" w:afterAutospacing="0"/>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11.6投标截止时间后撤销投标的处理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投标截止时间后，投标人在投标有效期内撤销投标的，其撤销投标的行为无效。    </w:t>
      </w:r>
      <w:r>
        <w:rPr>
          <w:rFonts w:hint="eastAsia" w:ascii="宋体" w:hAnsi="宋体" w:eastAsia="宋体" w:cs="宋体"/>
          <w:color w:val="auto"/>
          <w:highlight w:val="none"/>
        </w:rPr>
        <w:br w:type="textWrapping"/>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六、中标与政府采购合同</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12、中标</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12.1本项目推荐的中标候选人家数：详见招标文件第二章。</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12.2本项目中标人的确定：详见招标文件第二章。</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12.3中标公告</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（1）中标人确定之日起2个工作日内，</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将在招标文件载明的指定媒体以中标公告的形式发布中标结果。</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（2）中标公告的公告期限为1个工作日。</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12.4中标通知书</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（1）中标公告发布的同时，</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将向中标人发出中标通知书。</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（2）中标通知书发出后，采购人不得违法改变中标结果，中标人无正当理由不得放弃中标。</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13、政府采购合同</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13.2签订时限：自中标通知书发出之日起30个日历日内。</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13.3政府采购合同的履行、违约责任和解决争议的方法等适用民法典。</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13.4采购人与中标人应根据政府采购合同的约定依法履行合同义务。</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13.5政府采购合同履行过程中，采购人若需追加与合同标的相同的货物或服务，则追加采购金额不得超过原合同采购金额的10%。</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13.6中标人在政府采购合同履行过程中应遵守有关法律、法规和规章的强制性规定（即使前述强制性规定有可能在招标文件中未予列明）。</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七、询问、质疑与投诉</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14、询问</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14.1潜在投标人或投标人对本次采购活动的有关事项若有疑问，可向福建省招标中心有限责任公司提出询问，福建省招标中心有限责任公司将按照政府采购法及实施条例的有关规定进行答复。</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15、质疑</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15.1</w:t>
      </w:r>
      <w:r>
        <w:rPr>
          <w:rFonts w:hint="eastAsia" w:ascii="宋体" w:hAnsi="宋体" w:eastAsia="宋体" w:cs="宋体"/>
          <w:color w:val="auto"/>
          <w:highlight w:val="none"/>
        </w:rPr>
        <w:t>针对同一采购程序环节的质疑应在政府采购法及实施条例的时限内一次性提出</w:t>
      </w:r>
      <w:r>
        <w:rPr>
          <w:rFonts w:hint="eastAsia" w:ascii="宋体" w:hAnsi="宋体" w:eastAsia="宋体" w:cs="宋体"/>
          <w:color w:val="auto"/>
          <w:spacing w:val="0"/>
          <w:highlight w:val="none"/>
        </w:rPr>
        <w:t>，对一个项目的不同采购包提出质疑的，应当将各采购包质疑事项集中在一份质疑函中提出，并同时符合下列条件：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（2）质疑人应按照招标文件第二章规定方式提交质疑函。</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（3）质疑函应包括下列主要内容：</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①质疑人的基本信息，至少包括：全称、地址、邮政编码等；</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②所质疑项目的基本信息，至少包括：项目编号、项目名称等；</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③所质疑的具体事项（以下简称：“质疑事项”）；</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④针对质疑事项提出的明确请求，前述明确请求指质疑人提出质疑的目的以及希望福建省招标中心有限责任公司对其质疑作出的处理结果，如：暂停招标投标活动、修改招标文件、停止或纠正违法违规行为、中标结果无效、废标、重新招标等；</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⑤针对质疑事项导致质疑人自身权益受到损害的必要证明材料，至少包括：</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a.质疑人代表的身份证明材料：</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a1</w:t>
      </w:r>
      <w:r>
        <w:rPr>
          <w:rFonts w:hint="eastAsia" w:ascii="宋体" w:hAnsi="宋体" w:eastAsia="宋体" w:cs="宋体"/>
          <w:color w:val="auto"/>
          <w:highlight w:val="none"/>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a2若本项目接受自然人投标且质疑人为自然人的，提供本人的身份证复印件。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w:t>
      </w:r>
      <w:r>
        <w:rPr>
          <w:rFonts w:hint="eastAsia" w:ascii="宋体" w:hAnsi="宋体" w:eastAsia="宋体" w:cs="宋体"/>
          <w:color w:val="auto"/>
          <w:highlight w:val="none"/>
        </w:rPr>
        <w:t>其他证明材料（即事实依据和必要的法律依据）</w:t>
      </w:r>
      <w:r>
        <w:rPr>
          <w:rFonts w:hint="eastAsia" w:ascii="宋体" w:hAnsi="宋体" w:eastAsia="宋体" w:cs="宋体"/>
          <w:color w:val="auto"/>
          <w:spacing w:val="0"/>
          <w:highlight w:val="none"/>
        </w:rPr>
        <w:t>包括但不限于下列材料：</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b1所质疑的具体事项是与自已有利害关系的证明材料；</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b2质疑函所述事实存在的证明材料，如：采购文件、采购过程或中标结果违法违规或不符合采购文件要求等证明材料；</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b3依法应终止采购程序的证明材料；</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b4应重新采购的证明材料；</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b5采购文件、采购过程或中标、成交结果损害自已合法权益的证明材料等；</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7"/>
          <w:rFonts w:hint="eastAsia" w:ascii="宋体" w:hAnsi="宋体" w:eastAsia="宋体" w:cs="宋体"/>
          <w:color w:val="auto"/>
          <w:spacing w:val="0"/>
          <w:sz w:val="24"/>
          <w:szCs w:val="24"/>
          <w:highlight w:val="none"/>
        </w:rPr>
        <w:t>视为无效</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highlight w:val="none"/>
        </w:rPr>
        <w:t>   ⑥质疑人代表及其联系方法的信息，至少包括：姓名、手机、电子信箱、邮寄地址等。</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⑦提出质疑的日期。</w:t>
      </w:r>
    </w:p>
    <w:p>
      <w:pPr>
        <w:pStyle w:val="14"/>
        <w:keepNext w:val="0"/>
        <w:keepLines w:val="0"/>
        <w:widowControl/>
        <w:suppressLineNumbers w:val="0"/>
        <w:ind w:left="0" w:firstLine="480"/>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15.2对不符合本章第15.1条规定的质疑，将按照下列规定进行处理：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（1）不符合其中第（1）、（2）条规定的，书面告知质疑人不予受理及其理由。</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（2）不符合其中第（3）条规定的，书面告知质疑人修改、补充后在规定时限内重新提交质疑函。</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15.3对符合本章第15.1条规定的质疑，将按照政府采购法及实施条例</w:t>
      </w:r>
      <w:r>
        <w:rPr>
          <w:rFonts w:hint="eastAsia" w:ascii="宋体" w:hAnsi="宋体" w:eastAsia="宋体" w:cs="宋体"/>
          <w:color w:val="auto"/>
          <w:highlight w:val="none"/>
        </w:rPr>
        <w:t>、政府采购质疑和投诉办法</w:t>
      </w:r>
      <w:r>
        <w:rPr>
          <w:rFonts w:hint="eastAsia" w:ascii="宋体" w:hAnsi="宋体" w:eastAsia="宋体" w:cs="宋体"/>
          <w:color w:val="auto"/>
          <w:spacing w:val="0"/>
          <w:highlight w:val="none"/>
        </w:rPr>
        <w:t>的有关规定进行答复。</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15.4招标文件的质疑：详见招标文件第二章。</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16、投诉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16.2投诉应有明确的请求和必要的证明材料，投诉的事项不得超出已质疑事项的范围。</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八、政府采购政策</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17、政府采购政策由财政部根据国家的经济和社会发展政策并会同国家有关部委制定，包括但不限于下列具体政策要求：</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17.1进口产品指通过中国海关报关验放进入中国境内且产自关境外的产品，其中：</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（2）凡在海关特殊监管区域内企业生产或加工（包括从境外进口料件）销往境内其他地区的产品，不作为政府采购项下进口产品。</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（3）对从境外进入海关特殊监管区域，再经办理报关手续后从海关特殊监管区进入境内其他地区的产品，认定为进口产品。</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（4）招标文件列明不允许或未列明允许进口产品参加投标的，均视为拒绝进口产品参加投标。</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4"/>
          <w:szCs w:val="24"/>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7"/>
          <w:rFonts w:hint="eastAsia" w:ascii="宋体" w:hAnsi="宋体" w:eastAsia="宋体" w:cs="宋体"/>
          <w:color w:val="auto"/>
          <w:highlight w:val="none"/>
        </w:rPr>
        <w:t>“残疾人福利性单位”</w:t>
      </w:r>
      <w:r>
        <w:rPr>
          <w:rFonts w:hint="eastAsia" w:ascii="宋体" w:hAnsi="宋体" w:eastAsia="宋体" w:cs="宋体"/>
          <w:color w:val="auto"/>
          <w:sz w:val="24"/>
          <w:szCs w:val="24"/>
          <w:highlight w:val="none"/>
        </w:rPr>
        <w:t>）亦可享受前述扶持政策。其中：</w:t>
      </w:r>
    </w:p>
    <w:p>
      <w:pPr>
        <w:pStyle w:val="14"/>
        <w:keepNext w:val="0"/>
        <w:keepLines w:val="0"/>
        <w:widowControl/>
        <w:suppressLineNumbers w:val="0"/>
        <w:spacing w:before="75" w:beforeAutospacing="0" w:after="75" w:afterAutospacing="0"/>
        <w:ind w:left="0" w:firstLine="240"/>
        <w:rPr>
          <w:rFonts w:hint="eastAsia" w:ascii="宋体" w:hAnsi="宋体" w:eastAsia="宋体" w:cs="宋体"/>
          <w:color w:val="auto"/>
          <w:highlight w:val="none"/>
        </w:rPr>
      </w:pPr>
      <w:r>
        <w:rPr>
          <w:rFonts w:hint="eastAsia" w:ascii="宋体" w:hAnsi="宋体" w:eastAsia="宋体" w:cs="宋体"/>
          <w:color w:val="auto"/>
          <w:sz w:val="24"/>
          <w:szCs w:val="24"/>
          <w:highlight w:val="none"/>
        </w:rPr>
        <w:t>（1）中小企业指符合下列条件的中型、小型、微型企业：</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pPr>
        <w:pStyle w:val="14"/>
        <w:keepNext w:val="0"/>
        <w:keepLines w:val="0"/>
        <w:widowControl/>
        <w:suppressLineNumbers w:val="0"/>
        <w:spacing w:before="75" w:beforeAutospacing="0" w:after="75" w:afterAutospacing="0"/>
        <w:ind w:left="0" w:firstLine="240"/>
        <w:rPr>
          <w:rFonts w:hint="eastAsia" w:ascii="宋体" w:hAnsi="宋体" w:eastAsia="宋体" w:cs="宋体"/>
          <w:color w:val="auto"/>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 订立劳动合同的从业人员。</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pStyle w:val="14"/>
        <w:keepNext w:val="0"/>
        <w:keepLines w:val="0"/>
        <w:widowControl/>
        <w:suppressLineNumbers w:val="0"/>
        <w:spacing w:before="75" w:beforeAutospacing="0" w:after="75" w:afterAutospacing="0"/>
        <w:ind w:left="0" w:firstLine="240"/>
        <w:rPr>
          <w:rFonts w:hint="eastAsia" w:ascii="宋体" w:hAnsi="宋体" w:eastAsia="宋体" w:cs="宋体"/>
          <w:color w:val="auto"/>
          <w:highlight w:val="none"/>
        </w:rPr>
      </w:pPr>
      <w:r>
        <w:rPr>
          <w:rFonts w:hint="eastAsia" w:ascii="宋体" w:hAnsi="宋体" w:eastAsia="宋体" w:cs="宋体"/>
          <w:color w:val="auto"/>
          <w:sz w:val="24"/>
          <w:szCs w:val="24"/>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pPr>
        <w:pStyle w:val="14"/>
        <w:keepNext w:val="0"/>
        <w:keepLines w:val="0"/>
        <w:widowControl/>
        <w:suppressLineNumbers w:val="0"/>
        <w:spacing w:before="75" w:beforeAutospacing="0" w:after="240"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②监狱企业视同小型、微型企业。</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（4）残疾人福利性单位指同时符合下列条件的单位：</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4"/>
        <w:keepNext w:val="0"/>
        <w:keepLines w:val="0"/>
        <w:widowControl/>
        <w:suppressLineNumbers w:val="0"/>
        <w:spacing w:before="75" w:beforeAutospacing="0" w:after="75" w:afterAutospacing="0"/>
        <w:ind w:left="0" w:firstLine="480"/>
        <w:rPr>
          <w:rFonts w:hint="eastAsia" w:ascii="宋体" w:hAnsi="宋体" w:eastAsia="宋体" w:cs="宋体"/>
          <w:color w:val="auto"/>
          <w:highlight w:val="none"/>
        </w:rPr>
      </w:pPr>
      <w:r>
        <w:rPr>
          <w:rStyle w:val="17"/>
          <w:rFonts w:hint="eastAsia" w:ascii="宋体" w:hAnsi="宋体" w:eastAsia="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17.5信用记录指由财政部确定的有关网站提供的相关主体信用信息。信用记录的查询及使用应符合财政部文件（财库[2016]125号）规定。</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17.6为落实政府采购政策需满足的要求：详见招标文件第一章。</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九、本项目的有关信息</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18.1指定媒体：详见招标文件第二章。</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18.2本项目的潜在投标人或投标人应随时关注指定媒体，否则产生不利后果由其自行承担。</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十、其他事项</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19、其他事项：</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  </w:t>
      </w:r>
      <w:r>
        <w:rPr>
          <w:rFonts w:hint="eastAsia" w:ascii="宋体" w:hAnsi="宋体" w:eastAsia="宋体" w:cs="宋体"/>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highlight w:val="none"/>
        </w:rPr>
        <w:t>   19.2其他：详见招标文件第二章。</w:t>
      </w:r>
    </w:p>
    <w:p>
      <w:pPr>
        <w:pStyle w:val="14"/>
        <w:keepNext w:val="0"/>
        <w:keepLines w:val="0"/>
        <w:widowControl/>
        <w:suppressLineNumbers w:val="0"/>
        <w:spacing w:before="75" w:beforeAutospacing="0" w:after="240" w:afterAutospacing="0"/>
        <w:ind w:left="0" w:right="0" w:firstLine="0"/>
        <w:rPr>
          <w:rFonts w:hint="eastAsia" w:ascii="宋体" w:hAnsi="宋体" w:eastAsia="宋体" w:cs="宋体"/>
          <w:color w:val="auto"/>
          <w:highlight w:val="none"/>
        </w:rPr>
      </w:pP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rPr>
        <w:t> </w:t>
      </w:r>
    </w:p>
    <w:p>
      <w:pPr>
        <w:pStyle w:val="14"/>
        <w:keepNext w:val="0"/>
        <w:keepLines w:val="0"/>
        <w:widowControl/>
        <w:suppressLineNumbers w:val="0"/>
        <w:spacing w:before="75" w:beforeAutospacing="0" w:after="240"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rPr>
          <w:rStyle w:val="17"/>
          <w:rFonts w:hint="eastAsia" w:ascii="宋体" w:hAnsi="宋体" w:eastAsia="宋体" w:cs="宋体"/>
          <w:color w:val="auto"/>
          <w:spacing w:val="0"/>
          <w:sz w:val="31"/>
          <w:szCs w:val="31"/>
          <w:highlight w:val="none"/>
        </w:rPr>
      </w:pPr>
      <w:r>
        <w:rPr>
          <w:rStyle w:val="17"/>
          <w:rFonts w:hint="eastAsia" w:ascii="宋体" w:hAnsi="宋体" w:eastAsia="宋体" w:cs="宋体"/>
          <w:color w:val="auto"/>
          <w:spacing w:val="0"/>
          <w:sz w:val="31"/>
          <w:szCs w:val="31"/>
          <w:highlight w:val="none"/>
        </w:rPr>
        <w:br w:type="page"/>
      </w:r>
    </w:p>
    <w:p>
      <w:pPr>
        <w:pStyle w:val="14"/>
        <w:keepNext w:val="0"/>
        <w:keepLines w:val="0"/>
        <w:widowControl/>
        <w:suppressLineNumbers w:val="0"/>
        <w:spacing w:before="75" w:beforeAutospacing="0" w:after="75" w:afterAutospacing="0"/>
        <w:ind w:left="0" w:right="0" w:firstLine="0"/>
        <w:jc w:val="center"/>
        <w:outlineLvl w:val="0"/>
        <w:rPr>
          <w:rFonts w:hint="eastAsia" w:ascii="宋体" w:hAnsi="宋体" w:eastAsia="宋体" w:cs="宋体"/>
          <w:color w:val="auto"/>
          <w:highlight w:val="none"/>
        </w:rPr>
      </w:pPr>
      <w:bookmarkStart w:id="5" w:name="_Toc31231"/>
      <w:r>
        <w:rPr>
          <w:rStyle w:val="17"/>
          <w:rFonts w:hint="eastAsia" w:ascii="宋体" w:hAnsi="宋体" w:eastAsia="宋体" w:cs="宋体"/>
          <w:color w:val="auto"/>
          <w:spacing w:val="0"/>
          <w:sz w:val="31"/>
          <w:szCs w:val="31"/>
          <w:highlight w:val="none"/>
        </w:rPr>
        <w:t>第四章   资格审查与评标</w:t>
      </w:r>
      <w:bookmarkEnd w:id="5"/>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一、资格审查</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1、开标结束后，由</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负责资格审查小组的组建及资格审查工作的组织。</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1.1资格审查小组由3人组成，并负责具体审查事务，其中：由采购人派出的采购人代表至少</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人，由</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派出的工作人员至少</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人，其余</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人可为采购人代表或</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的工作人员。</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1.2资格审查的依据是招标文件和投标文件。</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1.3资格审查的范围及内容：投标文件（资格及资信证明部分），具体如下：</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  （1）</w:t>
      </w:r>
      <w:r>
        <w:rPr>
          <w:rFonts w:hint="eastAsia" w:ascii="宋体" w:hAnsi="宋体" w:eastAsia="宋体" w:cs="宋体"/>
          <w:color w:val="auto"/>
          <w:spacing w:val="0"/>
          <w:highlight w:val="none"/>
        </w:rPr>
        <w:t>“投标函”；</w:t>
      </w:r>
      <w:r>
        <w:rPr>
          <w:rFonts w:hint="eastAsia" w:ascii="宋体" w:hAnsi="宋体" w:eastAsia="宋体" w:cs="宋体"/>
          <w:color w:val="auto"/>
          <w:spacing w:val="0"/>
          <w:highlight w:val="none"/>
        </w:rPr>
        <w:br w:type="textWrapping"/>
      </w:r>
      <w:r>
        <w:rPr>
          <w:rFonts w:hint="eastAsia" w:ascii="宋体" w:hAnsi="宋体" w:eastAsia="宋体" w:cs="宋体"/>
          <w:color w:val="auto"/>
          <w:spacing w:val="0"/>
          <w:highlight w:val="none"/>
        </w:rPr>
        <w:t>  （2）“投标人的资格及资信证明文件”</w:t>
      </w:r>
      <w:r>
        <w:rPr>
          <w:rFonts w:hint="eastAsia" w:ascii="宋体" w:hAnsi="宋体" w:eastAsia="宋体" w:cs="宋体"/>
          <w:color w:val="auto"/>
          <w:spacing w:val="0"/>
          <w:highlight w:val="none"/>
        </w:rPr>
        <w:br w:type="textWrapping"/>
      </w:r>
      <w:r>
        <w:rPr>
          <w:rFonts w:hint="eastAsia" w:ascii="宋体" w:hAnsi="宋体" w:eastAsia="宋体" w:cs="宋体"/>
          <w:color w:val="auto"/>
          <w:spacing w:val="0"/>
          <w:highlight w:val="none"/>
        </w:rPr>
        <w:t>   </w:t>
      </w:r>
      <w:r>
        <w:rPr>
          <w:rFonts w:hint="eastAsia" w:ascii="宋体" w:hAnsi="宋体" w:eastAsia="宋体" w:cs="宋体"/>
          <w:color w:val="auto"/>
          <w:highlight w:val="none"/>
        </w:rPr>
        <w:t>①</w:t>
      </w:r>
      <w:r>
        <w:rPr>
          <w:rFonts w:hint="eastAsia" w:ascii="宋体" w:hAnsi="宋体" w:eastAsia="宋体" w:cs="宋体"/>
          <w:color w:val="auto"/>
          <w:spacing w:val="0"/>
          <w:highlight w:val="none"/>
        </w:rPr>
        <w:t>一般资格证明文件：</w:t>
      </w:r>
    </w:p>
    <w:tbl>
      <w:tblPr>
        <w:tblStyle w:val="15"/>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308"/>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2308" w:type="dxa"/>
            <w:shd w:val="clear" w:color="auto" w:fill="auto"/>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c>
          <w:tcPr>
            <w:tcW w:w="6018" w:type="dxa"/>
            <w:shd w:val="clear" w:color="auto" w:fill="auto"/>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230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（1）单位授权书</w:t>
            </w:r>
          </w:p>
        </w:tc>
        <w:tc>
          <w:tcPr>
            <w:tcW w:w="601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230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（2）营业执照等证明文件</w:t>
            </w:r>
          </w:p>
        </w:tc>
        <w:tc>
          <w:tcPr>
            <w:tcW w:w="601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230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（3）提供财务状况报告（财务报告、或资信证明）</w:t>
            </w:r>
          </w:p>
        </w:tc>
        <w:tc>
          <w:tcPr>
            <w:tcW w:w="601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230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（4）依法缴纳税收证明材料</w:t>
            </w:r>
          </w:p>
        </w:tc>
        <w:tc>
          <w:tcPr>
            <w:tcW w:w="601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230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（5）依法缴纳社会保障资金证明材料</w:t>
            </w:r>
          </w:p>
        </w:tc>
        <w:tc>
          <w:tcPr>
            <w:tcW w:w="601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230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（6）具备履行合同所必需设备和专业技术能力的声明函(若有)</w:t>
            </w:r>
          </w:p>
        </w:tc>
        <w:tc>
          <w:tcPr>
            <w:tcW w:w="601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230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（7）参加采购活动前三年内在经营活动中没有重大违法记录的声明</w:t>
            </w:r>
          </w:p>
        </w:tc>
        <w:tc>
          <w:tcPr>
            <w:tcW w:w="601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230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（8）信用记录查询结果</w:t>
            </w:r>
          </w:p>
        </w:tc>
        <w:tc>
          <w:tcPr>
            <w:tcW w:w="601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230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（9）中小企业声明函（以资格条件落实中小企业扶持政策时适用 ）</w:t>
            </w:r>
          </w:p>
        </w:tc>
        <w:tc>
          <w:tcPr>
            <w:tcW w:w="601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230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（10）联合体协议（若有）</w:t>
            </w:r>
          </w:p>
        </w:tc>
        <w:tc>
          <w:tcPr>
            <w:tcW w:w="6018"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备注说明</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highlight w:val="none"/>
        </w:rPr>
        <w:t>   ②.其他资格证明文件：</w:t>
      </w:r>
    </w:p>
    <w:p>
      <w:pPr>
        <w:pStyle w:val="14"/>
        <w:keepNext w:val="0"/>
        <w:keepLines w:val="0"/>
        <w:widowControl/>
        <w:suppressLineNumbers w:val="0"/>
        <w:spacing w:before="75" w:beforeAutospacing="0" w:after="75" w:afterAutospacing="0"/>
        <w:ind w:right="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包：1</w:t>
      </w:r>
    </w:p>
    <w:tbl>
      <w:tblPr>
        <w:tblStyle w:val="15"/>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3747" w:type="dxa"/>
            <w:shd w:val="clear" w:color="auto" w:fill="auto"/>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c>
          <w:tcPr>
            <w:tcW w:w="4579" w:type="dxa"/>
            <w:shd w:val="clear" w:color="auto" w:fill="auto"/>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3747"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无</w:t>
            </w:r>
          </w:p>
        </w:tc>
        <w:tc>
          <w:tcPr>
            <w:tcW w:w="4579"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无</w:t>
            </w:r>
          </w:p>
        </w:tc>
      </w:tr>
    </w:tbl>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spacing w:val="0"/>
          <w:kern w:val="0"/>
          <w:sz w:val="24"/>
          <w:szCs w:val="24"/>
          <w:highlight w:val="none"/>
          <w:lang w:val="en-US" w:eastAsia="zh-CN" w:bidi="ar"/>
        </w:rPr>
        <w:t>  （3）投标保证金。</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1.4有下列情形之一的，</w:t>
      </w:r>
      <w:r>
        <w:rPr>
          <w:rStyle w:val="17"/>
          <w:rFonts w:hint="eastAsia" w:ascii="宋体" w:hAnsi="宋体" w:eastAsia="宋体" w:cs="宋体"/>
          <w:color w:val="auto"/>
          <w:spacing w:val="0"/>
          <w:sz w:val="24"/>
          <w:szCs w:val="24"/>
          <w:highlight w:val="none"/>
        </w:rPr>
        <w:t>资格审查不合格：</w:t>
      </w:r>
      <w:r>
        <w:rPr>
          <w:rStyle w:val="17"/>
          <w:rFonts w:hint="eastAsia" w:ascii="宋体" w:hAnsi="宋体" w:eastAsia="宋体" w:cs="宋体"/>
          <w:color w:val="auto"/>
          <w:spacing w:val="0"/>
          <w:sz w:val="24"/>
          <w:szCs w:val="24"/>
          <w:highlight w:val="none"/>
        </w:rPr>
        <w:br w:type="textWrapping"/>
      </w:r>
      <w:r>
        <w:rPr>
          <w:rFonts w:hint="eastAsia" w:ascii="宋体" w:hAnsi="宋体" w:eastAsia="宋体" w:cs="宋体"/>
          <w:color w:val="auto"/>
          <w:highlight w:val="none"/>
        </w:rPr>
        <w:t>  （1）一般情形：</w:t>
      </w:r>
    </w:p>
    <w:tbl>
      <w:tblPr>
        <w:tblStyle w:val="15"/>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8326" w:type="dxa"/>
            <w:shd w:val="clear" w:color="auto" w:fill="auto"/>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未按照招标文件规定提交投标保证金</w:t>
            </w:r>
          </w:p>
        </w:tc>
      </w:tr>
    </w:tbl>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（2）本项目规定的其他情形：</w:t>
      </w:r>
    </w:p>
    <w:p>
      <w:pPr>
        <w:pStyle w:val="14"/>
        <w:keepNext w:val="0"/>
        <w:keepLines w:val="0"/>
        <w:widowControl/>
        <w:suppressLineNumbers w:val="0"/>
        <w:ind w:left="0" w:firstLine="480"/>
        <w:rPr>
          <w:rFonts w:hint="eastAsia" w:ascii="宋体" w:hAnsi="宋体" w:eastAsia="宋体" w:cs="宋体"/>
          <w:color w:val="auto"/>
          <w:highlight w:val="none"/>
        </w:rPr>
      </w:pPr>
      <w:r>
        <w:rPr>
          <w:rStyle w:val="17"/>
          <w:rFonts w:hint="eastAsia" w:ascii="宋体" w:hAnsi="宋体" w:eastAsia="宋体" w:cs="宋体"/>
          <w:color w:val="auto"/>
          <w:highlight w:val="none"/>
        </w:rPr>
        <w:t>包：1</w:t>
      </w:r>
    </w:p>
    <w:tbl>
      <w:tblPr>
        <w:tblStyle w:val="15"/>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8326" w:type="dxa"/>
            <w:shd w:val="clear" w:color="auto" w:fill="auto"/>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无</w:t>
            </w:r>
          </w:p>
        </w:tc>
      </w:tr>
    </w:tbl>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2、资格审查情况不得私自外泄，有关信息由</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统一对外发布。</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3、资格审查合格的投标人不足三家的，不进行评标。同时，本次采购活动结束，</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将依法组织后续采购活动（包括但不限于：重新招标、采用其他方式采购等）。</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二、评标</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w:t>
      </w:r>
      <w:r>
        <w:rPr>
          <w:rFonts w:hint="eastAsia" w:ascii="宋体" w:hAnsi="宋体" w:eastAsia="宋体" w:cs="宋体"/>
          <w:color w:val="auto"/>
          <w:highlight w:val="none"/>
        </w:rPr>
        <w:t>资格审查结束后，由</w:t>
      </w:r>
      <w:r>
        <w:rPr>
          <w:rFonts w:hint="eastAsia" w:ascii="宋体" w:hAnsi="宋体" w:eastAsia="宋体" w:cs="宋体"/>
          <w:color w:val="auto"/>
          <w:spacing w:val="0"/>
          <w:highlight w:val="none"/>
        </w:rPr>
        <w:t>福建省招标中心有限责任公司负责评标委员会的组建及评标工作的组织。</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5、评标委员会</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5.1评标委员会由采购人代表和评标专家两部分共</w:t>
      </w:r>
      <w:r>
        <w:rPr>
          <w:rFonts w:hint="eastAsia" w:ascii="宋体" w:hAnsi="宋体" w:eastAsia="宋体" w:cs="宋体"/>
          <w:color w:val="auto"/>
          <w:spacing w:val="0"/>
          <w:sz w:val="24"/>
          <w:szCs w:val="24"/>
          <w:highlight w:val="none"/>
          <w:u w:val="single"/>
        </w:rPr>
        <w:t>7</w:t>
      </w:r>
      <w:r>
        <w:rPr>
          <w:rFonts w:hint="eastAsia" w:ascii="宋体" w:hAnsi="宋体" w:eastAsia="宋体" w:cs="宋体"/>
          <w:color w:val="auto"/>
          <w:spacing w:val="0"/>
          <w:sz w:val="24"/>
          <w:szCs w:val="24"/>
          <w:highlight w:val="none"/>
        </w:rPr>
        <w:t>人（以下简称“评委”）组成，其中：由采购人派出的采购人代表</w:t>
      </w:r>
      <w:r>
        <w:rPr>
          <w:rFonts w:hint="eastAsia" w:ascii="宋体" w:hAnsi="宋体" w:eastAsia="宋体" w:cs="宋体"/>
          <w:color w:val="auto"/>
          <w:spacing w:val="0"/>
          <w:sz w:val="24"/>
          <w:szCs w:val="24"/>
          <w:highlight w:val="none"/>
          <w:u w:val="single"/>
        </w:rPr>
        <w:t>2</w:t>
      </w:r>
      <w:r>
        <w:rPr>
          <w:rFonts w:hint="eastAsia" w:ascii="宋体" w:hAnsi="宋体" w:eastAsia="宋体" w:cs="宋体"/>
          <w:color w:val="auto"/>
          <w:spacing w:val="0"/>
          <w:sz w:val="24"/>
          <w:szCs w:val="24"/>
          <w:highlight w:val="none"/>
        </w:rPr>
        <w:t>人，由福建省政府采购评审专家库产生的评标专家</w:t>
      </w:r>
      <w:r>
        <w:rPr>
          <w:rFonts w:hint="eastAsia" w:ascii="宋体" w:hAnsi="宋体" w:eastAsia="宋体" w:cs="宋体"/>
          <w:color w:val="auto"/>
          <w:spacing w:val="0"/>
          <w:sz w:val="24"/>
          <w:szCs w:val="24"/>
          <w:highlight w:val="none"/>
          <w:u w:val="single"/>
        </w:rPr>
        <w:t>5</w:t>
      </w:r>
      <w:r>
        <w:rPr>
          <w:rFonts w:hint="eastAsia" w:ascii="宋体" w:hAnsi="宋体" w:eastAsia="宋体" w:cs="宋体"/>
          <w:color w:val="auto"/>
          <w:spacing w:val="0"/>
          <w:sz w:val="24"/>
          <w:szCs w:val="24"/>
          <w:highlight w:val="none"/>
        </w:rPr>
        <w:t>人。</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5.2评标委员会负责具体评标事务，并按照下列原则依法独立履行有关职责：</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（1）评标应保护国家利益、社会公共利益和各方当事人合法权益，提高采购效益，保证项目质量。</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（2）评标应遵循公平、公正、科学、严谨和择优原则。</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（3）评标的依据是招标文件和投标文件。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（4）应按照招标文件规定推荐中标候选人或确定中标人。</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（5）评标应遵守下列评标纪律：</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①评标情况不得私自外泄，有关信息由</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统一对外发布。</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②对</w:t>
      </w:r>
      <w:r>
        <w:rPr>
          <w:rFonts w:hint="eastAsia" w:ascii="宋体" w:hAnsi="宋体" w:eastAsia="宋体" w:cs="宋体"/>
          <w:color w:val="auto"/>
          <w:spacing w:val="0"/>
          <w:sz w:val="24"/>
          <w:szCs w:val="24"/>
          <w:highlight w:val="none"/>
          <w:u w:val="single"/>
        </w:rPr>
        <w:t>福建省招标中心有限责任公司</w:t>
      </w:r>
      <w:r>
        <w:rPr>
          <w:rFonts w:hint="eastAsia" w:ascii="宋体" w:hAnsi="宋体" w:eastAsia="宋体" w:cs="宋体"/>
          <w:color w:val="auto"/>
          <w:spacing w:val="0"/>
          <w:sz w:val="24"/>
          <w:szCs w:val="24"/>
          <w:highlight w:val="none"/>
        </w:rPr>
        <w:t>或投标人提供的要求保密的资料，不得摘记翻印和外传。</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③不得收受投标人或有关人员的任何礼物，不得串联鼓动其他人袒护某投标人。若与投标人存在利害关系，则应主动声明并回避。</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④全体评委应按照招标文件规定进行评标，一切认定事项应查有实据且不得弄虚作假。</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⑤评标中应充分发扬民主，推荐中标候选人或确定中标人后要服从评标报告。</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※对违反评标纪律的评委，将取消其评委资格，对评标工作造成严重损失者将予以通报批评乃至追究法律责任。</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6、评标程序</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6.1评标前的准备工作</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（1）全体评委应认真审阅招标文件，了解评委应履行或遵守的职责、义务和评标纪律。</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6.2符合性审查</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（1）评标委员会依据招标文件的实质性要求，对通过资格审查的投标文件进行符合性审查，以确定其是否满足招标文件的实质性要求。</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（2）满足招标文件的实质性要求指投标文件对招标文件实质性要求的响应不存在重大偏差或保留。</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（5）评标委员会对所有投标人都执行相同的程序和标准。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（6）有下列情形之一的，</w:t>
      </w:r>
      <w:r>
        <w:rPr>
          <w:rStyle w:val="17"/>
          <w:rFonts w:hint="eastAsia" w:ascii="宋体" w:hAnsi="宋体" w:eastAsia="宋体" w:cs="宋体"/>
          <w:color w:val="auto"/>
          <w:spacing w:val="0"/>
          <w:sz w:val="24"/>
          <w:szCs w:val="24"/>
          <w:highlight w:val="none"/>
        </w:rPr>
        <w:t>符合性审查不合格：</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①项目一般情形：</w:t>
      </w:r>
    </w:p>
    <w:tbl>
      <w:tblPr>
        <w:tblStyle w:val="15"/>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8326" w:type="dxa"/>
            <w:shd w:val="clear" w:color="auto" w:fill="auto"/>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投标文件对招标文件实质性要求的响应存在重大偏离或保留。</w:t>
            </w:r>
          </w:p>
        </w:tc>
      </w:tr>
    </w:tbl>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②本项目规定的其他情形：</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包：1</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包一般情形</w:t>
      </w:r>
    </w:p>
    <w:tbl>
      <w:tblPr>
        <w:tblStyle w:val="15"/>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8326" w:type="dxa"/>
            <w:shd w:val="clear" w:color="auto" w:fill="auto"/>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投标人投标文件中的资格及资信证明部分不得出现全部或部分的投标报价信息（或组成资料），否则资格审查不合格。</w:t>
            </w:r>
          </w:p>
        </w:tc>
      </w:tr>
    </w:tbl>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技术符合性</w:t>
      </w:r>
    </w:p>
    <w:tbl>
      <w:tblPr>
        <w:tblStyle w:val="15"/>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8326" w:type="dxa"/>
            <w:shd w:val="clear" w:color="auto" w:fill="auto"/>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按闽财购〔2010〕28号文件规定，若投标人的技术部分实际得分少于招标文件设定的技术部分总分50%，即视为技术部分未实质性响应招标文件要求，其投标无效。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技术部分中不得出现报价部分的全部或部分的投标报价信息（或组成资料），否则符合性审查不合格。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招标文件第五章“二、技术和服务要求”以“★”标示的内容为不允许负偏离的实质性要求，如投标文件内容有负偏离的，其投标无效。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不符合采购文件中规定的其它实质性要求的条款。</w:t>
            </w:r>
          </w:p>
        </w:tc>
      </w:tr>
    </w:tbl>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商务符合性</w:t>
      </w:r>
    </w:p>
    <w:tbl>
      <w:tblPr>
        <w:tblStyle w:val="15"/>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8326" w:type="dxa"/>
            <w:shd w:val="clear" w:color="auto" w:fill="auto"/>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招标文件第五章“三、商务条件”均为不允许负偏离的实质性要求，如投标文件内容有负偏离的，其投标无效。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商务部分中不得出现报价部分的全部或部分的投标报价信息（或组成资料），否则符合性审查不合格。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32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不符合采购文件中规定的其它实质性要求的条款。</w:t>
            </w:r>
          </w:p>
        </w:tc>
      </w:tr>
    </w:tbl>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附加符合性</w:t>
      </w:r>
      <w:r>
        <w:rPr>
          <w:rFonts w:hint="eastAsia" w:ascii="宋体" w:hAnsi="宋体" w:eastAsia="宋体" w:cs="宋体"/>
          <w:color w:val="auto"/>
          <w:kern w:val="0"/>
          <w:sz w:val="24"/>
          <w:szCs w:val="24"/>
          <w:highlight w:val="none"/>
          <w:lang w:val="en-US" w:eastAsia="zh-CN" w:bidi="ar"/>
        </w:rPr>
        <w:br w:type="textWrapping"/>
      </w:r>
      <w:r>
        <w:rPr>
          <w:rStyle w:val="17"/>
          <w:rFonts w:hint="eastAsia" w:ascii="宋体" w:hAnsi="宋体" w:eastAsia="宋体" w:cs="宋体"/>
          <w:color w:val="auto"/>
          <w:kern w:val="0"/>
          <w:sz w:val="24"/>
          <w:szCs w:val="24"/>
          <w:highlight w:val="none"/>
          <w:lang w:val="en-US" w:eastAsia="zh-CN" w:bidi="ar"/>
        </w:rPr>
        <w:t>         无</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价格符合性</w:t>
      </w:r>
    </w:p>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r>
        <w:rPr>
          <w:rStyle w:val="17"/>
          <w:rFonts w:hint="eastAsia" w:ascii="宋体" w:hAnsi="宋体" w:eastAsia="宋体" w:cs="宋体"/>
          <w:color w:val="auto"/>
          <w:kern w:val="0"/>
          <w:sz w:val="24"/>
          <w:szCs w:val="24"/>
          <w:highlight w:val="none"/>
          <w:lang w:val="en-US" w:eastAsia="zh-CN" w:bidi="ar"/>
        </w:rPr>
        <w:t>无</w:t>
      </w:r>
      <w:r>
        <w:rPr>
          <w:rFonts w:hint="eastAsia" w:ascii="宋体" w:hAnsi="宋体" w:eastAsia="宋体" w:cs="宋体"/>
          <w:color w:val="auto"/>
          <w:kern w:val="0"/>
          <w:sz w:val="24"/>
          <w:szCs w:val="24"/>
          <w:highlight w:val="none"/>
          <w:lang w:val="en-US" w:eastAsia="zh-CN" w:bidi="ar"/>
        </w:rPr>
        <w:br w:type="textWrapping"/>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6.3澄清有关问题</w:t>
      </w:r>
    </w:p>
    <w:p>
      <w:pPr>
        <w:pStyle w:val="14"/>
        <w:keepNext w:val="0"/>
        <w:keepLines w:val="0"/>
        <w:widowControl/>
        <w:suppressLineNumbers w:val="0"/>
        <w:spacing w:before="75" w:beforeAutospacing="0" w:after="75" w:afterAutospacing="0"/>
        <w:ind w:left="0" w:right="0" w:firstLine="42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（1）对通过符合性审查的投标文件中含义不明确、同类问题表述不一致或有明显文字和计算错误的内容，评标委员会将以书面形式要求投标人作出必要的澄清、说明或补正。</w:t>
      </w:r>
    </w:p>
    <w:p>
      <w:pPr>
        <w:pStyle w:val="14"/>
        <w:keepNext w:val="0"/>
        <w:keepLines w:val="0"/>
        <w:widowControl/>
        <w:suppressLineNumbers w:val="0"/>
        <w:spacing w:before="75" w:beforeAutospacing="0" w:after="75" w:afterAutospacing="0"/>
        <w:ind w:left="0" w:right="0" w:firstLine="42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（3）投标文件报价出现前后不一致的，除招标文件另有规定外，按照下列规定修正：</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①开标一览表内容与投标文件中相应内容不一致的，以开标一览表为准；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②大写金额和小写金额不一致的，以大写金额为准；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③单价金额小数点或百分比有明显错位的，以开标一览表的总价为准，并修改单价；</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④总价金额与按照单价汇总金额不一致的，以单价金额计算结果为准。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※同时出现两种以上不一致的，按照前款规定的顺序修正。修正后的报价应按照本章第6.3条第（1）、（2）款规定经投标人确认后产生约束力，投标人不确认的，其投标无效。</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（4）关于细微偏差</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（5）关于投标描述（即投标文件中描述的内容）</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①投标描述前后不一致且不涉及证明材料的：按照本章第6.3条第（1）、（2）款规定执行。</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②投标描述与证明材料不一致或多份证明材料之间不一致的：</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a.评标委员会将要求投标人进行书面澄清，并按照不利于投标人的内容进行评标。</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6.4比较与评价</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（1）按照本章第7条载明的评标方法和标准，对符合性审查合格的投标文件进行比较与评价。</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（2）关于相同品牌产品</w:t>
      </w:r>
      <w:r>
        <w:rPr>
          <w:rStyle w:val="17"/>
          <w:rFonts w:hint="eastAsia" w:ascii="宋体" w:hAnsi="宋体" w:eastAsia="宋体" w:cs="宋体"/>
          <w:color w:val="auto"/>
          <w:spacing w:val="0"/>
          <w:sz w:val="24"/>
          <w:szCs w:val="24"/>
          <w:highlight w:val="none"/>
        </w:rPr>
        <w:t>（政府采购服务类项目不适用本条款规定）</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a.招标文件规定的方式：</w:t>
      </w:r>
      <w:r>
        <w:rPr>
          <w:rFonts w:hint="eastAsia" w:ascii="宋体" w:hAnsi="宋体" w:eastAsia="宋体" w:cs="宋体"/>
          <w:color w:val="auto"/>
          <w:spacing w:val="0"/>
          <w:sz w:val="24"/>
          <w:szCs w:val="24"/>
          <w:highlight w:val="none"/>
          <w:u w:val="single"/>
        </w:rPr>
        <w:t>无</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b.招标文件未规定的，采取随机抽取方式确定，其他</w:t>
      </w:r>
      <w:r>
        <w:rPr>
          <w:rStyle w:val="17"/>
          <w:rFonts w:hint="eastAsia" w:ascii="宋体" w:hAnsi="宋体" w:eastAsia="宋体" w:cs="宋体"/>
          <w:color w:val="auto"/>
          <w:spacing w:val="0"/>
          <w:sz w:val="24"/>
          <w:szCs w:val="24"/>
          <w:highlight w:val="none"/>
        </w:rPr>
        <w:t>投标无效。</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a.招标文件规定的方式：</w:t>
      </w:r>
      <w:r>
        <w:rPr>
          <w:rFonts w:hint="eastAsia" w:ascii="宋体" w:hAnsi="宋体" w:eastAsia="宋体" w:cs="宋体"/>
          <w:color w:val="auto"/>
          <w:spacing w:val="0"/>
          <w:sz w:val="24"/>
          <w:szCs w:val="24"/>
          <w:highlight w:val="none"/>
          <w:u w:val="single"/>
        </w:rPr>
        <w:t>无</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b.招标文件未规定的，采取随机抽取方式确定，其他同品牌投标人不作为中标候选人。</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③非单一产品采购项目，多家投标人提供的核心产品品牌相同的，按照本章第6.4条第（2）款第①、②规定处理。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（3）漏（缺）项</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①招标文件中要求列入报价的费用（含配置、功能），漏（缺）项的报价视为已经包括在投标总价中。</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②对多报项及赠送项的价格评标时不予核减，全部进入评标价评议。</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6.5推荐中标候选人：详见本章第7.2条规定。</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6.6编写评标报告</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（1）评标报告由评标委员会负责编写。</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（2）评标报告应包括下列内容：</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①招标公告刊登的媒体名称、开标日期和地点；</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②投标人名单和评标委员会成员名单；</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③评标方法和标准；</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④开标记录和评标情况及说明，包括无效投标人名单及原因；</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⑤评标结果，包括中标候选人名单或确定的中标人；</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⑥其他需要说明的情况，包括但不限于：评标过程中投标人的澄清、说明或补正，评委更换等。</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7"/>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处理。</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6.8评委对需要共同认定的事项存在争议的，应按照少数服从多数的原则进行认定。</w:t>
      </w:r>
      <w:r>
        <w:rPr>
          <w:rStyle w:val="17"/>
          <w:rFonts w:hint="eastAsia" w:ascii="宋体" w:hAnsi="宋体" w:eastAsia="宋体" w:cs="宋体"/>
          <w:color w:val="auto"/>
          <w:spacing w:val="0"/>
          <w:sz w:val="24"/>
          <w:szCs w:val="24"/>
          <w:highlight w:val="none"/>
        </w:rPr>
        <w:t>持不同意见的评委应在评标报告上签署不同意见及理由，否则视为同意评标报告。</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6.9在评标过程中发现投标人有下列情形之一的，评标委员会应认定其</w:t>
      </w:r>
      <w:r>
        <w:rPr>
          <w:rStyle w:val="17"/>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，并书面报告本项目监督管理部门：</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（1）恶意串通（包括但不限于招标文件第三章第9.7条规定情形）；</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（2）妨碍其他投标人的竞争行为；</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（3）损害采购人或其他投标人的合法权益。</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6.10评标过程中，有下列情形之一的，应予废标：</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（1）符合性审查合格的投标人不足三家的；</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（2）有关法律、法规和规章规定废标的情形。</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※若废标，则本次采购活动结束，</w:t>
      </w:r>
      <w:r>
        <w:rPr>
          <w:rFonts w:hint="eastAsia" w:ascii="宋体" w:hAnsi="宋体" w:eastAsia="宋体" w:cs="宋体"/>
          <w:color w:val="auto"/>
          <w:spacing w:val="0"/>
          <w:sz w:val="24"/>
          <w:szCs w:val="24"/>
          <w:highlight w:val="none"/>
          <w:u w:val="single"/>
        </w:rPr>
        <w:t>福建省招标中心有限责任公司</w:t>
      </w:r>
      <w:r>
        <w:rPr>
          <w:rStyle w:val="17"/>
          <w:rFonts w:hint="eastAsia" w:ascii="宋体" w:hAnsi="宋体" w:eastAsia="宋体" w:cs="宋体"/>
          <w:color w:val="auto"/>
          <w:spacing w:val="0"/>
          <w:sz w:val="24"/>
          <w:szCs w:val="24"/>
          <w:highlight w:val="none"/>
        </w:rPr>
        <w:t>将依法组织后续采购活动（包括但不限于：重新招标、采用其他方式采购等）。</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7、评标方法和标准</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7.1评标方法： 项目包1采用综合评分法。</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7.2评标标准</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hd w:val="clear" w:fill="FFFFFF"/>
        <w:spacing w:before="0" w:beforeAutospacing="0" w:after="150" w:afterAutospacing="0"/>
        <w:outlineLvl w:val="9"/>
        <w:rPr>
          <w:rFonts w:hint="eastAsia" w:ascii="宋体" w:hAnsi="宋体" w:eastAsia="宋体" w:cs="宋体"/>
          <w:color w:val="auto"/>
          <w:sz w:val="19"/>
          <w:szCs w:val="19"/>
          <w:highlight w:val="none"/>
        </w:rPr>
      </w:pPr>
      <w:r>
        <w:rPr>
          <w:rStyle w:val="17"/>
          <w:rFonts w:hint="eastAsia" w:ascii="宋体" w:hAnsi="宋体" w:eastAsia="宋体" w:cs="宋体"/>
          <w:color w:val="auto"/>
          <w:sz w:val="24"/>
          <w:szCs w:val="24"/>
          <w:highlight w:val="none"/>
          <w:shd w:val="clear" w:fill="FFFFFF"/>
        </w:rPr>
        <w:t>采购包</w:t>
      </w:r>
      <w:r>
        <w:rPr>
          <w:rStyle w:val="17"/>
          <w:rFonts w:hint="eastAsia" w:ascii="宋体" w:hAnsi="宋体" w:eastAsia="宋体" w:cs="宋体"/>
          <w:color w:val="auto"/>
          <w:sz w:val="24"/>
          <w:szCs w:val="24"/>
          <w:highlight w:val="none"/>
          <w:shd w:val="clear" w:fill="FFFFFF"/>
          <w:lang w:val="en-US" w:eastAsia="zh-CN"/>
        </w:rPr>
        <w:t>1</w:t>
      </w:r>
      <w:r>
        <w:rPr>
          <w:rStyle w:val="17"/>
          <w:rFonts w:hint="eastAsia" w:ascii="宋体" w:hAnsi="宋体" w:eastAsia="宋体" w:cs="宋体"/>
          <w:color w:val="auto"/>
          <w:sz w:val="24"/>
          <w:szCs w:val="24"/>
          <w:highlight w:val="none"/>
          <w:shd w:val="clear" w:fill="FFFFFF"/>
        </w:rPr>
        <w:t>采用综合评分法</w:t>
      </w:r>
      <w:r>
        <w:rPr>
          <w:rFonts w:hint="eastAsia" w:ascii="宋体" w:hAnsi="宋体" w:eastAsia="宋体" w:cs="宋体"/>
          <w:color w:val="auto"/>
          <w:sz w:val="24"/>
          <w:szCs w:val="24"/>
          <w:highlight w:val="none"/>
          <w:shd w:val="clear" w:fill="FFFFFF"/>
        </w:rPr>
        <w:t>：</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（3）各项评审因素的设置如下：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①价格项（F1×A1）满分为</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b.价格扣除的规则如下：</w:t>
      </w:r>
    </w:p>
    <w:tbl>
      <w:tblPr>
        <w:tblStyle w:val="15"/>
        <w:tblW w:w="831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64"/>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164" w:type="dxa"/>
            <w:shd w:val="clear" w:color="auto" w:fill="auto"/>
            <w:vAlign w:val="center"/>
          </w:tcPr>
          <w:p>
            <w:pPr>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评标项目</w:t>
            </w:r>
          </w:p>
        </w:tc>
        <w:tc>
          <w:tcPr>
            <w:tcW w:w="7147" w:type="dxa"/>
            <w:shd w:val="clear" w:color="auto" w:fill="auto"/>
            <w:vAlign w:val="center"/>
          </w:tcPr>
          <w:p>
            <w:pPr>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64" w:type="dxa"/>
            <w:shd w:val="clear" w:color="auto" w:fill="auto"/>
            <w:vAlign w:val="center"/>
          </w:tcPr>
          <w:p>
            <w:pPr>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小型、微型企业，监狱企业，残疾人</w:t>
            </w:r>
          </w:p>
        </w:tc>
        <w:tc>
          <w:tcPr>
            <w:tcW w:w="7147" w:type="dxa"/>
            <w:shd w:val="clear" w:color="auto" w:fill="auto"/>
            <w:vAlign w:val="center"/>
          </w:tcPr>
          <w:p>
            <w:pPr>
              <w:keepNext w:val="0"/>
              <w:keepLines w:val="0"/>
              <w:widowControl/>
              <w:suppressLineNumbers w:val="0"/>
              <w:jc w:val="left"/>
              <w:outlineLvl w:val="9"/>
              <w:rPr>
                <w:rFonts w:hint="eastAsia" w:ascii="宋体" w:hAnsi="宋体" w:eastAsia="宋体" w:cs="宋体"/>
                <w:color w:val="auto"/>
                <w:highlight w:val="none"/>
              </w:rPr>
            </w:pPr>
            <w:r>
              <w:rPr>
                <w:rStyle w:val="17"/>
                <w:rFonts w:hint="eastAsia" w:ascii="宋体" w:hAnsi="宋体" w:eastAsia="宋体" w:cs="宋体"/>
                <w:color w:val="auto"/>
                <w:kern w:val="0"/>
                <w:sz w:val="24"/>
                <w:szCs w:val="24"/>
                <w:highlight w:val="none"/>
                <w:lang w:val="en-US" w:eastAsia="zh-CN" w:bidi="ar"/>
              </w:rPr>
              <w:t>经采购人确认，本合同包不属于专门面向中小企业预留份额的招标项目，因此根据《政府采购促进中小企业发展管理办法》财库〔2020〕46号文的规定，符合以下规则条件的投标人将依法享受相应的价格扣除优惠政策，用扣除后的价格参加评审。参加本合同包的投标人，必须在响应文件中按照招标文件第七章所附格式如实填写《中小企业声明函》，投标人应当对其承诺和提供材料的真实性、合法性和准确性负责。未按招标文件要求提供《中小企业声明函》，视同为相应投标人不满足小微企业条件和标准，不享受价格扣除的优惠政策。 ①本合同包是服务类采购，根据《政府采购促进中小企业发展管理办法》财库〔2020〕46号文的有关规定，服务采购项目中，服务由中小企业主体承接的，才能享受相应扶持政策。本合同包投标人自身承接全部服务内容，且投标人符合政府采购相关法规要求的小微企业划分标准，将依法享受价格扣除的优惠政策，对其报价给予20%的价格扣除，用扣除后的价格参加评审。投标人必须在响应文件中按照招标文件第七章所附格式如实填写《中小企业声明函》，投标人应当对其承诺和提供材料的真实性、合法性和准确性负责。未按招标文件要求提供《中小企业声明函》，视同为投标人不满足小微企业条件和标准，不享受价格扣除的优惠政策。 ②根据关于印发中小企业划型标准规定的通知(工信部联企业〔2011〕300号)有关规定，本项目采购标的对应的中小企业划分标准所属行业为软件和信息技术服务业。 ③根据财政部、司法部联合印发《关于政府采购支持监狱企业发展有关问题的通知》（财库【2014】68号）文以及财政部、民政部、中国残联联合发布关于促进残疾人就业政府采购政策的通知（财库[2017]141号）文的有关规定，监狱企业和残疾人福利性单位视同为小型、微型企业。监狱企业或残疾人福利性单位参加本合同包投标且全部服务内容均由其自身承接的，将依法享受价格扣除的优惠政策，对其报价给予10%的价格扣除，用扣除后的价格参加评审。但监狱企业必须提供由省级以上监狱管理局、戒毒管理局（含新疆生产建设兵团）出具的属于监狱企业的证明文件，否则评审时不享受价格扣除的优惠政策；残疾人福利性单位必须如实提供《残疾人福利性单位声明函》，否则评审时不享受价格扣除的优惠政策。上述规定与政府采购相关法律、法规、制度等有冲突的，以现行法律、法规、制度等执行。</w:t>
            </w:r>
          </w:p>
        </w:tc>
      </w:tr>
    </w:tbl>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②技术项（F2×A2）满分为</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分。</w:t>
      </w:r>
    </w:p>
    <w:tbl>
      <w:tblPr>
        <w:tblStyle w:val="15"/>
        <w:tblW w:w="831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05"/>
        <w:gridCol w:w="570"/>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1305" w:type="dxa"/>
            <w:shd w:val="clear" w:color="auto" w:fill="auto"/>
            <w:vAlign w:val="center"/>
          </w:tcPr>
          <w:p>
            <w:pPr>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评标项目</w:t>
            </w:r>
          </w:p>
        </w:tc>
        <w:tc>
          <w:tcPr>
            <w:tcW w:w="570" w:type="dxa"/>
            <w:shd w:val="clear" w:color="auto" w:fill="auto"/>
            <w:vAlign w:val="center"/>
          </w:tcPr>
          <w:p>
            <w:pPr>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评标分值</w:t>
            </w:r>
          </w:p>
        </w:tc>
        <w:tc>
          <w:tcPr>
            <w:tcW w:w="6436" w:type="dxa"/>
            <w:shd w:val="clear" w:color="auto" w:fill="auto"/>
            <w:vAlign w:val="center"/>
          </w:tcPr>
          <w:p>
            <w:pPr>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CellSpacing w:w="0" w:type="dxa"/>
        </w:trPr>
        <w:tc>
          <w:tcPr>
            <w:tcW w:w="1305" w:type="dxa"/>
            <w:shd w:val="clear" w:color="auto" w:fill="auto"/>
            <w:vAlign w:val="center"/>
          </w:tcPr>
          <w:p>
            <w:pPr>
              <w:widowControl/>
              <w:jc w:val="left"/>
              <w:rPr>
                <w:rFonts w:hint="eastAsia" w:ascii="宋体" w:hAnsi="宋体" w:eastAsia="宋体" w:cs="宋体"/>
                <w:color w:val="auto"/>
                <w:highlight w:val="none"/>
              </w:rPr>
            </w:pPr>
            <w:r>
              <w:rPr>
                <w:rFonts w:hint="eastAsia"/>
                <w:color w:val="auto"/>
                <w:sz w:val="22"/>
                <w:szCs w:val="22"/>
                <w:highlight w:val="none"/>
              </w:rPr>
              <w:t>1、响应内容对招标要求的响应程度情况</w:t>
            </w:r>
          </w:p>
        </w:tc>
        <w:tc>
          <w:tcPr>
            <w:tcW w:w="570" w:type="dxa"/>
            <w:shd w:val="clear" w:color="auto" w:fill="auto"/>
            <w:vAlign w:val="center"/>
          </w:tcPr>
          <w:p>
            <w:pPr>
              <w:widowControl/>
              <w:jc w:val="center"/>
              <w:rPr>
                <w:rFonts w:hint="eastAsia" w:ascii="宋体" w:hAnsi="宋体" w:eastAsia="宋体" w:cs="宋体"/>
                <w:color w:val="auto"/>
                <w:highlight w:val="none"/>
              </w:rPr>
            </w:pPr>
            <w:r>
              <w:rPr>
                <w:rFonts w:hint="eastAsia"/>
                <w:color w:val="auto"/>
                <w:sz w:val="22"/>
                <w:szCs w:val="22"/>
                <w:highlight w:val="none"/>
              </w:rPr>
              <w:t>26.5</w:t>
            </w:r>
          </w:p>
        </w:tc>
        <w:tc>
          <w:tcPr>
            <w:tcW w:w="6436" w:type="dxa"/>
            <w:shd w:val="clear" w:color="auto" w:fill="auto"/>
            <w:vAlign w:val="bottom"/>
          </w:tcPr>
          <w:p>
            <w:pPr>
              <w:widowControl/>
              <w:jc w:val="left"/>
              <w:rPr>
                <w:rFonts w:hint="eastAsia" w:ascii="宋体" w:hAnsi="宋体" w:eastAsia="宋体" w:cs="宋体"/>
                <w:color w:val="auto"/>
                <w:highlight w:val="none"/>
              </w:rPr>
            </w:pPr>
            <w:r>
              <w:rPr>
                <w:rFonts w:hint="eastAsia"/>
                <w:color w:val="auto"/>
                <w:sz w:val="22"/>
                <w:szCs w:val="22"/>
                <w:highlight w:val="none"/>
              </w:rPr>
              <w:t>投标人能够全部响应并满足招标文件“第五章招标内容及要求”第二条“技术和服务要求”各项技术服务要求，没有任何负偏离，则响应程度得分为26.5分。以“★”标示的内容为不允许负偏离的实质性要求，若有一项负偏离，按照无效标处理；如果投标人对招标文件“第五章招标内容及要求”第二条“技术和服务要求”中除“★”标示的内容外的各项</w:t>
            </w:r>
            <w:r>
              <w:rPr>
                <w:rFonts w:hint="eastAsia"/>
                <w:color w:val="auto"/>
                <w:sz w:val="22"/>
                <w:szCs w:val="22"/>
                <w:highlight w:val="none"/>
                <w:lang w:eastAsia="zh-CN"/>
              </w:rPr>
              <w:t>（</w:t>
            </w:r>
            <w:r>
              <w:rPr>
                <w:rFonts w:hint="eastAsia"/>
                <w:color w:val="auto"/>
                <w:sz w:val="22"/>
                <w:szCs w:val="22"/>
                <w:highlight w:val="none"/>
                <w:lang w:val="en-US" w:eastAsia="zh-CN"/>
              </w:rPr>
              <w:t>注：</w:t>
            </w:r>
            <w:r>
              <w:rPr>
                <w:rFonts w:hint="eastAsia"/>
                <w:color w:val="auto"/>
                <w:sz w:val="22"/>
                <w:szCs w:val="22"/>
                <w:highlight w:val="none"/>
              </w:rPr>
              <w:t>凡标有最低一级序号的指标项即为一项</w:t>
            </w:r>
            <w:r>
              <w:rPr>
                <w:rFonts w:hint="eastAsia"/>
                <w:color w:val="auto"/>
                <w:sz w:val="22"/>
                <w:szCs w:val="22"/>
                <w:highlight w:val="none"/>
                <w:lang w:eastAsia="zh-CN"/>
              </w:rPr>
              <w:t>）</w:t>
            </w:r>
            <w:r>
              <w:rPr>
                <w:rFonts w:hint="eastAsia"/>
                <w:color w:val="auto"/>
                <w:sz w:val="22"/>
                <w:szCs w:val="22"/>
                <w:highlight w:val="none"/>
              </w:rPr>
              <w:t>技术服务要求有负偏离，则按以下分类分档进行量化评分。（1）负偏离数量为1～3个，则响应程度为优良，并按照负偏离的实际数量从少到多的顺序，分别量化得分为25.5分、24.5分、23.5分。 （2）负偏离数量为4～6个，则响应程度为较好，并按照负偏离的实际数量从少到多的顺序，分别量化得分为22.5分、21.5分、20.5分。（3）负偏离数量为7～9个，则响应程度为一般，并按照负偏离的实际数量从少到多的顺序，分别量化得分为19.5分、18.5分、17.5分。负偏离数量≥10个，视为投标响应重大偏离招标文件要求，响应程度招标人无法接受，该投标人的投标文件将被否决。 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shd w:val="clear" w:color="auto" w:fill="auto"/>
            <w:vAlign w:val="center"/>
          </w:tcPr>
          <w:p>
            <w:pPr>
              <w:widowControl/>
              <w:jc w:val="left"/>
              <w:textAlignment w:val="center"/>
              <w:rPr>
                <w:rFonts w:hint="eastAsia" w:ascii="宋体" w:hAnsi="宋体" w:eastAsia="宋体" w:cs="宋体"/>
                <w:color w:val="auto"/>
                <w:highlight w:val="none"/>
              </w:rPr>
            </w:pPr>
            <w:r>
              <w:rPr>
                <w:rFonts w:hint="eastAsia"/>
                <w:color w:val="auto"/>
                <w:sz w:val="22"/>
                <w:szCs w:val="22"/>
                <w:highlight w:val="none"/>
              </w:rPr>
              <w:t>2、对项目现状分析和理解</w:t>
            </w:r>
          </w:p>
        </w:tc>
        <w:tc>
          <w:tcPr>
            <w:tcW w:w="570" w:type="dxa"/>
            <w:shd w:val="clear" w:color="auto" w:fill="auto"/>
            <w:vAlign w:val="center"/>
          </w:tcPr>
          <w:p>
            <w:pPr>
              <w:widowControl/>
              <w:jc w:val="center"/>
              <w:textAlignment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textAlignment w:val="bottom"/>
              <w:rPr>
                <w:rFonts w:hint="eastAsia" w:ascii="宋体" w:hAnsi="宋体" w:eastAsia="宋体" w:cs="宋体"/>
                <w:color w:val="auto"/>
                <w:highlight w:val="none"/>
              </w:rPr>
            </w:pPr>
            <w:r>
              <w:rPr>
                <w:rFonts w:hint="eastAsia"/>
                <w:color w:val="auto"/>
                <w:sz w:val="22"/>
                <w:szCs w:val="22"/>
                <w:highlight w:val="none"/>
              </w:rPr>
              <w:t>投标人对本项目的基础设施现状、基础平台现状、应用系统现状、密码应用现状、基础数据现状等项目现状情况了解清楚、透彻，内容具体、全面，抓住了本项目的重点得3分；对于项目需求理解较为完整，内容基本全面、分析内容基本符合项目目标得1分；对于项目需求理解有待进一步深入，分析不够透彻的0.5分；未提供或理解存在较大偏差，内容有较大欠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shd w:val="clear" w:color="auto" w:fill="auto"/>
            <w:vAlign w:val="center"/>
          </w:tcPr>
          <w:p>
            <w:pPr>
              <w:widowControl/>
              <w:jc w:val="left"/>
              <w:textAlignment w:val="center"/>
              <w:rPr>
                <w:rFonts w:hint="default" w:ascii="宋体" w:hAnsi="宋体" w:cs="宋体" w:eastAsiaTheme="minorEastAsia"/>
                <w:color w:val="auto"/>
                <w:highlight w:val="none"/>
                <w:lang w:val="en-US" w:eastAsia="zh-CN"/>
              </w:rPr>
            </w:pPr>
            <w:r>
              <w:rPr>
                <w:rFonts w:hint="eastAsia"/>
                <w:color w:val="auto"/>
                <w:sz w:val="22"/>
                <w:szCs w:val="22"/>
                <w:highlight w:val="none"/>
              </w:rPr>
              <w:t>3、</w:t>
            </w:r>
            <w:r>
              <w:rPr>
                <w:rFonts w:hint="eastAsia"/>
                <w:color w:val="auto"/>
                <w:sz w:val="22"/>
                <w:szCs w:val="22"/>
                <w:highlight w:val="none"/>
                <w:lang w:val="en-US" w:eastAsia="zh-CN"/>
              </w:rPr>
              <w:t>质量管控方案</w:t>
            </w:r>
          </w:p>
        </w:tc>
        <w:tc>
          <w:tcPr>
            <w:tcW w:w="570" w:type="dxa"/>
            <w:shd w:val="clear" w:color="auto" w:fill="auto"/>
            <w:vAlign w:val="center"/>
          </w:tcPr>
          <w:p>
            <w:pPr>
              <w:widowControl/>
              <w:jc w:val="center"/>
              <w:textAlignment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textAlignment w:val="bottom"/>
              <w:rPr>
                <w:rFonts w:hint="eastAsia" w:ascii="宋体" w:hAnsi="宋体" w:eastAsia="宋体" w:cs="宋体"/>
                <w:color w:val="auto"/>
                <w:highlight w:val="none"/>
              </w:rPr>
            </w:pPr>
            <w:r>
              <w:rPr>
                <w:rFonts w:hint="eastAsia"/>
                <w:color w:val="auto"/>
                <w:highlight w:val="none"/>
              </w:rPr>
              <w:t xml:space="preserve">根据投标人提供的项目实施事前、事中、事后质量管控措施方案综合打分：方案对本项目具有较好针对性描述，管控措施包括实施事前、事中、事后全过程，措施能充分保证项目质量的，得3分；方案对本项目描述针对性一般，管控措施包括实施事前、事中、事后全过程，措施能基本保证项目质量的，得1分；方案对本项目不具有针对性描述，管控措施未覆盖实施事前、事中、事后全过程，措施不足以保证项目质量的，得0.5分，未提供方案或重大偏离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shd w:val="clear" w:color="auto" w:fill="auto"/>
            <w:vAlign w:val="center"/>
          </w:tcPr>
          <w:p>
            <w:pPr>
              <w:widowControl/>
              <w:jc w:val="left"/>
              <w:textAlignment w:val="center"/>
              <w:rPr>
                <w:rFonts w:hint="eastAsia" w:ascii="宋体" w:hAnsi="宋体" w:eastAsia="宋体" w:cs="宋体"/>
                <w:color w:val="auto"/>
                <w:highlight w:val="none"/>
              </w:rPr>
            </w:pPr>
            <w:r>
              <w:rPr>
                <w:rFonts w:hint="eastAsia"/>
                <w:color w:val="auto"/>
                <w:sz w:val="22"/>
                <w:szCs w:val="22"/>
                <w:highlight w:val="none"/>
              </w:rPr>
              <w:t>4、项目风险和进度安排</w:t>
            </w:r>
          </w:p>
        </w:tc>
        <w:tc>
          <w:tcPr>
            <w:tcW w:w="570" w:type="dxa"/>
            <w:shd w:val="clear" w:color="auto" w:fill="auto"/>
            <w:vAlign w:val="center"/>
          </w:tcPr>
          <w:p>
            <w:pPr>
              <w:widowControl/>
              <w:jc w:val="center"/>
              <w:textAlignment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textAlignment w:val="bottom"/>
              <w:rPr>
                <w:rFonts w:hint="eastAsia" w:ascii="宋体" w:hAnsi="宋体" w:eastAsia="宋体" w:cs="宋体"/>
                <w:color w:val="auto"/>
                <w:highlight w:val="none"/>
              </w:rPr>
            </w:pPr>
            <w:r>
              <w:rPr>
                <w:rFonts w:hint="eastAsia"/>
                <w:color w:val="auto"/>
                <w:sz w:val="22"/>
                <w:szCs w:val="22"/>
                <w:highlight w:val="none"/>
              </w:rPr>
              <w:t>根据投标人提供的项目风险分析及规避方案、项目建设实践进度控制方案等内容进行综合评价。方案风险点评估准确、完整，规避方案可操作性强、建设进度控制方案详实可行的得3分；方案阐述较详实，方案可操作性较可行的得1分；方案阐述内容简短，方案可操作性较差的得0.5分；未提供或重大偏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shd w:val="clear" w:color="auto" w:fill="auto"/>
            <w:vAlign w:val="center"/>
          </w:tcPr>
          <w:p>
            <w:pPr>
              <w:widowControl/>
              <w:jc w:val="left"/>
              <w:textAlignment w:val="center"/>
              <w:rPr>
                <w:rFonts w:hint="eastAsia" w:ascii="宋体" w:hAnsi="宋体" w:eastAsia="宋体" w:cs="宋体"/>
                <w:color w:val="auto"/>
                <w:highlight w:val="none"/>
              </w:rPr>
            </w:pPr>
            <w:r>
              <w:rPr>
                <w:rFonts w:hint="eastAsia"/>
                <w:color w:val="auto"/>
                <w:sz w:val="22"/>
                <w:szCs w:val="22"/>
                <w:highlight w:val="none"/>
              </w:rPr>
              <w:t>5、项目应急方案</w:t>
            </w:r>
          </w:p>
        </w:tc>
        <w:tc>
          <w:tcPr>
            <w:tcW w:w="570" w:type="dxa"/>
            <w:shd w:val="clear" w:color="auto" w:fill="auto"/>
            <w:vAlign w:val="center"/>
          </w:tcPr>
          <w:p>
            <w:pPr>
              <w:widowControl/>
              <w:jc w:val="center"/>
              <w:textAlignment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textAlignment w:val="bottom"/>
              <w:rPr>
                <w:rFonts w:hint="eastAsia" w:ascii="宋体" w:hAnsi="宋体" w:eastAsia="宋体" w:cs="宋体"/>
                <w:color w:val="auto"/>
                <w:highlight w:val="none"/>
              </w:rPr>
            </w:pPr>
            <w:r>
              <w:rPr>
                <w:rFonts w:hint="eastAsia"/>
                <w:color w:val="auto"/>
                <w:sz w:val="22"/>
                <w:szCs w:val="22"/>
                <w:highlight w:val="none"/>
              </w:rPr>
              <w:t>根据投标人提供的突发事件反应预案情况进行评议，提供完整的应急预案，且应对方式合理的得3分；能针对可预见的突发情况，提供较完整的应急预案，且应对方式基本合理的得1分；能提供出应急预案，但表述欠佳，应对措施不太合理的得0.5分；未提供应急预案或重大偏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shd w:val="clear" w:color="auto" w:fill="auto"/>
            <w:vAlign w:val="center"/>
          </w:tcPr>
          <w:p>
            <w:pPr>
              <w:widowControl/>
              <w:jc w:val="left"/>
              <w:textAlignment w:val="center"/>
              <w:rPr>
                <w:rFonts w:hint="eastAsia" w:ascii="宋体" w:hAnsi="宋体" w:eastAsia="宋体" w:cs="宋体"/>
                <w:color w:val="auto"/>
                <w:highlight w:val="none"/>
              </w:rPr>
            </w:pPr>
            <w:r>
              <w:rPr>
                <w:rFonts w:hint="eastAsia"/>
                <w:color w:val="auto"/>
                <w:sz w:val="22"/>
                <w:szCs w:val="22"/>
                <w:highlight w:val="none"/>
              </w:rPr>
              <w:t>6、公众服务系统</w:t>
            </w:r>
          </w:p>
        </w:tc>
        <w:tc>
          <w:tcPr>
            <w:tcW w:w="570" w:type="dxa"/>
            <w:shd w:val="clear" w:color="auto" w:fill="auto"/>
            <w:vAlign w:val="center"/>
          </w:tcPr>
          <w:p>
            <w:pPr>
              <w:widowControl/>
              <w:jc w:val="center"/>
              <w:textAlignment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textAlignment w:val="bottom"/>
              <w:rPr>
                <w:rFonts w:hint="eastAsia" w:ascii="宋体" w:hAnsi="宋体" w:eastAsia="宋体" w:cs="宋体"/>
                <w:color w:val="auto"/>
                <w:highlight w:val="none"/>
              </w:rPr>
            </w:pPr>
            <w:r>
              <w:rPr>
                <w:rFonts w:hint="eastAsia"/>
                <w:color w:val="auto"/>
                <w:sz w:val="22"/>
                <w:szCs w:val="22"/>
                <w:highlight w:val="none"/>
              </w:rPr>
              <w:t>投标人对公众服务系统做出全面详细设计，方案设计合理，技术可行性强，功能划分清晰，逻辑性强，得3分；方案设计较合理，技术可行性，功能划分较清晰，逻辑性较强，得1分；方案设计简单，技术可行性一般，功能划分一般，逻辑性 一般，得0.5分；方案设计可行性差、逻辑混乱或没有提供功能设 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shd w:val="clear" w:color="auto" w:fill="auto"/>
            <w:vAlign w:val="center"/>
          </w:tcPr>
          <w:p>
            <w:pPr>
              <w:widowControl/>
              <w:jc w:val="left"/>
              <w:textAlignment w:val="center"/>
              <w:rPr>
                <w:rFonts w:hint="eastAsia" w:ascii="宋体" w:hAnsi="宋体" w:eastAsia="宋体" w:cs="宋体"/>
                <w:color w:val="auto"/>
                <w:highlight w:val="none"/>
              </w:rPr>
            </w:pPr>
            <w:r>
              <w:rPr>
                <w:rFonts w:hint="eastAsia"/>
                <w:color w:val="auto"/>
                <w:sz w:val="22"/>
                <w:szCs w:val="22"/>
                <w:highlight w:val="none"/>
              </w:rPr>
              <w:t>7、指挥协调系统</w:t>
            </w:r>
          </w:p>
        </w:tc>
        <w:tc>
          <w:tcPr>
            <w:tcW w:w="570" w:type="dxa"/>
            <w:shd w:val="clear" w:color="auto" w:fill="auto"/>
            <w:vAlign w:val="center"/>
          </w:tcPr>
          <w:p>
            <w:pPr>
              <w:widowControl/>
              <w:jc w:val="center"/>
              <w:textAlignment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textAlignment w:val="bottom"/>
              <w:rPr>
                <w:rFonts w:hint="eastAsia" w:ascii="宋体" w:hAnsi="宋体" w:eastAsia="宋体" w:cs="宋体"/>
                <w:color w:val="auto"/>
                <w:highlight w:val="none"/>
              </w:rPr>
            </w:pPr>
            <w:r>
              <w:rPr>
                <w:rFonts w:hint="eastAsia"/>
                <w:color w:val="auto"/>
                <w:sz w:val="22"/>
                <w:szCs w:val="22"/>
                <w:highlight w:val="none"/>
              </w:rPr>
              <w:t>投标人指挥协调系统做出全面详细可落地性设计，方案设计合理，技术可行性强，功能划分清晰，逻辑性强，得3分；方案设计较合理，技术可行性，功能划分较清晰，逻辑性较强，得1分；方案设计简单，技术可行性一般，功能划分一般，逻辑性 一般，得0.5分；方案设计可行性差、逻辑混乱或没有提供功能设计方案不得分。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shd w:val="clear" w:color="auto" w:fill="auto"/>
            <w:vAlign w:val="center"/>
          </w:tcPr>
          <w:p>
            <w:pPr>
              <w:widowControl/>
              <w:jc w:val="left"/>
              <w:textAlignment w:val="center"/>
              <w:rPr>
                <w:rFonts w:hint="eastAsia" w:ascii="宋体" w:hAnsi="宋体" w:eastAsia="宋体" w:cs="宋体"/>
                <w:color w:val="auto"/>
                <w:highlight w:val="none"/>
              </w:rPr>
            </w:pPr>
            <w:r>
              <w:rPr>
                <w:rFonts w:hint="eastAsia"/>
                <w:color w:val="auto"/>
                <w:sz w:val="22"/>
                <w:szCs w:val="22"/>
                <w:highlight w:val="none"/>
              </w:rPr>
              <w:t>8、城市事件分类与标准</w:t>
            </w:r>
          </w:p>
        </w:tc>
        <w:tc>
          <w:tcPr>
            <w:tcW w:w="570" w:type="dxa"/>
            <w:shd w:val="clear" w:color="auto" w:fill="auto"/>
            <w:vAlign w:val="center"/>
          </w:tcPr>
          <w:p>
            <w:pPr>
              <w:widowControl/>
              <w:jc w:val="center"/>
              <w:textAlignment w:val="center"/>
              <w:rPr>
                <w:rFonts w:hint="eastAsia" w:ascii="宋体" w:hAnsi="宋体" w:eastAsia="宋体" w:cs="宋体"/>
                <w:color w:val="auto"/>
                <w:highlight w:val="none"/>
              </w:rPr>
            </w:pPr>
            <w:r>
              <w:rPr>
                <w:rFonts w:hint="eastAsia"/>
                <w:color w:val="auto"/>
                <w:sz w:val="22"/>
                <w:szCs w:val="22"/>
                <w:highlight w:val="none"/>
              </w:rPr>
              <w:t>2</w:t>
            </w:r>
          </w:p>
        </w:tc>
        <w:tc>
          <w:tcPr>
            <w:tcW w:w="6436" w:type="dxa"/>
            <w:shd w:val="clear" w:color="auto" w:fill="auto"/>
            <w:vAlign w:val="bottom"/>
          </w:tcPr>
          <w:p>
            <w:pPr>
              <w:widowControl/>
              <w:jc w:val="left"/>
              <w:textAlignment w:val="bottom"/>
              <w:rPr>
                <w:rFonts w:hint="eastAsia" w:ascii="宋体" w:hAnsi="宋体" w:eastAsia="宋体" w:cs="宋体"/>
                <w:color w:val="auto"/>
                <w:highlight w:val="none"/>
              </w:rPr>
            </w:pPr>
            <w:r>
              <w:rPr>
                <w:rFonts w:hint="eastAsia"/>
                <w:color w:val="auto"/>
                <w:sz w:val="22"/>
                <w:szCs w:val="22"/>
                <w:highlight w:val="none"/>
              </w:rPr>
              <w:t>投标人对城市事件分类与标准做出全面详细设计，设计合理，技术可行性强，功能划分清晰，逻辑性强，得2分；方案设计较合理，技术可行性较强，功能划分较清晰，逻辑性较强，得1分；设计简单，技术可行性一般，功能划分一般，逻辑性 一般，得0.5分；方案设计可行性差、逻辑混乱或没有提供功能设 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shd w:val="clear" w:color="auto" w:fill="auto"/>
            <w:vAlign w:val="center"/>
          </w:tcPr>
          <w:p>
            <w:pPr>
              <w:widowControl/>
              <w:jc w:val="left"/>
              <w:textAlignment w:val="center"/>
              <w:rPr>
                <w:rFonts w:hint="eastAsia" w:ascii="宋体" w:hAnsi="宋体" w:eastAsia="宋体" w:cs="宋体"/>
                <w:color w:val="auto"/>
                <w:highlight w:val="none"/>
              </w:rPr>
            </w:pPr>
            <w:r>
              <w:rPr>
                <w:rFonts w:hint="eastAsia"/>
                <w:color w:val="auto"/>
                <w:sz w:val="22"/>
                <w:szCs w:val="22"/>
                <w:highlight w:val="none"/>
              </w:rPr>
              <w:t>9、网格微服务系统</w:t>
            </w:r>
          </w:p>
        </w:tc>
        <w:tc>
          <w:tcPr>
            <w:tcW w:w="570" w:type="dxa"/>
            <w:shd w:val="clear" w:color="auto" w:fill="auto"/>
            <w:vAlign w:val="center"/>
          </w:tcPr>
          <w:p>
            <w:pPr>
              <w:widowControl/>
              <w:jc w:val="center"/>
              <w:textAlignment w:val="center"/>
              <w:rPr>
                <w:rFonts w:hint="eastAsia" w:ascii="宋体" w:hAnsi="宋体" w:eastAsia="宋体" w:cs="宋体"/>
                <w:color w:val="auto"/>
                <w:highlight w:val="none"/>
              </w:rPr>
            </w:pPr>
            <w:r>
              <w:rPr>
                <w:rFonts w:hint="eastAsia"/>
                <w:color w:val="auto"/>
                <w:sz w:val="22"/>
                <w:szCs w:val="22"/>
                <w:highlight w:val="none"/>
              </w:rPr>
              <w:t>2</w:t>
            </w:r>
          </w:p>
        </w:tc>
        <w:tc>
          <w:tcPr>
            <w:tcW w:w="6436" w:type="dxa"/>
            <w:shd w:val="clear" w:color="auto" w:fill="auto"/>
            <w:vAlign w:val="bottom"/>
          </w:tcPr>
          <w:p>
            <w:pPr>
              <w:widowControl/>
              <w:jc w:val="left"/>
              <w:textAlignment w:val="bottom"/>
              <w:rPr>
                <w:rFonts w:hint="eastAsia" w:ascii="宋体" w:hAnsi="宋体" w:eastAsia="宋体" w:cs="宋体"/>
                <w:color w:val="auto"/>
                <w:highlight w:val="none"/>
              </w:rPr>
            </w:pPr>
            <w:r>
              <w:rPr>
                <w:rFonts w:hint="eastAsia"/>
                <w:color w:val="auto"/>
                <w:sz w:val="22"/>
                <w:szCs w:val="22"/>
                <w:highlight w:val="none"/>
              </w:rPr>
              <w:t>投标人对网格微服务系统做出全面详细设计，方案设计合理，技术可行性强，功能划分清晰，逻辑性强，得2分；方案设计较合理，技术可行性，功能划分较清晰，逻辑性较强，得1分；方案设计简单，技术可行性一般，功能划分一般，逻辑性 一般，得0.5分；方案设计可行性差、逻辑混乱或没有提供功能设 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shd w:val="clear" w:color="auto" w:fill="auto"/>
            <w:vAlign w:val="center"/>
          </w:tcPr>
          <w:p>
            <w:pPr>
              <w:widowControl/>
              <w:jc w:val="left"/>
              <w:textAlignment w:val="center"/>
              <w:rPr>
                <w:rFonts w:hint="eastAsia" w:ascii="宋体" w:hAnsi="宋体" w:eastAsia="宋体" w:cs="宋体"/>
                <w:color w:val="auto"/>
                <w:highlight w:val="none"/>
              </w:rPr>
            </w:pPr>
            <w:r>
              <w:rPr>
                <w:rFonts w:hint="eastAsia"/>
                <w:color w:val="auto"/>
                <w:sz w:val="22"/>
                <w:szCs w:val="22"/>
                <w:highlight w:val="none"/>
              </w:rPr>
              <w:t>10、舆情监测系统</w:t>
            </w:r>
          </w:p>
        </w:tc>
        <w:tc>
          <w:tcPr>
            <w:tcW w:w="570" w:type="dxa"/>
            <w:shd w:val="clear" w:color="auto" w:fill="auto"/>
            <w:vAlign w:val="center"/>
          </w:tcPr>
          <w:p>
            <w:pPr>
              <w:widowControl/>
              <w:jc w:val="center"/>
              <w:textAlignment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textAlignment w:val="bottom"/>
              <w:rPr>
                <w:rFonts w:hint="eastAsia" w:ascii="宋体" w:hAnsi="宋体" w:eastAsia="宋体" w:cs="宋体"/>
                <w:color w:val="auto"/>
                <w:highlight w:val="none"/>
              </w:rPr>
            </w:pPr>
            <w:r>
              <w:rPr>
                <w:rFonts w:hint="eastAsia"/>
                <w:color w:val="auto"/>
                <w:sz w:val="22"/>
                <w:szCs w:val="22"/>
                <w:highlight w:val="none"/>
              </w:rPr>
              <w:t>投标人对舆情监测系统做出全面详细设计，方案设计合理，技术可行性强，功能划分清晰，逻辑性强，得3分；方案设计较合理，技术可行性，功能划分较清晰，逻辑性较强，得1分；方案设计简单，技术可行性一般，功能划分一般，逻辑性 一般，得0.5分；方案设计可行性差、逻辑混乱或没有提供功能设 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shd w:val="clear" w:color="auto" w:fill="auto"/>
            <w:vAlign w:val="center"/>
          </w:tcPr>
          <w:p>
            <w:pPr>
              <w:widowControl/>
              <w:jc w:val="left"/>
              <w:textAlignment w:val="center"/>
              <w:rPr>
                <w:rFonts w:hint="eastAsia" w:ascii="宋体" w:hAnsi="宋体" w:eastAsia="宋体" w:cs="宋体"/>
                <w:color w:val="auto"/>
                <w:highlight w:val="none"/>
              </w:rPr>
            </w:pPr>
            <w:r>
              <w:rPr>
                <w:rFonts w:hint="eastAsia"/>
                <w:color w:val="auto"/>
                <w:sz w:val="22"/>
                <w:szCs w:val="22"/>
                <w:highlight w:val="none"/>
              </w:rPr>
              <w:t>11、城市自评价系统</w:t>
            </w:r>
          </w:p>
        </w:tc>
        <w:tc>
          <w:tcPr>
            <w:tcW w:w="570" w:type="dxa"/>
            <w:shd w:val="clear" w:color="auto" w:fill="auto"/>
            <w:vAlign w:val="center"/>
          </w:tcPr>
          <w:p>
            <w:pPr>
              <w:widowControl/>
              <w:jc w:val="center"/>
              <w:textAlignment w:val="center"/>
              <w:rPr>
                <w:rFonts w:hint="eastAsia" w:ascii="宋体" w:hAnsi="宋体" w:eastAsia="宋体" w:cs="宋体"/>
                <w:color w:val="auto"/>
                <w:highlight w:val="none"/>
              </w:rPr>
            </w:pPr>
            <w:r>
              <w:rPr>
                <w:rFonts w:hint="eastAsia"/>
                <w:color w:val="auto"/>
                <w:sz w:val="22"/>
                <w:szCs w:val="22"/>
                <w:highlight w:val="none"/>
              </w:rPr>
              <w:t>2.5</w:t>
            </w:r>
          </w:p>
        </w:tc>
        <w:tc>
          <w:tcPr>
            <w:tcW w:w="6436" w:type="dxa"/>
            <w:shd w:val="clear" w:color="auto" w:fill="auto"/>
            <w:vAlign w:val="bottom"/>
          </w:tcPr>
          <w:p>
            <w:pPr>
              <w:widowControl/>
              <w:jc w:val="left"/>
              <w:textAlignment w:val="bottom"/>
              <w:rPr>
                <w:rFonts w:hint="eastAsia" w:ascii="宋体" w:hAnsi="宋体" w:eastAsia="宋体" w:cs="宋体"/>
                <w:color w:val="auto"/>
                <w:highlight w:val="none"/>
              </w:rPr>
            </w:pPr>
            <w:r>
              <w:rPr>
                <w:rFonts w:hint="eastAsia"/>
                <w:color w:val="auto"/>
                <w:sz w:val="22"/>
                <w:szCs w:val="22"/>
                <w:highlight w:val="none"/>
              </w:rPr>
              <w:t>投标人对城市自评价系统做出全面详细设计，方案设计合理，技术可行性强，功能划分清晰，逻辑性强，得2.5分；方案设计较合理，技术可行性，功能划分较清晰，逻辑性较强，得1分；方案设计简单，技术可行性一般，功能划分一般，逻辑性 一般，得0.5分；方案设计可行性差、逻辑混乱或没有提供功能设 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shd w:val="clear" w:color="auto" w:fill="auto"/>
            <w:vAlign w:val="center"/>
          </w:tcPr>
          <w:p>
            <w:pPr>
              <w:widowControl/>
              <w:jc w:val="left"/>
              <w:textAlignment w:val="center"/>
              <w:rPr>
                <w:rFonts w:hint="eastAsia" w:ascii="宋体" w:hAnsi="宋体" w:eastAsia="宋体" w:cs="宋体"/>
                <w:color w:val="auto"/>
                <w:highlight w:val="none"/>
              </w:rPr>
            </w:pPr>
            <w:r>
              <w:rPr>
                <w:rFonts w:hint="eastAsia"/>
                <w:color w:val="auto"/>
                <w:sz w:val="22"/>
                <w:szCs w:val="22"/>
                <w:highlight w:val="none"/>
              </w:rPr>
              <w:t>12、辅助决策中心</w:t>
            </w:r>
          </w:p>
        </w:tc>
        <w:tc>
          <w:tcPr>
            <w:tcW w:w="570" w:type="dxa"/>
            <w:shd w:val="clear" w:color="auto" w:fill="auto"/>
            <w:vAlign w:val="center"/>
          </w:tcPr>
          <w:p>
            <w:pPr>
              <w:widowControl/>
              <w:jc w:val="center"/>
              <w:textAlignment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textAlignment w:val="bottom"/>
              <w:rPr>
                <w:rFonts w:hint="eastAsia" w:ascii="宋体" w:hAnsi="宋体" w:eastAsia="宋体" w:cs="宋体"/>
                <w:color w:val="auto"/>
                <w:highlight w:val="none"/>
              </w:rPr>
            </w:pPr>
            <w:r>
              <w:rPr>
                <w:rFonts w:hint="eastAsia"/>
                <w:color w:val="auto"/>
                <w:sz w:val="22"/>
                <w:szCs w:val="22"/>
                <w:highlight w:val="none"/>
              </w:rPr>
              <w:t>投标人对辅助决策中心做出全面详细设计，方案设计合理，技术可行性强，功能划分清晰，逻辑性强，得3分；方案设计较合理，技术可行性，功能划分较清晰，逻辑性较强，得1分；方案设计简单，技术可行性一般，功能划分一般，逻辑性 一般，得0.5分；方案设计可行性差、逻辑混乱或没有提供功能设 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shd w:val="clear" w:color="auto" w:fill="auto"/>
            <w:vAlign w:val="center"/>
          </w:tcPr>
          <w:p>
            <w:pPr>
              <w:widowControl/>
              <w:jc w:val="left"/>
              <w:textAlignment w:val="center"/>
              <w:rPr>
                <w:rFonts w:hint="eastAsia" w:ascii="宋体" w:hAnsi="宋体" w:eastAsia="宋体" w:cs="宋体"/>
                <w:color w:val="auto"/>
                <w:highlight w:val="none"/>
              </w:rPr>
            </w:pPr>
            <w:r>
              <w:rPr>
                <w:rFonts w:hint="eastAsia"/>
                <w:color w:val="auto"/>
                <w:sz w:val="22"/>
                <w:szCs w:val="22"/>
                <w:highlight w:val="none"/>
              </w:rPr>
              <w:t>13、城市运行监测系统</w:t>
            </w:r>
          </w:p>
        </w:tc>
        <w:tc>
          <w:tcPr>
            <w:tcW w:w="570" w:type="dxa"/>
            <w:shd w:val="clear" w:color="auto" w:fill="auto"/>
            <w:vAlign w:val="center"/>
          </w:tcPr>
          <w:p>
            <w:pPr>
              <w:widowControl/>
              <w:jc w:val="center"/>
              <w:textAlignment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textAlignment w:val="bottom"/>
              <w:rPr>
                <w:rFonts w:hint="eastAsia" w:ascii="宋体" w:hAnsi="宋体" w:eastAsia="宋体" w:cs="宋体"/>
                <w:color w:val="auto"/>
                <w:highlight w:val="none"/>
              </w:rPr>
            </w:pPr>
            <w:r>
              <w:rPr>
                <w:rFonts w:hint="eastAsia"/>
                <w:color w:val="auto"/>
                <w:sz w:val="22"/>
                <w:szCs w:val="22"/>
                <w:highlight w:val="none"/>
              </w:rPr>
              <w:t>投标人对城市运行监测系统统做出全面详细设计，方案设计合理，技术可行性强，功能划分清晰，逻辑性强，得3分；方案设计较合理，技术可行性，功能划分较清晰，逻辑性较强，得1分；方案设计简单，技术可行性一般，功能划分一般，逻辑性一般，得0.5分；方案设计可行性差、逻辑混乱或没有提供功能设 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shd w:val="clear" w:color="auto" w:fill="auto"/>
            <w:vAlign w:val="center"/>
          </w:tcPr>
          <w:p>
            <w:pPr>
              <w:widowControl/>
              <w:jc w:val="left"/>
              <w:textAlignment w:val="center"/>
              <w:rPr>
                <w:rFonts w:hint="eastAsia" w:ascii="宋体" w:hAnsi="宋体" w:eastAsia="宋体" w:cs="宋体"/>
                <w:color w:val="auto"/>
                <w:highlight w:val="none"/>
              </w:rPr>
            </w:pPr>
            <w:r>
              <w:rPr>
                <w:rFonts w:hint="eastAsia"/>
                <w:color w:val="auto"/>
                <w:sz w:val="22"/>
                <w:szCs w:val="22"/>
                <w:highlight w:val="none"/>
              </w:rPr>
              <w:t>14、技术培训</w:t>
            </w:r>
          </w:p>
        </w:tc>
        <w:tc>
          <w:tcPr>
            <w:tcW w:w="570" w:type="dxa"/>
            <w:shd w:val="clear" w:color="auto" w:fill="auto"/>
            <w:vAlign w:val="center"/>
          </w:tcPr>
          <w:p>
            <w:pPr>
              <w:widowControl/>
              <w:jc w:val="center"/>
              <w:textAlignment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textAlignment w:val="bottom"/>
              <w:rPr>
                <w:rFonts w:hint="eastAsia" w:ascii="宋体" w:hAnsi="宋体" w:eastAsia="宋体" w:cs="宋体"/>
                <w:color w:val="auto"/>
                <w:highlight w:val="none"/>
              </w:rPr>
            </w:pPr>
            <w:r>
              <w:rPr>
                <w:rFonts w:hint="eastAsia"/>
                <w:color w:val="auto"/>
                <w:sz w:val="22"/>
                <w:szCs w:val="22"/>
                <w:highlight w:val="none"/>
              </w:rPr>
              <w:t>根据投标人的投标文件中对采购人的管理人员、操作人员及维护人员进行培训、学术支持等</w:t>
            </w:r>
            <w:r>
              <w:rPr>
                <w:rFonts w:hint="eastAsia"/>
                <w:color w:val="auto"/>
                <w:sz w:val="22"/>
                <w:szCs w:val="22"/>
                <w:highlight w:val="none"/>
                <w:lang w:val="en-US" w:eastAsia="zh-Hans"/>
              </w:rPr>
              <w:t>培训计划</w:t>
            </w:r>
            <w:r>
              <w:rPr>
                <w:rFonts w:hint="eastAsia"/>
                <w:color w:val="auto"/>
                <w:sz w:val="22"/>
                <w:szCs w:val="22"/>
                <w:highlight w:val="none"/>
              </w:rPr>
              <w:t>情况，由评委进行评分：培训计划内容符合实际、合理得3分；培训计划内容较符合实际、较合理得1分；培训计划承诺内容一般得0.5分；未提供或培训计划内容不合理的不得分。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vMerge w:val="restart"/>
            <w:shd w:val="clear" w:color="auto" w:fill="auto"/>
            <w:vAlign w:val="center"/>
          </w:tcPr>
          <w:p>
            <w:pPr>
              <w:widowControl/>
              <w:jc w:val="left"/>
              <w:rPr>
                <w:rFonts w:hint="eastAsia" w:ascii="宋体" w:hAnsi="宋体" w:eastAsia="宋体" w:cs="宋体"/>
                <w:color w:val="auto"/>
                <w:highlight w:val="none"/>
              </w:rPr>
            </w:pPr>
            <w:r>
              <w:rPr>
                <w:rFonts w:hint="eastAsia"/>
                <w:color w:val="auto"/>
                <w:highlight w:val="none"/>
              </w:rPr>
              <w:t>15、系统演示（1、在评审现场进行的演示不能为ppt、图片或录制视频；演示现场不能使用互联网网络；2、演示时间控制在15分钟内完成；3、演示用的相关设备由投标人自行提供，包括但不限于笔记本电脑、鼠标、视频输出转换器等；4、本项目如需复议，评标委员会不再对系统演示的内容进行审核。）</w:t>
            </w:r>
          </w:p>
        </w:tc>
        <w:tc>
          <w:tcPr>
            <w:tcW w:w="570" w:type="dxa"/>
            <w:shd w:val="clear" w:color="auto" w:fill="auto"/>
            <w:vAlign w:val="center"/>
          </w:tcPr>
          <w:p>
            <w:pPr>
              <w:widowControl/>
              <w:jc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rPr>
                <w:rFonts w:hint="eastAsia" w:ascii="宋体" w:hAnsi="宋体" w:eastAsia="宋体" w:cs="宋体"/>
                <w:color w:val="auto"/>
                <w:highlight w:val="none"/>
              </w:rPr>
            </w:pPr>
            <w:r>
              <w:rPr>
                <w:rFonts w:hint="eastAsia"/>
                <w:color w:val="auto"/>
                <w:sz w:val="22"/>
                <w:szCs w:val="22"/>
                <w:highlight w:val="none"/>
              </w:rPr>
              <w:t>演示内容1：辅助决策中心演示：投标人自行获取演示数据，从区域、专题、宏观指标等维度分析城市运行态势，并演示实现效果。根据演示功能设计的合理性、科学性、实用型等方面进行评议，演示功能合理、科学、实用的得3分；演示功能较合理、较实用的得2分；演示功能不够合理、不够实用的得1分；演示功能不合理或未提供演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05" w:type="dxa"/>
            <w:vMerge w:val="continue"/>
            <w:shd w:val="clear" w:color="auto" w:fill="auto"/>
            <w:vAlign w:val="center"/>
          </w:tcPr>
          <w:p>
            <w:pPr>
              <w:widowControl/>
              <w:jc w:val="left"/>
              <w:rPr>
                <w:rFonts w:hint="eastAsia" w:ascii="宋体" w:hAnsi="宋体" w:eastAsia="宋体" w:cs="宋体"/>
                <w:color w:val="auto"/>
                <w:highlight w:val="none"/>
              </w:rPr>
            </w:pPr>
          </w:p>
        </w:tc>
        <w:tc>
          <w:tcPr>
            <w:tcW w:w="570" w:type="dxa"/>
            <w:shd w:val="clear" w:color="auto" w:fill="auto"/>
            <w:vAlign w:val="center"/>
          </w:tcPr>
          <w:p>
            <w:pPr>
              <w:widowControl/>
              <w:jc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rPr>
                <w:rFonts w:hint="eastAsia" w:ascii="宋体" w:hAnsi="宋体" w:eastAsia="宋体" w:cs="宋体"/>
                <w:color w:val="auto"/>
                <w:highlight w:val="none"/>
              </w:rPr>
            </w:pPr>
            <w:r>
              <w:rPr>
                <w:rFonts w:hint="eastAsia"/>
                <w:color w:val="auto"/>
                <w:sz w:val="22"/>
                <w:szCs w:val="22"/>
                <w:highlight w:val="none"/>
              </w:rPr>
              <w:t>演示内容2：公众服务系统演示：投标人自行获取演示数据，从公众上报管理、运行分析、信息管理等维度进行功能演示。根据演示功能设计的合理性、科学性、实用型等方面进行评议，演示功能合理、科学、实用的得3分；演示功能较合理、较实用的得2分；演示功能不够合理、不够实用的得1分；演示功能不合理或未提供演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05" w:type="dxa"/>
            <w:vMerge w:val="continue"/>
            <w:shd w:val="clear" w:color="auto" w:fill="auto"/>
            <w:vAlign w:val="center"/>
          </w:tcPr>
          <w:p>
            <w:pPr>
              <w:widowControl/>
              <w:jc w:val="left"/>
              <w:rPr>
                <w:rFonts w:hint="eastAsia" w:ascii="宋体" w:hAnsi="宋体" w:eastAsia="宋体" w:cs="宋体"/>
                <w:color w:val="auto"/>
                <w:highlight w:val="none"/>
              </w:rPr>
            </w:pPr>
          </w:p>
        </w:tc>
        <w:tc>
          <w:tcPr>
            <w:tcW w:w="570" w:type="dxa"/>
            <w:shd w:val="clear" w:color="auto" w:fill="auto"/>
            <w:vAlign w:val="center"/>
          </w:tcPr>
          <w:p>
            <w:pPr>
              <w:widowControl/>
              <w:jc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rPr>
                <w:rFonts w:hint="eastAsia" w:ascii="宋体" w:hAnsi="宋体" w:eastAsia="宋体" w:cs="宋体"/>
                <w:color w:val="auto"/>
                <w:highlight w:val="none"/>
              </w:rPr>
            </w:pPr>
            <w:r>
              <w:rPr>
                <w:rFonts w:hint="eastAsia"/>
                <w:color w:val="auto"/>
                <w:sz w:val="22"/>
                <w:szCs w:val="22"/>
                <w:highlight w:val="none"/>
              </w:rPr>
              <w:t>演示内容3：事件管理中心演示：投标人自行获取演示数据，从功能界面、案件详情字段设置、案件重复判定等维度进行功能演示。根据演示功能设计的合理性、科学性、实用型等方面进行评议，演示功能合理、科学、实用的得3分；演示功能较合理、较实用的得2分；演示功能不够合理、不够实用的得1分；演示功能不合理或未提供演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05" w:type="dxa"/>
            <w:vMerge w:val="continue"/>
            <w:shd w:val="clear" w:color="auto" w:fill="auto"/>
            <w:vAlign w:val="center"/>
          </w:tcPr>
          <w:p>
            <w:pPr>
              <w:widowControl/>
              <w:jc w:val="left"/>
              <w:rPr>
                <w:rFonts w:hint="eastAsia" w:ascii="宋体" w:hAnsi="宋体" w:eastAsia="宋体" w:cs="宋体"/>
                <w:color w:val="auto"/>
                <w:highlight w:val="none"/>
              </w:rPr>
            </w:pPr>
          </w:p>
        </w:tc>
        <w:tc>
          <w:tcPr>
            <w:tcW w:w="570" w:type="dxa"/>
            <w:shd w:val="clear" w:color="auto" w:fill="auto"/>
            <w:vAlign w:val="center"/>
          </w:tcPr>
          <w:p>
            <w:pPr>
              <w:widowControl/>
              <w:jc w:val="center"/>
              <w:rPr>
                <w:rFonts w:hint="eastAsia" w:ascii="宋体" w:hAnsi="宋体" w:eastAsia="宋体" w:cs="宋体"/>
                <w:color w:val="auto"/>
                <w:highlight w:val="none"/>
              </w:rPr>
            </w:pPr>
            <w:r>
              <w:rPr>
                <w:rFonts w:hint="eastAsia"/>
                <w:color w:val="auto"/>
                <w:sz w:val="22"/>
                <w:szCs w:val="22"/>
                <w:highlight w:val="none"/>
              </w:rPr>
              <w:t>3</w:t>
            </w:r>
          </w:p>
        </w:tc>
        <w:tc>
          <w:tcPr>
            <w:tcW w:w="6436" w:type="dxa"/>
            <w:shd w:val="clear" w:color="auto" w:fill="auto"/>
            <w:vAlign w:val="bottom"/>
          </w:tcPr>
          <w:p>
            <w:pPr>
              <w:widowControl/>
              <w:jc w:val="left"/>
              <w:rPr>
                <w:rFonts w:hint="eastAsia" w:ascii="宋体" w:hAnsi="宋体" w:eastAsia="宋体" w:cs="宋体"/>
                <w:color w:val="auto"/>
                <w:highlight w:val="none"/>
              </w:rPr>
            </w:pPr>
            <w:r>
              <w:rPr>
                <w:rFonts w:hint="eastAsia"/>
                <w:color w:val="auto"/>
                <w:sz w:val="22"/>
                <w:szCs w:val="22"/>
                <w:highlight w:val="none"/>
              </w:rPr>
              <w:t>演示内容4：联动处置演示：投标人自行获取演示数据，从发起吹哨、吹哨报道处置、吹哨评价等维度进行功能演示。根据演示功能设计的合理性、科学性、实用型等方面进行评议，演示功能合理、科学、实用的得3分；演示功能较合理、较实用的得2分；演示功能不够合理、不够实用的得1分；演示功能不合理或未提供演示的不得分。</w:t>
            </w:r>
          </w:p>
        </w:tc>
      </w:tr>
    </w:tbl>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③商务项（F3×A3）满分为</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分。</w:t>
      </w:r>
    </w:p>
    <w:tbl>
      <w:tblPr>
        <w:tblStyle w:val="15"/>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30"/>
        <w:gridCol w:w="689"/>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730" w:type="dxa"/>
            <w:shd w:val="clear" w:color="auto" w:fill="auto"/>
            <w:vAlign w:val="center"/>
          </w:tcPr>
          <w:p>
            <w:pPr>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评标项目</w:t>
            </w:r>
          </w:p>
        </w:tc>
        <w:tc>
          <w:tcPr>
            <w:tcW w:w="689" w:type="dxa"/>
            <w:shd w:val="clear" w:color="auto" w:fill="auto"/>
            <w:vAlign w:val="center"/>
          </w:tcPr>
          <w:p>
            <w:pPr>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评标分值</w:t>
            </w:r>
          </w:p>
        </w:tc>
        <w:tc>
          <w:tcPr>
            <w:tcW w:w="6907" w:type="dxa"/>
            <w:shd w:val="clear" w:color="auto" w:fill="auto"/>
            <w:vAlign w:val="center"/>
          </w:tcPr>
          <w:p>
            <w:pPr>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51" w:hRule="atLeast"/>
          <w:tblCellSpacing w:w="0" w:type="dxa"/>
        </w:trPr>
        <w:tc>
          <w:tcPr>
            <w:tcW w:w="7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1、人员1</w:t>
            </w:r>
          </w:p>
        </w:tc>
        <w:tc>
          <w:tcPr>
            <w:tcW w:w="6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69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投标人</w:t>
            </w:r>
            <w:r>
              <w:rPr>
                <w:rFonts w:hint="eastAsia" w:ascii="宋体" w:hAnsi="宋体" w:eastAsia="宋体" w:cs="宋体"/>
                <w:i w:val="0"/>
                <w:color w:val="auto"/>
                <w:kern w:val="0"/>
                <w:sz w:val="21"/>
                <w:szCs w:val="21"/>
                <w:highlight w:val="none"/>
                <w:u w:val="none"/>
                <w:lang w:val="en-US" w:eastAsia="zh-CN" w:bidi="ar"/>
              </w:rPr>
              <w:t>拟派</w:t>
            </w:r>
            <w:r>
              <w:rPr>
                <w:rFonts w:hint="eastAsia" w:ascii="宋体" w:hAnsi="宋体" w:eastAsia="宋体" w:cs="宋体"/>
                <w:i w:val="0"/>
                <w:color w:val="auto"/>
                <w:kern w:val="0"/>
                <w:sz w:val="21"/>
                <w:szCs w:val="21"/>
                <w:highlight w:val="none"/>
                <w:u w:val="none"/>
                <w:lang w:val="en-US" w:eastAsia="zh-CN" w:bidi="ar"/>
              </w:rPr>
              <w:t>项目经理具有1.系统分析师2. 信息系统项目管理师 3.注册信息安全专业人员CISP的得3分，每缺少一个扣1分。投标人须提供有效的证书复印件并加盖投标人公章以及技术负责人投标截止时间前三个月（不含投标截止时间的当月）中任一月份的社会保险缴纳凭据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7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2、人员2</w:t>
            </w:r>
          </w:p>
        </w:tc>
        <w:tc>
          <w:tcPr>
            <w:tcW w:w="689"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6907"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投标人</w:t>
            </w:r>
            <w:r>
              <w:rPr>
                <w:rFonts w:hint="eastAsia" w:ascii="宋体" w:hAnsi="宋体" w:eastAsia="宋体" w:cs="宋体"/>
                <w:i w:val="0"/>
                <w:color w:val="auto"/>
                <w:kern w:val="0"/>
                <w:sz w:val="21"/>
                <w:szCs w:val="21"/>
                <w:highlight w:val="none"/>
                <w:u w:val="none"/>
                <w:lang w:val="en-US" w:eastAsia="zh-CN" w:bidi="ar"/>
              </w:rPr>
              <w:t>拟派</w:t>
            </w:r>
            <w:r>
              <w:rPr>
                <w:rFonts w:hint="eastAsia" w:ascii="宋体" w:hAnsi="宋体" w:eastAsia="宋体" w:cs="宋体"/>
                <w:i w:val="0"/>
                <w:color w:val="auto"/>
                <w:kern w:val="0"/>
                <w:sz w:val="21"/>
                <w:szCs w:val="21"/>
                <w:highlight w:val="none"/>
                <w:u w:val="none"/>
                <w:lang w:val="en-US" w:eastAsia="zh-CN" w:bidi="ar"/>
              </w:rPr>
              <w:t>项目技术</w:t>
            </w:r>
            <w:r>
              <w:rPr>
                <w:rFonts w:hint="eastAsia" w:ascii="宋体" w:hAnsi="宋体" w:eastAsia="宋体" w:cs="宋体"/>
                <w:i w:val="0"/>
                <w:color w:val="auto"/>
                <w:kern w:val="0"/>
                <w:sz w:val="21"/>
                <w:szCs w:val="21"/>
                <w:highlight w:val="none"/>
                <w:u w:val="none"/>
                <w:lang w:val="en-US" w:eastAsia="zh-CN" w:bidi="ar"/>
              </w:rPr>
              <w:t>总</w:t>
            </w:r>
            <w:r>
              <w:rPr>
                <w:rFonts w:hint="eastAsia" w:ascii="宋体" w:hAnsi="宋体" w:eastAsia="宋体" w:cs="宋体"/>
                <w:i w:val="0"/>
                <w:color w:val="auto"/>
                <w:kern w:val="0"/>
                <w:sz w:val="21"/>
                <w:szCs w:val="21"/>
                <w:highlight w:val="none"/>
                <w:u w:val="none"/>
                <w:lang w:val="en-US" w:eastAsia="zh-CN" w:bidi="ar"/>
              </w:rPr>
              <w:t>负责人具有1.系统架构设计师2.注册信息安全专业人员CISP 3.信息安全保障人员认证证书CISAW的得3分，每缺少一个扣1分。投标人须提供有效的证书复印件并加盖投标人公章以及项目经理投标截止时间前三个月（不含投标截止时间的当月）中任一月份的社会保险缴纳凭据复印件，否则不得分。(人员1和人员2不得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7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color w:val="auto"/>
                <w:kern w:val="0"/>
                <w:sz w:val="21"/>
                <w:szCs w:val="21"/>
                <w:highlight w:val="none"/>
                <w:u w:val="none"/>
                <w:lang w:val="en-US" w:eastAsia="zh-CN" w:bidi="ar"/>
              </w:rPr>
              <w:t>3、同类业绩</w:t>
            </w:r>
          </w:p>
        </w:tc>
        <w:tc>
          <w:tcPr>
            <w:tcW w:w="689"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6907" w:type="dxa"/>
            <w:shd w:val="clear" w:color="auto" w:fill="auto"/>
            <w:vAlign w:val="center"/>
          </w:tcPr>
          <w:p>
            <w:pPr>
              <w:keepNext w:val="0"/>
              <w:keepLines w:val="0"/>
              <w:widowControl/>
              <w:suppressLineNumbers w:val="0"/>
              <w:jc w:val="both"/>
              <w:textAlignment w:val="center"/>
              <w:rPr>
                <w:rFonts w:hint="eastAsia" w:ascii="宋体" w:hAnsi="宋体" w:eastAsia="宋体" w:cs="宋体"/>
                <w:color w:val="auto"/>
                <w:kern w:val="0"/>
                <w:sz w:val="24"/>
                <w:szCs w:val="24"/>
                <w:highlight w:val="none"/>
                <w:lang w:val="en-US" w:eastAsia="zh-CN" w:bidi="ar"/>
              </w:rPr>
            </w:pPr>
            <w:r>
              <w:rPr>
                <w:rStyle w:val="20"/>
                <w:color w:val="auto"/>
                <w:highlight w:val="none"/>
                <w:lang w:val="en-US" w:eastAsia="zh-CN" w:bidi="ar"/>
              </w:rPr>
              <w:t>2017年01月01日以来投标人承担过智慧城市、智慧城管等类似相关案例的每个1分，最多得3分。</w:t>
            </w:r>
            <w:r>
              <w:rPr>
                <w:rStyle w:val="21"/>
                <w:color w:val="auto"/>
                <w:highlight w:val="none"/>
                <w:lang w:val="en-US" w:eastAsia="zh-CN" w:bidi="ar"/>
              </w:rPr>
              <w:t xml:space="preserve"> </w:t>
            </w:r>
            <w:r>
              <w:rPr>
                <w:rStyle w:val="20"/>
                <w:color w:val="auto"/>
                <w:highlight w:val="none"/>
                <w:lang w:val="en-US" w:eastAsia="zh-CN" w:bidi="ar"/>
              </w:rPr>
              <w:t>（投标人需提供项目相关证明材料复印件并加盖公章。证明材料包含但不限于：中标公告（提供相关网站中标公告的下载网页并注明网址）、中标通知书、采购合同、验收证明及建设内容涵盖说明。提供证明材料不齐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7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color w:val="auto"/>
                <w:kern w:val="0"/>
                <w:sz w:val="21"/>
                <w:szCs w:val="21"/>
                <w:highlight w:val="none"/>
                <w:u w:val="none"/>
                <w:lang w:val="en-US" w:eastAsia="zh-CN" w:bidi="ar"/>
              </w:rPr>
              <w:t>4、售后服务1</w:t>
            </w:r>
          </w:p>
        </w:tc>
        <w:tc>
          <w:tcPr>
            <w:tcW w:w="689"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6907" w:type="dxa"/>
            <w:shd w:val="clear" w:color="auto" w:fill="auto"/>
            <w:vAlign w:val="center"/>
          </w:tcPr>
          <w:p>
            <w:pPr>
              <w:keepNext w:val="0"/>
              <w:keepLines w:val="0"/>
              <w:widowControl/>
              <w:suppressLineNumbers w:val="0"/>
              <w:jc w:val="both"/>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根据各投标人的售后服务方案、维修响应计划情况进行综合评价，方案完整且最大限度满足采购需求的得3分；方案较完整且基本满足采购需求的得1.5分；其余不得分。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30" w:type="dxa"/>
            <w:shd w:val="clear" w:color="auto" w:fill="auto"/>
            <w:vAlign w:val="center"/>
          </w:tcPr>
          <w:p>
            <w:pPr>
              <w:keepNext w:val="0"/>
              <w:keepLines w:val="0"/>
              <w:widowControl/>
              <w:suppressLineNumbers w:val="0"/>
              <w:jc w:val="center"/>
              <w:textAlignment w:val="center"/>
              <w:rPr>
                <w:rFonts w:hint="eastAsia" w:ascii="宋体" w:hAnsi="宋体" w:eastAsia="宋体" w:cs="宋体"/>
                <w:strike/>
                <w:color w:val="auto"/>
                <w:highlight w:val="none"/>
              </w:rPr>
            </w:pPr>
            <w:r>
              <w:rPr>
                <w:rFonts w:hint="eastAsia" w:ascii="宋体" w:hAnsi="宋体" w:eastAsia="宋体" w:cs="宋体"/>
                <w:i w:val="0"/>
                <w:color w:val="auto"/>
                <w:kern w:val="0"/>
                <w:sz w:val="21"/>
                <w:szCs w:val="21"/>
                <w:highlight w:val="none"/>
                <w:u w:val="none"/>
                <w:lang w:val="en-US" w:eastAsia="zh-CN" w:bidi="ar"/>
              </w:rPr>
              <w:t>5、售后服务2</w:t>
            </w:r>
          </w:p>
        </w:tc>
        <w:tc>
          <w:tcPr>
            <w:tcW w:w="689" w:type="dxa"/>
            <w:shd w:val="clear" w:color="auto" w:fill="auto"/>
            <w:vAlign w:val="center"/>
          </w:tcPr>
          <w:p>
            <w:pPr>
              <w:keepNext w:val="0"/>
              <w:keepLines w:val="0"/>
              <w:widowControl/>
              <w:suppressLineNumbers w:val="0"/>
              <w:jc w:val="center"/>
              <w:textAlignment w:val="center"/>
              <w:rPr>
                <w:rFonts w:hint="eastAsia" w:ascii="宋体" w:hAnsi="宋体" w:eastAsia="宋体" w:cs="宋体"/>
                <w:strike/>
                <w:color w:val="auto"/>
                <w:highlight w:val="none"/>
              </w:rPr>
            </w:pPr>
            <w:r>
              <w:rPr>
                <w:rFonts w:hint="eastAsia" w:ascii="宋体" w:hAnsi="宋体" w:eastAsia="宋体" w:cs="宋体"/>
                <w:i w:val="0"/>
                <w:color w:val="auto"/>
                <w:kern w:val="0"/>
                <w:sz w:val="21"/>
                <w:szCs w:val="21"/>
                <w:highlight w:val="none"/>
                <w:u w:val="none"/>
                <w:lang w:val="en-US" w:eastAsia="zh-CN" w:bidi="ar"/>
              </w:rPr>
              <w:t>3</w:t>
            </w:r>
          </w:p>
        </w:tc>
        <w:tc>
          <w:tcPr>
            <w:tcW w:w="6907" w:type="dxa"/>
            <w:shd w:val="clear" w:color="auto" w:fill="auto"/>
            <w:vAlign w:val="center"/>
          </w:tcPr>
          <w:p>
            <w:pPr>
              <w:keepNext w:val="0"/>
              <w:keepLines w:val="0"/>
              <w:widowControl/>
              <w:suppressLineNumbers w:val="0"/>
              <w:jc w:val="both"/>
              <w:textAlignment w:val="center"/>
              <w:rPr>
                <w:rFonts w:hint="eastAsia" w:ascii="宋体" w:hAnsi="宋体" w:eastAsia="宋体" w:cs="宋体"/>
                <w:strike/>
                <w:color w:val="auto"/>
                <w:highlight w:val="none"/>
              </w:rPr>
            </w:pPr>
            <w:r>
              <w:rPr>
                <w:rFonts w:hint="eastAsia" w:ascii="宋体" w:hAnsi="宋体" w:eastAsia="宋体" w:cs="宋体"/>
                <w:i w:val="0"/>
                <w:color w:val="auto"/>
                <w:kern w:val="0"/>
                <w:sz w:val="21"/>
                <w:szCs w:val="21"/>
                <w:highlight w:val="none"/>
                <w:u w:val="none"/>
                <w:lang w:val="en-US" w:eastAsia="zh-CN" w:bidi="ar"/>
              </w:rPr>
              <w:t>投标人承诺自接到招标人服务通知时，故障处理响应时间承诺为：响应时间≤4小时，得2分；4小时＜响应时间≤5小时，得1分；承诺自接到招标人服务通知响应时间超过5小时，本项得0分。需提供相应内容承诺函，未提供承诺函的不得分。</w:t>
            </w:r>
          </w:p>
        </w:tc>
      </w:tr>
    </w:tbl>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④加分项（F4×A4）</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a.优先类节能产品、环境标志产品：</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a2若节能、环境标志产品仅是构成投标产品的部件、组件或零件，则该投标产品不享受鼓励优惠政策。同一品目中各认证证书不重复计算加分。强制类节能产品不享受加分。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         无</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（4）中标候选人排列规则顺序如下：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a.按照评标总得分（FA）由高到低顺序排列。</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c.评标总得分（FA）且评标价（即价格扣除后的投标报价）相同的并列。</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8、其他规定</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8.1评标应全程保密且不得透露给任一投标人或与评标工作无关的人员。</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8.2评标将进行全程实时录音录像，录音录像资料随采购文件一并存档。</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8.3若投标人有任何试图干扰具体评标事务，影响评标委员会独立履行职责的行为，其投标无效且不予退还投标保证金。情节严重的，由财政部门列入不良行为记录。</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8.4其他：无。</w:t>
      </w:r>
    </w:p>
    <w:p>
      <w:pPr>
        <w:pStyle w:val="14"/>
        <w:keepNext w:val="0"/>
        <w:keepLines w:val="0"/>
        <w:widowControl/>
        <w:suppressLineNumbers w:val="0"/>
        <w:spacing w:before="75" w:beforeAutospacing="0" w:after="75" w:afterAutospacing="0"/>
        <w:ind w:left="0" w:right="0" w:firstLine="0"/>
        <w:jc w:val="center"/>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center"/>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rPr>
          <w:rStyle w:val="17"/>
          <w:rFonts w:hint="eastAsia" w:ascii="宋体" w:hAnsi="宋体" w:eastAsia="宋体" w:cs="宋体"/>
          <w:color w:val="auto"/>
          <w:spacing w:val="0"/>
          <w:sz w:val="31"/>
          <w:szCs w:val="31"/>
          <w:highlight w:val="none"/>
        </w:rPr>
      </w:pPr>
      <w:r>
        <w:rPr>
          <w:rStyle w:val="17"/>
          <w:rFonts w:hint="eastAsia" w:ascii="宋体" w:hAnsi="宋体" w:eastAsia="宋体" w:cs="宋体"/>
          <w:color w:val="auto"/>
          <w:spacing w:val="0"/>
          <w:sz w:val="31"/>
          <w:szCs w:val="31"/>
          <w:highlight w:val="none"/>
        </w:rPr>
        <w:br w:type="page"/>
      </w:r>
    </w:p>
    <w:p>
      <w:pPr>
        <w:pStyle w:val="14"/>
        <w:keepNext w:val="0"/>
        <w:keepLines w:val="0"/>
        <w:widowControl/>
        <w:suppressLineNumbers w:val="0"/>
        <w:spacing w:before="75" w:beforeAutospacing="0" w:after="75" w:afterAutospacing="0"/>
        <w:ind w:left="0" w:right="0" w:firstLine="0"/>
        <w:jc w:val="center"/>
        <w:outlineLvl w:val="0"/>
        <w:rPr>
          <w:rFonts w:hint="eastAsia" w:ascii="宋体" w:hAnsi="宋体" w:eastAsia="宋体" w:cs="宋体"/>
          <w:color w:val="auto"/>
          <w:highlight w:val="none"/>
        </w:rPr>
      </w:pPr>
      <w:bookmarkStart w:id="6" w:name="_Toc24345"/>
      <w:r>
        <w:rPr>
          <w:rStyle w:val="17"/>
          <w:rFonts w:hint="eastAsia" w:ascii="宋体" w:hAnsi="宋体" w:eastAsia="宋体" w:cs="宋体"/>
          <w:color w:val="auto"/>
          <w:spacing w:val="0"/>
          <w:sz w:val="31"/>
          <w:szCs w:val="31"/>
          <w:highlight w:val="none"/>
        </w:rPr>
        <w:t>第五章   招标内容及要求</w:t>
      </w:r>
      <w:bookmarkEnd w:id="6"/>
    </w:p>
    <w:p>
      <w:pPr>
        <w:pStyle w:val="14"/>
        <w:keepNext w:val="0"/>
        <w:keepLines w:val="0"/>
        <w:widowControl/>
        <w:suppressLineNumbers w:val="0"/>
        <w:spacing w:before="75" w:beforeAutospacing="0" w:after="75" w:afterAutospacing="0"/>
        <w:ind w:left="0" w:right="0" w:firstLine="0"/>
        <w:outlineLvl w:val="1"/>
        <w:rPr>
          <w:rFonts w:hint="eastAsia" w:ascii="宋体" w:hAnsi="宋体" w:eastAsia="宋体" w:cs="宋体"/>
          <w:color w:val="auto"/>
          <w:highlight w:val="none"/>
        </w:rPr>
      </w:pPr>
      <w:bookmarkStart w:id="7" w:name="_Toc3157"/>
      <w:r>
        <w:rPr>
          <w:rFonts w:hint="eastAsia" w:ascii="宋体" w:hAnsi="宋体" w:eastAsia="宋体" w:cs="宋体"/>
          <w:color w:val="auto"/>
          <w:spacing w:val="0"/>
          <w:sz w:val="24"/>
          <w:szCs w:val="24"/>
          <w:highlight w:val="none"/>
        </w:rPr>
        <w:t>一、项目概况（采购标的）</w:t>
      </w:r>
      <w:bookmarkEnd w:id="7"/>
    </w:p>
    <w:p>
      <w:pPr>
        <w:pStyle w:val="14"/>
        <w:keepNext w:val="0"/>
        <w:keepLines w:val="0"/>
        <w:widowControl/>
        <w:suppressLineNumbers w:val="0"/>
        <w:spacing w:before="75" w:beforeAutospacing="0" w:after="75" w:afterAutospacing="0"/>
        <w:ind w:left="0" w:firstLine="285"/>
        <w:outlineLvl w:val="9"/>
        <w:rPr>
          <w:rFonts w:hint="eastAsia" w:ascii="宋体" w:hAnsi="宋体" w:eastAsia="宋体" w:cs="宋体"/>
          <w:color w:val="auto"/>
          <w:highlight w:val="none"/>
        </w:rPr>
      </w:pPr>
      <w:r>
        <w:rPr>
          <w:rStyle w:val="17"/>
          <w:rFonts w:hint="eastAsia" w:ascii="宋体" w:hAnsi="宋体" w:eastAsia="宋体" w:cs="宋体"/>
          <w:color w:val="auto"/>
          <w:sz w:val="28"/>
          <w:szCs w:val="28"/>
          <w:highlight w:val="none"/>
        </w:rPr>
        <w:t>1.项目名称</w:t>
      </w:r>
    </w:p>
    <w:p>
      <w:pPr>
        <w:pStyle w:val="14"/>
        <w:keepNext w:val="0"/>
        <w:keepLines w:val="0"/>
        <w:widowControl/>
        <w:suppressLineNumbers w:val="0"/>
        <w:spacing w:before="75" w:beforeAutospacing="0" w:after="7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福州市城市综合管理服务平台项目建设</w:t>
      </w:r>
    </w:p>
    <w:p>
      <w:pPr>
        <w:pStyle w:val="14"/>
        <w:keepNext w:val="0"/>
        <w:keepLines w:val="0"/>
        <w:widowControl/>
        <w:suppressLineNumbers w:val="0"/>
        <w:spacing w:before="75" w:beforeAutospacing="0" w:after="75" w:afterAutospacing="0"/>
        <w:ind w:left="0" w:firstLine="285"/>
        <w:outlineLvl w:val="9"/>
        <w:rPr>
          <w:rFonts w:hint="eastAsia" w:ascii="宋体" w:hAnsi="宋体" w:eastAsia="宋体" w:cs="宋体"/>
          <w:color w:val="auto"/>
          <w:highlight w:val="none"/>
        </w:rPr>
      </w:pPr>
      <w:r>
        <w:rPr>
          <w:rStyle w:val="17"/>
          <w:rFonts w:hint="eastAsia" w:ascii="宋体" w:hAnsi="宋体" w:eastAsia="宋体" w:cs="宋体"/>
          <w:color w:val="auto"/>
          <w:sz w:val="28"/>
          <w:szCs w:val="28"/>
          <w:highlight w:val="none"/>
        </w:rPr>
        <w:t>2.项目建设单位</w:t>
      </w:r>
    </w:p>
    <w:p>
      <w:pPr>
        <w:pStyle w:val="14"/>
        <w:keepNext w:val="0"/>
        <w:keepLines w:val="0"/>
        <w:widowControl/>
        <w:suppressLineNumbers w:val="0"/>
        <w:spacing w:before="75" w:beforeAutospacing="0" w:after="7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建设单位：福州市“智慧福州”管理服务中心</w:t>
      </w:r>
    </w:p>
    <w:p>
      <w:pPr>
        <w:pStyle w:val="14"/>
        <w:keepNext w:val="0"/>
        <w:keepLines w:val="0"/>
        <w:widowControl/>
        <w:suppressLineNumbers w:val="0"/>
        <w:spacing w:before="75" w:beforeAutospacing="0" w:after="75" w:afterAutospacing="0"/>
        <w:ind w:left="0" w:firstLine="285"/>
        <w:outlineLvl w:val="9"/>
        <w:rPr>
          <w:rFonts w:hint="eastAsia" w:ascii="宋体" w:hAnsi="宋体" w:eastAsia="宋体" w:cs="宋体"/>
          <w:color w:val="auto"/>
          <w:highlight w:val="none"/>
        </w:rPr>
      </w:pPr>
      <w:r>
        <w:rPr>
          <w:rStyle w:val="17"/>
          <w:rFonts w:hint="eastAsia" w:ascii="宋体" w:hAnsi="宋体" w:eastAsia="宋体" w:cs="宋体"/>
          <w:color w:val="auto"/>
          <w:sz w:val="28"/>
          <w:szCs w:val="28"/>
          <w:highlight w:val="none"/>
        </w:rPr>
        <w:t>3.建设目标</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城市综合管理服务市 级平台基于现有网格化管理综合服务平台系统，纵向对接国家、省 级平台，联通县（市、区）平台，横向整合或共享城市管理相关部门数据资源，统筹协调、指挥调度、监督考核、综合评价全市城市综合管理服务工作，推动形成党委政府领导下的“大城管”工作格局。</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按照住建部关于城市运行管理服务平台工作要求，平台建设需完善平台应用体系、平台数据体系、平台运行环境和平台运行规范，建设11个应用系统，包括城市运行监测系统、指挥协调系统、公众服务系统、城市自评价系统、舆情监测系统、辅助决策中心、共性服务和支撑平台、网格微服务系统、数据交换与管理系统、容器微服务系统、知识图谱和人工智能自动化系统；1套福州市城市事件分类与标准体系，以及1个系统硬件支撑环境建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微服务架构，在网格化管理综合服务平台的事件与流程基础之上，对现有的指挥协调系统进行能力提升；充分整合现有系统能力，强化城市事件的智能采集，建设城市安全普查与预警等能力支撑系统；加强城市各类运行数据的综合汇聚与分析，搭建数据汇聚系统，形成综合性城市管理数据库；依托政务外网，建设数据交换系统，实现国家、省、市间数据共享与交换，建立辅助决策中心，实现对相关单位、部门数据的实时监测、态势分析、调度指挥与督查督办，实现条块联动、纵向到底、横向到边的城市网格管理，形成“党政领导、统一指挥、诸力联动、各司其职、分级负责、属地管理为主”的工作体系，最终建立一个高效运转的城市管理服务信息化机制，实现城市的扁平化管理服务，进一步提升城市管理、社会服务的综合效能，有效解决当前城市管理中的复杂问题和疑难杂症。建设市 级城市运行管理服务数据库，包括城市基础数据库，运行、管理、服务和综合评价等数据库。同时建设可拓展、安全高效的基础运行环境，打造横到边纵到底的“大城管”体系，树立城市管理与服务的福州经验与福州品 牌。</w:t>
      </w:r>
    </w:p>
    <w:p>
      <w:pPr>
        <w:pStyle w:val="14"/>
        <w:keepNext w:val="0"/>
        <w:keepLines w:val="0"/>
        <w:widowControl/>
        <w:suppressLineNumbers w:val="0"/>
        <w:spacing w:before="75" w:beforeAutospacing="0" w:after="75" w:afterAutospacing="0"/>
        <w:ind w:left="0" w:firstLine="285"/>
        <w:outlineLvl w:val="9"/>
        <w:rPr>
          <w:rFonts w:hint="eastAsia" w:ascii="宋体" w:hAnsi="宋体" w:eastAsia="宋体" w:cs="宋体"/>
          <w:color w:val="auto"/>
          <w:highlight w:val="none"/>
        </w:rPr>
      </w:pPr>
      <w:r>
        <w:rPr>
          <w:rStyle w:val="17"/>
          <w:rFonts w:hint="eastAsia" w:ascii="宋体" w:hAnsi="宋体" w:eastAsia="宋体" w:cs="宋体"/>
          <w:color w:val="auto"/>
          <w:sz w:val="28"/>
          <w:szCs w:val="28"/>
          <w:highlight w:val="none"/>
        </w:rPr>
        <w:t>4.建设内容</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对标住建部试点要求，我市平台建设，在原有系统基础上，同时结合福州城市管理实际情况需要，建设城市综合管理服务平台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highlight w:val="none"/>
        </w:rPr>
        <w:t>承建单位负责建设平台相关应用系统并具体对接各委办局相关系统，采购人提供协调支持。</w:t>
      </w:r>
      <w:r>
        <w:rPr>
          <w:rFonts w:hint="eastAsia" w:ascii="宋体" w:hAnsi="宋体" w:eastAsia="宋体" w:cs="宋体"/>
          <w:color w:val="auto"/>
          <w:sz w:val="24"/>
          <w:szCs w:val="24"/>
          <w:highlight w:val="none"/>
        </w:rPr>
        <w:t>具体建设内容如下：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1、城市运行监测系统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运行监测系统包括监测预警、风险排查等系统，基于现有e福州综合指挥平台能力，对标《城市运行管理服务平台建设指南与实务》，建设城市运行监测系统，升级构建横向联动“市政、园林、环卫、城管”等多部门、纵向贯穿“市、区县、街镇、社区、网格”五级的事件处置体系，完成城市管理事件的统一预防准备与指挥联动处置，实现对城市管理问题的监测预警、隐患排查等功能；其中</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（1）监测预警系统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现有e福州综合指挥平台对自然灾害、环境保护、安全生产等领域运行监测基础上，拓展对市政公用、市容环卫、园林绿化、城市内涝、井盖安全、城市噪音、城市事件处置、应急事件、社会治安、公共安全等领域的监测预警分析功能，建立城市管理动态运行在线监测、预警报警应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（2）风险排查系统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现有e福州综合指挥平台基础上，拓展风险隐患排查功能。建立城市风险隐患事件排查治理系统，通过网格化监督管理，以排查整治流程为干线，快速排查和复查风险隐患情况；对隐患排查整治信息及时、有效地进行跟踪、整改，并将统计数据及时上报，形成各级政府、监管职能部门、社区协同工作的“群防群控”网络应用体系。</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2、指挥协调系统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平台核心系统，该系统在我市现有数字城管系统基础上进行升级改造，同时通过时空信息公共服务平台和e福州综合指挥平台对其进行赋能实现功能要求。通过以微服务方式建设，提升指挥协调效率。基于网格化平台，构建统一的事件管理中心。基于e福州综合指挥平台，升级改造日常指挥协同系统，实现城市的立体化日常指挥协同管理功能，系统以网格化管理为基础，以社会化服务为方向，实现隐患排查、社会维稳、治安防控、灾害预防及应急宣传教育等服务工作，建立防控力量管理、防控目标掌控、防控任务追踪、日常视频巡查及防控形势研判等管理功能模块。基于e福州综合指挥平台，升级改造应急指挥调度系统，实现突发事件处置的全过程联动指挥管理，能够调用组织公安、消防、急救、交警、城建等多部门、多行业、多层次的应急力量和信息资源，实现对突发事件处置全过程的跟踪、指挥，快速、及时、准确地收集到应急信息，为政府的科学决策提供有效的信息支持。</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3、公众服务系统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建设多元的公众服务系统，该系统依托我市现有12345便民（惠企）服务平台，增加与国家12319公众服务号、e福州APP等服务渠道有关城市管理诉求的受理功能，实现对各项服务进行满意度评价回访。</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4、城市自评价系统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结合现有数字城管考评系统，融合市政、市容、环卫、园林、渣土、综合执法等行业考评办法，开展全市综合管理城市自评价系统建设，确保平台长效运行。</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5、舆情监测系统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舆情监测系统用于采集本市范围内的城市运行管理服务相 关舆情监测数据，实时掌握本市城市管理工作舆情、重大负面 舆情，转相关部门办理并跟踪督办。与省 级平台舆情监测系统 功能一致，市 级平台舆情监测系统应包括舆情采集、舆情督办、 舆情分析和舆情报告等功能模块。</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6、辅助决策中心系统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辅助决策中心基于市政公用、市容环卫、园林绿化、城市执法等城市管理行业领域的建设，感知更全面的城市运行态势，目标是让区领导及管理人员方便快速地掌握城市运行信息，为各级领导提供统揽全局的数据支撑。辅助决策中心作为城市综合管理服务平台项目的一部分，充分利用现有的平台和技术能力，在现有的平台基础之上定制开发驾驶舱应用，并实现与现有平台的集成和数据融合。</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、网格微服务系统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建立容器化、微服务的城市统一网格数据底座，为综合管理平台的各类应用系统提供统一的网格数据与应用共享服务，支撑城市综合管理平台业务。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、城市事件分类与标准</w:t>
      </w:r>
    </w:p>
    <w:p>
      <w:pPr>
        <w:pStyle w:val="14"/>
        <w:keepNext w:val="0"/>
        <w:keepLines w:val="0"/>
        <w:widowControl/>
        <w:suppressLineNumbers w:val="0"/>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城市事件分类与标准是城市综合管理服务平台的业务范围，涉及了城市城市综合管理服务方方面面的事项，涉及党政工团类、公安政法类、科教文卫类、经济综合类、建设规划类、社会管理类等多个纬度。</w:t>
      </w:r>
    </w:p>
    <w:p>
      <w:pPr>
        <w:pStyle w:val="14"/>
        <w:keepNext w:val="0"/>
        <w:keepLines w:val="0"/>
        <w:widowControl/>
        <w:suppressLineNumbers w:val="0"/>
        <w:ind w:left="0" w:firstLine="48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9、业务指导系统</w:t>
      </w:r>
    </w:p>
    <w:p>
      <w:pPr>
        <w:pStyle w:val="14"/>
        <w:keepNext w:val="0"/>
        <w:keepLines w:val="0"/>
        <w:widowControl/>
        <w:suppressLineNumbers w:val="0"/>
        <w:ind w:left="0" w:firstLine="48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业务指导系统包括政策法规、行业动态、经验交流等功能模块</w:t>
      </w:r>
    </w:p>
    <w:p>
      <w:pPr>
        <w:pStyle w:val="14"/>
        <w:keepNext w:val="0"/>
        <w:keepLines w:val="0"/>
        <w:widowControl/>
        <w:numPr>
          <w:ilvl w:val="0"/>
          <w:numId w:val="3"/>
        </w:numPr>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行业应用系统</w:t>
      </w:r>
    </w:p>
    <w:p>
      <w:pPr>
        <w:pStyle w:val="14"/>
        <w:keepNext w:val="0"/>
        <w:keepLines w:val="0"/>
        <w:widowControl/>
        <w:suppressLineNumbers w:val="0"/>
        <w:ind w:left="0" w:firstLine="48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行业应用系统主要是围绕城市管理主要职责，建设市政公用、市容环卫、园林绿化和城市管理执法等行业应用系统，支撑城市管理部门行业监管工作需要。</w:t>
      </w:r>
    </w:p>
    <w:p>
      <w:pPr>
        <w:pStyle w:val="14"/>
        <w:keepNext w:val="0"/>
        <w:keepLines w:val="0"/>
        <w:widowControl/>
        <w:suppressLineNumbers w:val="0"/>
        <w:spacing w:before="75" w:beforeAutospacing="0" w:after="75" w:afterAutospacing="0"/>
        <w:ind w:left="0" w:right="0" w:firstLine="0"/>
        <w:outlineLvl w:val="1"/>
        <w:rPr>
          <w:rFonts w:hint="eastAsia" w:ascii="宋体" w:hAnsi="宋体" w:eastAsia="宋体" w:cs="宋体"/>
          <w:color w:val="auto"/>
          <w:highlight w:val="none"/>
        </w:rPr>
      </w:pPr>
      <w:bookmarkStart w:id="8" w:name="_Toc4536"/>
      <w:r>
        <w:rPr>
          <w:rFonts w:hint="eastAsia" w:ascii="宋体" w:hAnsi="宋体" w:eastAsia="宋体" w:cs="宋体"/>
          <w:color w:val="auto"/>
          <w:spacing w:val="0"/>
          <w:sz w:val="24"/>
          <w:szCs w:val="24"/>
          <w:highlight w:val="none"/>
        </w:rPr>
        <w:t>二、技术和服务要求</w:t>
      </w:r>
      <w:r>
        <w:rPr>
          <w:rStyle w:val="17"/>
          <w:rFonts w:hint="eastAsia" w:ascii="宋体" w:hAnsi="宋体" w:eastAsia="宋体" w:cs="宋体"/>
          <w:color w:val="auto"/>
          <w:spacing w:val="0"/>
          <w:sz w:val="24"/>
          <w:szCs w:val="24"/>
          <w:highlight w:val="none"/>
        </w:rPr>
        <w:t>（以“★”标示的内容为不允许负偏离的实质性要求）</w:t>
      </w:r>
      <w:bookmarkEnd w:id="8"/>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240" w:afterAutospacing="0" w:line="360" w:lineRule="atLeast"/>
        <w:ind w:left="0" w:firstLine="285"/>
        <w:outlineLvl w:val="9"/>
        <w:rPr>
          <w:rFonts w:hint="eastAsia" w:ascii="宋体" w:hAnsi="宋体" w:eastAsia="宋体" w:cs="宋体"/>
          <w:color w:val="auto"/>
          <w:highlight w:val="none"/>
        </w:rPr>
      </w:pPr>
      <w:r>
        <w:rPr>
          <w:rStyle w:val="17"/>
          <w:rFonts w:hint="eastAsia" w:ascii="宋体" w:hAnsi="宋体" w:eastAsia="宋体" w:cs="宋体"/>
          <w:color w:val="auto"/>
          <w:sz w:val="28"/>
          <w:szCs w:val="28"/>
          <w:highlight w:val="none"/>
        </w:rPr>
        <w:t>合同包</w:t>
      </w:r>
      <w:r>
        <w:rPr>
          <w:rStyle w:val="17"/>
          <w:rFonts w:hint="eastAsia" w:ascii="宋体" w:hAnsi="宋体" w:eastAsia="宋体" w:cs="宋体"/>
          <w:color w:val="auto"/>
          <w:sz w:val="28"/>
          <w:szCs w:val="28"/>
          <w:highlight w:val="none"/>
          <w:lang w:val="en-US" w:eastAsia="zh-CN"/>
        </w:rPr>
        <w:t>1</w:t>
      </w:r>
      <w:r>
        <w:rPr>
          <w:rStyle w:val="17"/>
          <w:rFonts w:hint="eastAsia" w:ascii="宋体" w:hAnsi="宋体" w:eastAsia="宋体" w:cs="宋体"/>
          <w:color w:val="auto"/>
          <w:sz w:val="28"/>
          <w:szCs w:val="28"/>
          <w:highlight w:val="none"/>
        </w:rPr>
        <w:t>：福州市城市综合管理服务平台集成、业务系统包。</w:t>
      </w:r>
    </w:p>
    <w:p>
      <w:pPr>
        <w:pStyle w:val="14"/>
        <w:keepNext w:val="0"/>
        <w:keepLines w:val="0"/>
        <w:widowControl/>
        <w:suppressLineNumbers w:val="0"/>
        <w:ind w:left="0" w:firstLine="195"/>
        <w:outlineLvl w:val="1"/>
        <w:rPr>
          <w:rFonts w:hint="eastAsia" w:ascii="宋体" w:hAnsi="宋体" w:eastAsia="宋体" w:cs="宋体"/>
          <w:color w:val="auto"/>
          <w:highlight w:val="none"/>
        </w:rPr>
      </w:pPr>
      <w:r>
        <w:rPr>
          <w:rFonts w:hint="eastAsia" w:ascii="宋体" w:hAnsi="宋体" w:eastAsia="宋体" w:cs="宋体"/>
          <w:color w:val="auto"/>
          <w:spacing w:val="0"/>
          <w:sz w:val="31"/>
          <w:szCs w:val="31"/>
          <w:highlight w:val="none"/>
        </w:rPr>
        <w:t>1.1.1 </w:t>
      </w:r>
      <w:r>
        <w:rPr>
          <w:rFonts w:hint="eastAsia" w:ascii="宋体" w:hAnsi="宋体" w:eastAsia="宋体" w:cs="宋体"/>
          <w:color w:val="auto"/>
          <w:sz w:val="28"/>
          <w:szCs w:val="28"/>
          <w:highlight w:val="none"/>
        </w:rPr>
        <w:t>系统集成与培训</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r>
        <w:rPr>
          <w:rStyle w:val="17"/>
          <w:rFonts w:hint="eastAsia" w:ascii="宋体" w:hAnsi="宋体" w:eastAsia="宋体" w:cs="宋体"/>
          <w:color w:val="auto"/>
          <w:sz w:val="24"/>
          <w:szCs w:val="24"/>
          <w:highlight w:val="none"/>
        </w:rPr>
        <w:t>★ 中标方负责项目的总集</w:t>
      </w:r>
      <w:r>
        <w:rPr>
          <w:rFonts w:hint="eastAsia" w:ascii="宋体" w:hAnsi="宋体" w:eastAsia="宋体" w:cs="宋体"/>
          <w:color w:val="auto"/>
          <w:sz w:val="24"/>
          <w:szCs w:val="24"/>
          <w:highlight w:val="none"/>
        </w:rPr>
        <w:t>，具体工作包含整个城市综合管理服务平台的项目管理，牵头整个项目的业务分析和设计，边界划分，接口定义，协调与其它系统之间的规范和标准，对接共享服务。同时负责协调整体项目的实施。组织所有的服务商在统一的业务分析和设计，以及定义接口与边界统一协议和规范，组织协调各个服务商协调分析、设计、开发、测试，以及实现系统生产部署，交接和运维的工作。</w:t>
      </w:r>
      <w:r>
        <w:rPr>
          <w:rStyle w:val="17"/>
          <w:rFonts w:hint="eastAsia" w:ascii="宋体" w:hAnsi="宋体" w:eastAsia="宋体" w:cs="宋体"/>
          <w:color w:val="auto"/>
          <w:sz w:val="24"/>
          <w:szCs w:val="24"/>
          <w:highlight w:val="none"/>
        </w:rPr>
        <w:t>承担总集责任，确保平台的整体贯通。应对整体项目进行系统集成与培训。投标人必须单独提供关于本条内容的专项承诺函，否则视为无效投标。</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1.1.1.1 </w:t>
      </w:r>
      <w:r>
        <w:rPr>
          <w:rFonts w:hint="eastAsia" w:ascii="宋体" w:hAnsi="宋体" w:eastAsia="宋体" w:cs="宋体"/>
          <w:color w:val="auto"/>
          <w:sz w:val="28"/>
          <w:szCs w:val="28"/>
          <w:highlight w:val="none"/>
        </w:rPr>
        <w:t>培训目标</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为项目涉及工作人员提供软硬件基本操作原理、调试、操作使用和保养维修等有关内容的免费培训。</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1.围绕城市综合管理服务平台的功能向各类使用人员进行项目的应用软件功能操作的培训。</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2.主要培训信息系统建设的理论、国内外先进的IT理念、信息系统建设目标、硬软件应用知识、系统运维等内容。</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1.1.1.2 </w:t>
      </w:r>
      <w:r>
        <w:rPr>
          <w:rFonts w:hint="eastAsia" w:ascii="宋体" w:hAnsi="宋体" w:eastAsia="宋体" w:cs="宋体"/>
          <w:color w:val="auto"/>
          <w:sz w:val="28"/>
          <w:szCs w:val="28"/>
          <w:highlight w:val="none"/>
        </w:rPr>
        <w:t>培训计划</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1.系统平台操作培训</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面向工作人员，不少于 3 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2.系统操作管理培训</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面向管理者，不少于 2 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1.1.1.3 </w:t>
      </w:r>
      <w:r>
        <w:rPr>
          <w:rFonts w:hint="eastAsia" w:ascii="宋体" w:hAnsi="宋体" w:eastAsia="宋体" w:cs="宋体"/>
          <w:color w:val="auto"/>
          <w:sz w:val="28"/>
          <w:szCs w:val="28"/>
          <w:highlight w:val="none"/>
        </w:rPr>
        <w:t>培训方式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1.现场培训</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现场培训是在现场安装调试相关设备和系统时，相关技术人员在现场观看和学习，并给予适当实际操作机会，针对本项目的特点和应用系统维护要求作相应的讲解，对相关技术人员产生的问题随即解答并直到相关人员学会为止，具有很强的实践和交互性。这种方式的培训在所有设备的安装和调试中都将积极予以实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2.授课培训</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授课培训一般提供较为系统的理论学习，并根据不同课程辅以实验环境下的实际操作，学习过程中还提供完备的学习资料，是正规培训主要采用的方式。为使培训收到良好的效果，应针对不同水平需求的人员因材施教。</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3.日常交流</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在项目执行过程中，设立网上信息交流和培训社区，并经常与使用者交流工作经验和存在的问题。</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1.1.1.4 </w:t>
      </w:r>
      <w:r>
        <w:rPr>
          <w:rFonts w:hint="eastAsia" w:ascii="宋体" w:hAnsi="宋体" w:eastAsia="宋体" w:cs="宋体"/>
          <w:color w:val="auto"/>
          <w:sz w:val="28"/>
          <w:szCs w:val="28"/>
          <w:highlight w:val="none"/>
        </w:rPr>
        <w:t>培训内容</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实施前进行系统及产品培训，以便对系统有详细了解；在建设过程中进行安装培训，以达到能够独立进行系统安装及维护；在工程结束后进行应用培训，使他们能够熟练掌握系统在各种应用环境中的使用。培训内容包括安装配置、日常使用维持、一般故障诊断和修复等内容，具体如下：</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系统的体系结构及相关技术；</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系统的安装调试、系统性能特点、参数设置；</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系统维护、系统常见故障分析；</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系统管理员和使用者培训。</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培训的内容能达到：</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熟悉整个系统的硬件和软件结构、系统的配置；</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熟练掌握系统基本组成及原理；</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熟练掌握系统的操作与运行管理；</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熟练掌握权限、使用者配置等系统管理；</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熟练掌握系统的安装、检测、维护；</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熟练掌握排除故障的基本技术 。</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1.信息采集员工作培训内容：</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登录采集器系统，能够登录和打卡下班；</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能够进行问题上报，能够正确识别部件和事件类型；</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能够对核实和核查任务进行反馈；</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能够查看管理今日提示；</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2.受理员及值班长工作培训内容：</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熟练登录城市综合管理服务平台，并设置常用参数；</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能够通过受理系统成功受理城市管理问题；</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进行立案审核和批转；</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熟练进行地图操作；</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熟练发送核查请求；</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消息发送功能；</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案卷督办；</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其他相关功能；</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3.协同指挥平台培训内容：</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问题派遣；</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问题督查；</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案卷回退；</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授权审核；</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4.承办单位培训内容：</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登录系统；</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正常业务办理；</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答复督办；</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5.大屏幕控制员培训内容：</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监督指挥中心案卷办理情况；</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信息采集员在岗分布情况；</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评价内容；</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6.系统管理员培训内容：</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主机系统操作培训；</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对 PC 服务器的基本操作与维护；</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对存储设备的管理；</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网络系统培训；</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基础网络知识培训；</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数据中心机房网络设备培训；</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对网络与安全设备的操作与维护；</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业务管理平台：</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部门人员岗位的维护；</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信息采集员的配置；</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工作流程的配置；</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权限的配置；</w:t>
      </w:r>
    </w:p>
    <w:p>
      <w:pPr>
        <w:rPr>
          <w:color w:val="auto"/>
          <w:highlight w:val="none"/>
        </w:rPr>
      </w:pPr>
    </w:p>
    <w:p>
      <w:pPr>
        <w:pStyle w:val="14"/>
        <w:keepNext w:val="0"/>
        <w:keepLines w:val="0"/>
        <w:widowControl/>
        <w:suppressLineNumbers w:val="0"/>
        <w:ind w:left="0" w:firstLine="195"/>
        <w:outlineLvl w:val="1"/>
        <w:rPr>
          <w:rFonts w:hint="eastAsia" w:ascii="宋体" w:hAnsi="宋体" w:eastAsia="宋体" w:cs="宋体"/>
          <w:color w:val="auto"/>
          <w:highlight w:val="none"/>
        </w:rPr>
      </w:pPr>
      <w:r>
        <w:rPr>
          <w:rFonts w:hint="eastAsia" w:ascii="宋体" w:hAnsi="宋体" w:eastAsia="宋体" w:cs="宋体"/>
          <w:color w:val="auto"/>
          <w:spacing w:val="0"/>
          <w:sz w:val="31"/>
          <w:szCs w:val="31"/>
          <w:highlight w:val="none"/>
        </w:rPr>
        <w:t>1.1.2 </w:t>
      </w:r>
      <w:r>
        <w:rPr>
          <w:rFonts w:hint="eastAsia" w:ascii="宋体" w:hAnsi="宋体" w:eastAsia="宋体" w:cs="宋体"/>
          <w:color w:val="auto"/>
          <w:sz w:val="28"/>
          <w:szCs w:val="28"/>
          <w:highlight w:val="none"/>
        </w:rPr>
        <w:t>公众服务系统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公众服务平台是全体市民与数字化城市管理系统之间的一个桥梁。全体市民可以随时将发现的城管问题、投诉建议、问题咨询等信息通过微信平台公众号编辑问题后上报到城管系统监督中心，城管中心收到市民上报的问题后可以及时回复、反馈市民，实时处理问题；市民则可通过微信平台及时查看监督中心处理后的回复意见及咨询、投诉处理建议。具备通过指挥协调系统对公众诉求进行派遣、处置、核查和结案功能，具备对服务结果及服务的满意度进行调查回访的功能。</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公众服务系统改造对照表</w:t>
      </w:r>
    </w:p>
    <w:tbl>
      <w:tblPr>
        <w:tblStyle w:val="15"/>
        <w:tblW w:w="8757"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58"/>
        <w:gridCol w:w="1311"/>
        <w:gridCol w:w="1411"/>
        <w:gridCol w:w="2612"/>
        <w:gridCol w:w="1479"/>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3" w:hRule="atLeast"/>
          <w:tblCellSpacing w:w="15" w:type="dxa"/>
        </w:trPr>
        <w:tc>
          <w:tcPr>
            <w:tcW w:w="1113"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序号</w:t>
            </w:r>
          </w:p>
        </w:tc>
        <w:tc>
          <w:tcPr>
            <w:tcW w:w="128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系统名称</w:t>
            </w:r>
          </w:p>
        </w:tc>
        <w:tc>
          <w:tcPr>
            <w:tcW w:w="138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模块</w:t>
            </w:r>
          </w:p>
        </w:tc>
        <w:tc>
          <w:tcPr>
            <w:tcW w:w="258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功能</w:t>
            </w:r>
          </w:p>
        </w:tc>
        <w:tc>
          <w:tcPr>
            <w:tcW w:w="1449"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改造情况</w:t>
            </w:r>
          </w:p>
        </w:tc>
        <w:tc>
          <w:tcPr>
            <w:tcW w:w="74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113"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1</w:t>
            </w:r>
          </w:p>
        </w:tc>
        <w:tc>
          <w:tcPr>
            <w:tcW w:w="1281"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公众服务系统</w:t>
            </w:r>
          </w:p>
        </w:tc>
        <w:tc>
          <w:tcPr>
            <w:tcW w:w="1381"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对接服务</w:t>
            </w:r>
          </w:p>
        </w:tc>
        <w:tc>
          <w:tcPr>
            <w:tcW w:w="258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对接国家12319公众号</w:t>
            </w:r>
          </w:p>
        </w:tc>
        <w:tc>
          <w:tcPr>
            <w:tcW w:w="1449"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新建</w:t>
            </w:r>
          </w:p>
        </w:tc>
        <w:tc>
          <w:tcPr>
            <w:tcW w:w="7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113"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2</w:t>
            </w:r>
          </w:p>
        </w:tc>
        <w:tc>
          <w:tcPr>
            <w:tcW w:w="128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138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258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e福州对接</w:t>
            </w:r>
          </w:p>
        </w:tc>
        <w:tc>
          <w:tcPr>
            <w:tcW w:w="1449"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新建</w:t>
            </w:r>
          </w:p>
        </w:tc>
        <w:tc>
          <w:tcPr>
            <w:tcW w:w="7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113"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3</w:t>
            </w:r>
          </w:p>
        </w:tc>
        <w:tc>
          <w:tcPr>
            <w:tcW w:w="128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138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258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12345对接</w:t>
            </w:r>
          </w:p>
        </w:tc>
        <w:tc>
          <w:tcPr>
            <w:tcW w:w="1449"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新建</w:t>
            </w:r>
          </w:p>
        </w:tc>
        <w:tc>
          <w:tcPr>
            <w:tcW w:w="7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49" w:hRule="atLeast"/>
          <w:tblCellSpacing w:w="15" w:type="dxa"/>
        </w:trPr>
        <w:tc>
          <w:tcPr>
            <w:tcW w:w="1113"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4</w:t>
            </w:r>
          </w:p>
        </w:tc>
        <w:tc>
          <w:tcPr>
            <w:tcW w:w="128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138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问题上报</w:t>
            </w:r>
          </w:p>
        </w:tc>
        <w:tc>
          <w:tcPr>
            <w:tcW w:w="258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问题上报功能</w:t>
            </w:r>
          </w:p>
        </w:tc>
        <w:tc>
          <w:tcPr>
            <w:tcW w:w="1449"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容器化改造</w:t>
            </w:r>
          </w:p>
        </w:tc>
        <w:tc>
          <w:tcPr>
            <w:tcW w:w="7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113"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5</w:t>
            </w:r>
          </w:p>
        </w:tc>
        <w:tc>
          <w:tcPr>
            <w:tcW w:w="128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1381"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便民服务</w:t>
            </w:r>
          </w:p>
        </w:tc>
        <w:tc>
          <w:tcPr>
            <w:tcW w:w="258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便民查询</w:t>
            </w:r>
          </w:p>
        </w:tc>
        <w:tc>
          <w:tcPr>
            <w:tcW w:w="1449"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容器化改造</w:t>
            </w:r>
          </w:p>
        </w:tc>
        <w:tc>
          <w:tcPr>
            <w:tcW w:w="7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49" w:hRule="atLeast"/>
          <w:tblCellSpacing w:w="15" w:type="dxa"/>
        </w:trPr>
        <w:tc>
          <w:tcPr>
            <w:tcW w:w="1113"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6</w:t>
            </w:r>
          </w:p>
        </w:tc>
        <w:tc>
          <w:tcPr>
            <w:tcW w:w="128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138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258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新闻公告</w:t>
            </w:r>
          </w:p>
        </w:tc>
        <w:tc>
          <w:tcPr>
            <w:tcW w:w="1449"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容器化改造</w:t>
            </w:r>
          </w:p>
        </w:tc>
        <w:tc>
          <w:tcPr>
            <w:tcW w:w="7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CellSpacing w:w="15" w:type="dxa"/>
        </w:trPr>
        <w:tc>
          <w:tcPr>
            <w:tcW w:w="1113"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7</w:t>
            </w:r>
          </w:p>
        </w:tc>
        <w:tc>
          <w:tcPr>
            <w:tcW w:w="128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138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258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积分管理</w:t>
            </w:r>
          </w:p>
        </w:tc>
        <w:tc>
          <w:tcPr>
            <w:tcW w:w="1449"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19"/>
                <w:szCs w:val="19"/>
                <w:highlight w:val="none"/>
              </w:rPr>
              <w:t>新建</w:t>
            </w:r>
          </w:p>
        </w:tc>
        <w:tc>
          <w:tcPr>
            <w:tcW w:w="7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bl>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1.1.2.1 </w:t>
      </w:r>
      <w:r>
        <w:rPr>
          <w:rStyle w:val="17"/>
          <w:rFonts w:hint="eastAsia" w:ascii="宋体" w:hAnsi="宋体" w:eastAsia="宋体" w:cs="宋体"/>
          <w:color w:val="auto"/>
          <w:spacing w:val="0"/>
          <w:sz w:val="28"/>
          <w:szCs w:val="28"/>
          <w:highlight w:val="none"/>
        </w:rPr>
        <w:t>对接服务</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1.1.2.1.1 对接国家12319公众号</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12319公众服务号由国家平台统一开发，市平台对接国家平台获取本市12319公众诉求数据，查看本市的12319微信公众诉求及处置情况，督办超期未处置类问题，并对公众诉求数据进行综合展示查看。</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1.1.2.1.2 e福州对接</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通过对接，获取e福州APP提交市民的投诉建议和网格相关的上报信息等，对于投诉建议能够将处置状态和处置情况进行反馈，对网格相关的上报信息可以反馈是否被采纳。</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平台对接采取基于XML标准协议的Web Service接口.</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1.1.2.1.3 12345对接</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12345平台提交市民的投诉建议和网格相关的上报信息等在统一流程引擎处置，对于投诉建议能够将处置状态和处置情况进行反馈，对网格相关的上报信息可以反馈是否被采纳。</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1.1.2.2 </w:t>
      </w:r>
      <w:r>
        <w:rPr>
          <w:rStyle w:val="17"/>
          <w:rFonts w:hint="eastAsia" w:ascii="宋体" w:hAnsi="宋体" w:eastAsia="宋体" w:cs="宋体"/>
          <w:color w:val="auto"/>
          <w:spacing w:val="0"/>
          <w:sz w:val="28"/>
          <w:szCs w:val="28"/>
          <w:highlight w:val="none"/>
        </w:rPr>
        <w:t>问题上报</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通过所提供的随手怕、违停上报等功能，让市民上报身边所发生的问题，扩展问题来源，了解群众所关心的问题，提高群众参入度。</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1.1.2.2.1 随手拍</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市民可通过随手拍上传图片、音频、视频等多媒体信息，通过调用手机资源完成信息的实时上报。</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1.1.2.2.2 违停上报</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针对市民较为关心的违停案件进行上报，须填写车牌号、违停照片、位置信息等，可提供车牌简写选择功能，方便车牌填写。</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1.1.2.2.3 问题类型</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针对市民关心的热点问题类型，以标签形式简洁明了的提供给市民选择，上报后自动关联所属大类；同时问题类型可配置，可配置成全部大小类选择、仅相关大类选择、仅相关小类选择、自定义等方式。</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1.1.2.2.4 问题描述</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案卷上报时需描述问题发生情况，同时提示至少添加1张问题相关图片。</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1.1.2.2.5 是否回访</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市民上报时可选择是否需要回访，若需要则会在案件完成后，可通过电话或其他方式回访上报人对于案件处理的满意程度等相关情况。</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1.1.2.2.6 位置信息</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位置信息会通过定位自动显示，如有误差可手动选择定位信息。</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1.1.2.2.7 填写提醒</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上报前对于未填写内容进行填写提醒。</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1.1.2.2.8 相似案件提醒</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针对市民上报的案件，系统结合历史上报信息，对该案件相似的案件情况进行提醒，避免重复上报，可以取消该案件或选择继续上报该案件。</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1.1.2.2.9 相似案件查看</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针对相似案件提醒可查看相似案件情况，以列表的形式展现所有相似案件，同时还可查看案件具体情况，则可自行判断是否为相似案件。</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1.1.2.2.10 上报反馈</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案件信息填写完全，待多媒体信息上传成功后，系统提醒案件上报成功。</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1.1.2.2.11 历史上报案件列表</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用户可查看历史上报案件，以列表的形式展现。</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1.1.2.2.12 历史案件查询</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历史上报列表可通过关键字进行案件的查询。</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1.1.2.2.13 历史案件详情查看</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同时还可对历史上报案件的详情进行查看。</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1.1.2.3 </w:t>
      </w:r>
      <w:r>
        <w:rPr>
          <w:rStyle w:val="17"/>
          <w:rFonts w:hint="eastAsia" w:ascii="宋体" w:hAnsi="宋体" w:eastAsia="宋体" w:cs="宋体"/>
          <w:color w:val="auto"/>
          <w:spacing w:val="0"/>
          <w:sz w:val="28"/>
          <w:szCs w:val="28"/>
          <w:highlight w:val="none"/>
        </w:rPr>
        <w:t>便民服务</w:t>
      </w:r>
    </w:p>
    <w:p>
      <w:pPr>
        <w:pStyle w:val="14"/>
        <w:keepNext w:val="0"/>
        <w:keepLines w:val="0"/>
        <w:widowControl/>
        <w:suppressLineNumbers w:val="0"/>
        <w:spacing w:before="150" w:beforeAutospacing="0" w:after="150"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群众通过微信城管平台，可以了解城市管理事件处理、各类证件办理的详细业务流程，在线查找附近的公园、公厕等便民设施，并提供自动导航，为广大市民提供优质、高效、便捷的服务。</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1.1.2.3.1 办事机构</w:t>
      </w:r>
    </w:p>
    <w:p>
      <w:pPr>
        <w:pStyle w:val="14"/>
        <w:keepNext w:val="0"/>
        <w:keepLines w:val="0"/>
        <w:widowControl/>
        <w:suppressLineNumbers w:val="0"/>
        <w:spacing w:before="150" w:beforeAutospacing="0" w:after="150"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目前群众在办理各类业务时，存在大量的问题，相关负责单位难寻找，各类证件要求不明确，需要在多个部门间来回往返跑腿，办理一个业务及其不方便，市民可以查阅办事机构地址和详情，提高了政府在市民中的形象。</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1.1.2.3.2 城市公厕</w:t>
      </w:r>
    </w:p>
    <w:p>
      <w:pPr>
        <w:pStyle w:val="14"/>
        <w:keepNext w:val="0"/>
        <w:keepLines w:val="0"/>
        <w:widowControl/>
        <w:suppressLineNumbers w:val="0"/>
        <w:spacing w:before="150" w:beforeAutospacing="0" w:after="150"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在微信公众平台中加载城市公厕信息，提供公厕具体定位信息，公厕开放时间等，市民可以快速在地图上查找距离自己最近的公厕，对于道路不熟悉的市民，可以根据系统提供的导航服务寻找公厕。</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1.1.2.3.3 附近菜场</w:t>
      </w:r>
    </w:p>
    <w:p>
      <w:pPr>
        <w:pStyle w:val="14"/>
        <w:keepNext w:val="0"/>
        <w:keepLines w:val="0"/>
        <w:widowControl/>
        <w:suppressLineNumbers w:val="0"/>
        <w:spacing w:before="150" w:beforeAutospacing="0" w:after="150"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在微信公众平台中加载附近菜场信息，提供菜场具体定位信息，市民可以快速在地图上查找距离自己最近的菜市场，对于道路不熟悉的市民，可以根据系统提供的导航服务寻找菜场。</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1.1.2.3.4 城市公园</w:t>
      </w:r>
    </w:p>
    <w:p>
      <w:pPr>
        <w:pStyle w:val="14"/>
        <w:keepNext w:val="0"/>
        <w:keepLines w:val="0"/>
        <w:widowControl/>
        <w:suppressLineNumbers w:val="0"/>
        <w:spacing w:before="150" w:beforeAutospacing="0" w:after="150"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在微信公众平台中加载城市公园信息，提供公园具体定位信息，公园开放时间等，市民可以快速在地图上查找距离自己最近的公园，对于道路不熟悉的市民，可以根据系统提供的导航服务寻找公园。</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1.1.2.3.5 新闻资讯</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用户可查看推送的新闻资讯，了解相关典型消息，以达到宣传互动的目的。</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1.1.2.3.6 通知公告</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对于重要消息提供了通知公告功能，滚动展现相关通知消息。</w:t>
      </w:r>
    </w:p>
    <w:p>
      <w:pPr>
        <w:keepNext w:val="0"/>
        <w:keepLines w:val="0"/>
        <w:widowControl/>
        <w:suppressLineNumbers w:val="0"/>
        <w:ind w:left="0" w:firstLine="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1.1.2.3.7 积分管理</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为鼓励市民参入城市管理，加强与处置部门的互动，建立相应的积分体系，通过签到、上报案件等获取积分，在积分商城中进行各种奖品的兑换，以提高市民参入的积极性。</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1.1.2.3.7.1 </w:t>
      </w:r>
      <w:r>
        <w:rPr>
          <w:rStyle w:val="17"/>
          <w:rFonts w:hint="eastAsia" w:ascii="宋体" w:hAnsi="宋体" w:eastAsia="宋体" w:cs="宋体"/>
          <w:color w:val="auto"/>
          <w:spacing w:val="0"/>
          <w:sz w:val="28"/>
          <w:szCs w:val="28"/>
          <w:highlight w:val="none"/>
        </w:rPr>
        <w:t>个人积分信息</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在个人中心可查看个人积分情况，包括个人累计积分、当前积分以及已兑换积分等信息。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1.1.2.3.7.2 </w:t>
      </w:r>
      <w:r>
        <w:rPr>
          <w:rStyle w:val="17"/>
          <w:rFonts w:hint="eastAsia" w:ascii="宋体" w:hAnsi="宋体" w:eastAsia="宋体" w:cs="宋体"/>
          <w:color w:val="auto"/>
          <w:spacing w:val="0"/>
          <w:sz w:val="28"/>
          <w:szCs w:val="28"/>
          <w:highlight w:val="none"/>
        </w:rPr>
        <w:t>积分商城</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通过我的积分栏可进入积分商城。</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1.1.2.3.7.3 </w:t>
      </w:r>
      <w:r>
        <w:rPr>
          <w:rStyle w:val="17"/>
          <w:rFonts w:hint="eastAsia" w:ascii="宋体" w:hAnsi="宋体" w:eastAsia="宋体" w:cs="宋体"/>
          <w:color w:val="auto"/>
          <w:spacing w:val="0"/>
          <w:sz w:val="28"/>
          <w:szCs w:val="28"/>
          <w:highlight w:val="none"/>
        </w:rPr>
        <w:t>商城主页</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积分商城主页展示了个人积分情况、积分规则以及可用积分类别情况。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1.1.2.3.7.4 </w:t>
      </w:r>
      <w:r>
        <w:rPr>
          <w:rStyle w:val="17"/>
          <w:rFonts w:hint="eastAsia" w:ascii="宋体" w:hAnsi="宋体" w:eastAsia="宋体" w:cs="宋体"/>
          <w:color w:val="auto"/>
          <w:spacing w:val="0"/>
          <w:sz w:val="28"/>
          <w:szCs w:val="28"/>
          <w:highlight w:val="none"/>
        </w:rPr>
        <w:t>商品列表</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针对不同类别的积分以列表的显示展示可兑换的商品，同时对商品进行分类，并可按照积分、兑换数等进行排名展示，可查看各商品照片及所需兑换积分。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1.1.2.3.7.5 </w:t>
      </w:r>
      <w:r>
        <w:rPr>
          <w:rStyle w:val="17"/>
          <w:rFonts w:hint="eastAsia" w:ascii="宋体" w:hAnsi="宋体" w:eastAsia="宋体" w:cs="宋体"/>
          <w:color w:val="auto"/>
          <w:spacing w:val="0"/>
          <w:sz w:val="28"/>
          <w:szCs w:val="28"/>
          <w:highlight w:val="none"/>
        </w:rPr>
        <w:t>商品兑换</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针对所需兑换商品可查看库存量并进行兑换。</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1.1.2.3.7.6 </w:t>
      </w:r>
      <w:r>
        <w:rPr>
          <w:rStyle w:val="17"/>
          <w:rFonts w:hint="eastAsia" w:ascii="宋体" w:hAnsi="宋体" w:eastAsia="宋体" w:cs="宋体"/>
          <w:color w:val="auto"/>
          <w:spacing w:val="0"/>
          <w:sz w:val="28"/>
          <w:szCs w:val="28"/>
          <w:highlight w:val="none"/>
        </w:rPr>
        <w:t>订单管理</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用户可对所兑换商品的订单进行管理。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1.1.2.3.7.7 </w:t>
      </w:r>
      <w:r>
        <w:rPr>
          <w:rStyle w:val="17"/>
          <w:rFonts w:hint="eastAsia" w:ascii="宋体" w:hAnsi="宋体" w:eastAsia="宋体" w:cs="宋体"/>
          <w:color w:val="auto"/>
          <w:spacing w:val="0"/>
          <w:sz w:val="28"/>
          <w:szCs w:val="28"/>
          <w:highlight w:val="none"/>
        </w:rPr>
        <w:t>订单详情</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用户可查看兑换商品的订单详情。</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1.1.2.3.7.8 </w:t>
      </w:r>
      <w:r>
        <w:rPr>
          <w:rStyle w:val="17"/>
          <w:rFonts w:hint="eastAsia" w:ascii="宋体" w:hAnsi="宋体" w:eastAsia="宋体" w:cs="宋体"/>
          <w:color w:val="auto"/>
          <w:spacing w:val="0"/>
          <w:sz w:val="28"/>
          <w:szCs w:val="28"/>
          <w:highlight w:val="none"/>
        </w:rPr>
        <w:t>地址管理</w:t>
      </w:r>
    </w:p>
    <w:p>
      <w:pPr>
        <w:pStyle w:val="14"/>
        <w:keepNext w:val="0"/>
        <w:keepLines w:val="0"/>
        <w:widowControl/>
        <w:suppressLineNumbers w:val="0"/>
        <w:spacing w:before="75" w:beforeAutospacing="0" w:after="75" w:afterAutospacing="0"/>
        <w:ind w:left="0" w:right="0" w:firstLine="48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用户可对兑换商品订单的收货地址进行编辑修改。</w:t>
      </w:r>
    </w:p>
    <w:p>
      <w:pPr>
        <w:pStyle w:val="14"/>
        <w:keepNext w:val="0"/>
        <w:keepLines w:val="0"/>
        <w:widowControl/>
        <w:suppressLineNumbers w:val="0"/>
        <w:ind w:left="0" w:firstLine="195"/>
        <w:outlineLvl w:val="1"/>
        <w:rPr>
          <w:rFonts w:hint="eastAsia" w:ascii="宋体" w:hAnsi="宋体" w:eastAsia="宋体" w:cs="宋体"/>
          <w:color w:val="auto"/>
          <w:highlight w:val="none"/>
        </w:rPr>
      </w:pPr>
      <w:r>
        <w:rPr>
          <w:rFonts w:hint="eastAsia" w:ascii="宋体" w:hAnsi="宋体" w:eastAsia="宋体" w:cs="宋体"/>
          <w:color w:val="auto"/>
          <w:spacing w:val="0"/>
          <w:sz w:val="31"/>
          <w:szCs w:val="31"/>
          <w:highlight w:val="none"/>
        </w:rPr>
        <w:t>1.1.3 </w:t>
      </w:r>
      <w:r>
        <w:rPr>
          <w:rFonts w:hint="eastAsia" w:ascii="宋体" w:hAnsi="宋体" w:eastAsia="宋体" w:cs="宋体"/>
          <w:color w:val="auto"/>
          <w:sz w:val="28"/>
          <w:szCs w:val="28"/>
          <w:highlight w:val="none"/>
        </w:rPr>
        <w:t>指挥协调系统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指挥协调系统是平台核心系统。依据《城市市政综合监管信息系统技术规范》（CJJ/T 106-2010）,实现城市管理问题，“信息采集、案件建立、任务派遣、任务处理、处理反馈、核查结案、绩效考核“等7个阶段的闭环管理。基于福州市网格化管理服务平台，根据《城市综合管理服务平台建设标准》及福州市实际应用需求，整合现有12345处置平台增加统一身份认证，拓展受理渠道，升级事件管理中心、日常指挥协同、应急指挥调度等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实现城市运行管理服务协调工作子系统功能，具备接收、办理和反馈国家和省级平台监督检查系统布置的重点工作任务的功能。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实现城市运行管理服务监督指挥子系统功能，具备市政公用、市容环卫、园林绿化和城市执法，以及城市部件事件等数据的分析展示功能。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对标住建部《城市运行管理服务平台建设指南》，充分利用原有业务系统功能，基于微服务架构，对原有功能进行容器化改造，对缺少的功能进行补充建设。系统个功能模块升级改造情况如下表所示：</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指挥协调系统升级改造情况表</w:t>
      </w:r>
    </w:p>
    <w:tbl>
      <w:tblPr>
        <w:tblStyle w:val="15"/>
        <w:tblW w:w="990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77"/>
        <w:gridCol w:w="1236"/>
        <w:gridCol w:w="917"/>
        <w:gridCol w:w="3154"/>
        <w:gridCol w:w="1730"/>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序号</w:t>
            </w:r>
          </w:p>
        </w:tc>
        <w:tc>
          <w:tcPr>
            <w:tcW w:w="1206"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系统名称</w:t>
            </w:r>
          </w:p>
        </w:tc>
        <w:tc>
          <w:tcPr>
            <w:tcW w:w="887"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模块</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功能</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改造情况</w:t>
            </w:r>
          </w:p>
        </w:tc>
        <w:tc>
          <w:tcPr>
            <w:tcW w:w="194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w:t>
            </w:r>
          </w:p>
        </w:tc>
        <w:tc>
          <w:tcPr>
            <w:tcW w:w="1206"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事件管理中心</w:t>
            </w: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统一数据采集</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手机端应用-基础功能</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手机端应用-网格工作</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手机端应用-处置员工作</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电脑端应用-基础数据管理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电脑端应用-专业部门数据管理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业务受理</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网格化管理问题受理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案件管理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8</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案件转派</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结案</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业务协同</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案件列表</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11</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案件批转</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表单管理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业务操作管理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14</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统一信息门户</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网格划分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网格定位</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网格信息管理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统一消息服务</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消息管理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18</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消息调度</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消息交换</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消息安全</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21</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统一报表生成</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各业务报表生成</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统一对象管理</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大小类设置</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小类时限设置</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24</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统一公共字段配置</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惯用语配置</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可见性配置</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统一工作表单配置</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字段配置</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列表配置</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28</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统一专题图层配置</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图层配置</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利旧</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统一受理平台</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受理渠道拓展</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相似事件理智能识别</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31</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非采集区域智能提醒</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受理一席三屏支撑</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差错件办理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34</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统一事件汇聚</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统一分拨平台</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统一用户登录</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案件分拨管理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案件智能化派遣</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38</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统一办理平台</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案件办理管理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部门联动处置</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街道联动</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一键联动</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41</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部门报到</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综合查询</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综合考评</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44</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信息采集员管理</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监控统计指标</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三定维护</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状态监控</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巡更管理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48</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采集考核</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预警管理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考核申诉</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51</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设备管理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考核报表</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短信提醒</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shd w:val="clear" w:color="auto" w:fill="auto"/>
            <w:tcMar>
              <w:top w:w="0" w:type="dxa"/>
              <w:left w:w="105" w:type="dxa"/>
              <w:bottom w:w="0" w:type="dxa"/>
              <w:right w:w="105"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54</w:t>
            </w:r>
          </w:p>
        </w:tc>
        <w:tc>
          <w:tcPr>
            <w:tcW w:w="1206"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日常指挥协同</w:t>
            </w: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力量管理</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力量信息维护</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力量定位监督</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力量部署管理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力量通讯调度</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58</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目标掌控</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防控目标管理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日常安全检查</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60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61</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目标视频调阅</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62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任务追踪</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任务分类管理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63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任务预案化管理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64</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任务安排管理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65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任务反馈跟踪</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66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任务统计分析管理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67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形势研判</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形势研判</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68</w:t>
            </w:r>
          </w:p>
        </w:tc>
        <w:tc>
          <w:tcPr>
            <w:tcW w:w="1206"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应急指挥调度</w:t>
            </w: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应急值班值守</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事件接报管理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69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值班通信调度管理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70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预案数字化</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预案制作</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71</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72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数字预案管理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73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预案调度管理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74</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预案专家系统</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75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应急资源一张图</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应急资源标准规范建设</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76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数据采集与数据整合</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77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数据服务发布及管理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78</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资源数据展示应用</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79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应急资源基础悉心维护</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80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应急资源展示检索服务</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容器化改造</w:t>
            </w:r>
          </w:p>
        </w:tc>
        <w:tc>
          <w:tcPr>
            <w:tcW w:w="1941" w:type="dxa"/>
            <w:shd w:val="clear" w:color="auto" w:fill="auto"/>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原有功能改造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81</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应急处置-预防准备</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风险预警-预警数据汇聚</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基于住建部建设指南，完善城综平台应急事件处置体系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82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风险预警-风险预警设置</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83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风险预警-风险预警发布</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84</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风险预警-预警防范响应</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85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值守管理-值班排班管理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86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值守管理-值班日志管理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87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值守管理-待办事项管理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88</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值守管理-在线值班管理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89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值守管理-文档材料管理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90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值守管理-值班统计管理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91</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值守管理-通知公告管理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92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预防演练-演练计划管理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93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预防演练-模拟演练场景</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94</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预防演练-协同会商演练</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95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预防演练-演练评估总结</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96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预防演练-演练统计分析</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97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预防演练-演练材料管理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98</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预防演练-演练交流共享</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99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应急处置-风险评估</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监控目标管理-防护目标管理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100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监控目标管理-危险源管理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101</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风险信息查询-风险区划查询</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102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风险信息查询-避灾点查询</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103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风险信息查询-撤离路线分析</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104</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风险研判分析-风险信息录入</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105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风险研判分析-风险态势标绘</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106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风险研判分析-风险研判</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107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风险研判分析-风险分析统计</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108</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风险评估模型-突发事件风险评估指标</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109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风险评估模型-评估指标管理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110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风险评估模型-评估公式管理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111</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风险评估模型-评估方法管理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112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风险报告管理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113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应急处置-指挥联动</w:t>
            </w: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指挥体系联动-组织体系管理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114</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指挥体系联动-信息自动关联</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115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指挥体系联动-信息快速检索</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116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指挥体系联动-指挥保障体系</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117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指挥体系联动-指挥管理理体系</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118</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资源调动联动-视频资源调度</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119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资源调动联动-应急力量调度</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120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资源调动联动-通信资源调度</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121</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资源调动联动-物资资源调度</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122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资源调动联动-交通运输调度</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123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资源调动联动-人员防护管理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124</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资源调动联动-医疗保障管理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125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消息服务联动-通知公告</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126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消息服务联动-指令下达</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127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消息服务联动-短信服务</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128</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消息服务联动-文件管理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129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指挥处置联动-融合受理</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130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指挥处置联动-指挥调度</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131</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指挥处置联动-联动处置</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132</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督办联动处置-任务登记</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133</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督办联动处置-交办派发</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134</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督办联动处置-签收落实</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135</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督办联动处置-联动交流</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136</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督办联动处置-催办督办</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137</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督办联动处置-过程反馈</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138</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督办联动处置-考核评价</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139</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督办联动处置-查询监控</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blCellSpacing w:w="15" w:type="dxa"/>
        </w:trPr>
        <w:tc>
          <w:tcPr>
            <w:tcW w:w="83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140</w:t>
            </w:r>
          </w:p>
        </w:tc>
        <w:tc>
          <w:tcPr>
            <w:tcW w:w="1206"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887"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c>
          <w:tcPr>
            <w:tcW w:w="3124" w:type="dxa"/>
            <w:shd w:val="clear" w:color="auto" w:fill="auto"/>
            <w:tcMar>
              <w:top w:w="0" w:type="dxa"/>
              <w:left w:w="105" w:type="dxa"/>
              <w:bottom w:w="0" w:type="dxa"/>
              <w:right w:w="105" w:type="dxa"/>
            </w:tcMar>
            <w:vAlign w:val="center"/>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督办联动处置-督办分析</w:t>
            </w:r>
          </w:p>
        </w:tc>
        <w:tc>
          <w:tcPr>
            <w:tcW w:w="170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新建</w:t>
            </w:r>
          </w:p>
        </w:tc>
        <w:tc>
          <w:tcPr>
            <w:tcW w:w="1941" w:type="dxa"/>
            <w:vMerge w:val="continue"/>
            <w:shd w:val="clear" w:color="auto" w:fill="auto"/>
            <w:tcMar>
              <w:top w:w="0" w:type="dxa"/>
              <w:left w:w="105" w:type="dxa"/>
              <w:bottom w:w="0" w:type="dxa"/>
              <w:right w:w="105" w:type="dxa"/>
            </w:tcMar>
            <w:vAlign w:val="center"/>
          </w:tcPr>
          <w:p>
            <w:pPr>
              <w:outlineLvl w:val="9"/>
              <w:rPr>
                <w:rFonts w:hint="eastAsia" w:ascii="宋体" w:hAnsi="宋体" w:eastAsia="宋体" w:cs="宋体"/>
                <w:color w:val="auto"/>
                <w:sz w:val="24"/>
                <w:szCs w:val="24"/>
                <w:highlight w:val="none"/>
              </w:rPr>
            </w:pPr>
          </w:p>
        </w:tc>
      </w:tr>
    </w:tbl>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1.1.3.1 </w:t>
      </w:r>
      <w:r>
        <w:rPr>
          <w:rFonts w:hint="eastAsia" w:ascii="宋体" w:hAnsi="宋体" w:eastAsia="宋体" w:cs="宋体"/>
          <w:color w:val="auto"/>
          <w:sz w:val="28"/>
          <w:szCs w:val="28"/>
          <w:highlight w:val="none"/>
        </w:rPr>
        <w:t>事件管理中心</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1.1.3.1.1 </w:t>
      </w:r>
      <w:r>
        <w:rPr>
          <w:rFonts w:hint="eastAsia" w:ascii="宋体" w:hAnsi="宋体" w:eastAsia="宋体" w:cs="宋体"/>
          <w:color w:val="auto"/>
          <w:sz w:val="28"/>
          <w:szCs w:val="28"/>
          <w:highlight w:val="none"/>
        </w:rPr>
        <w:t>统一受理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1.1.3.1.1.1 </w:t>
      </w:r>
      <w:r>
        <w:rPr>
          <w:rFonts w:hint="eastAsia" w:ascii="宋体" w:hAnsi="宋体" w:eastAsia="宋体" w:cs="宋体"/>
          <w:color w:val="auto"/>
          <w:sz w:val="28"/>
          <w:szCs w:val="28"/>
          <w:highlight w:val="none"/>
        </w:rPr>
        <w:t>受理渠道拓展</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1.1.3.1.1.1.1 </w:t>
      </w:r>
      <w:r>
        <w:rPr>
          <w:rStyle w:val="17"/>
          <w:rFonts w:hint="eastAsia" w:ascii="宋体" w:hAnsi="宋体" w:eastAsia="宋体" w:cs="宋体"/>
          <w:color w:val="auto"/>
          <w:sz w:val="28"/>
          <w:szCs w:val="28"/>
          <w:highlight w:val="none"/>
        </w:rPr>
        <w:t>12345平台受理接入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充分发挥现有福州市12345便民服务中心在整个福州市的影响力，充分发挥“12345有事找政府”的意义，对接12345平台网站、电话等渠道诉求件信息，依据新的事件分类实现对事件受理、查询，对事件受理的类别修改等。实现对接福州市12345网站进行所有事件的受理信息。</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1.1.3.1.1.1.2 </w:t>
      </w:r>
      <w:r>
        <w:rPr>
          <w:rStyle w:val="17"/>
          <w:rFonts w:hint="eastAsia" w:ascii="宋体" w:hAnsi="宋体" w:eastAsia="宋体" w:cs="宋体"/>
          <w:color w:val="auto"/>
          <w:sz w:val="28"/>
          <w:szCs w:val="28"/>
          <w:highlight w:val="none"/>
        </w:rPr>
        <w:t>12319微信公众号上报受理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接入国家统一微信公众号“12319微信公众服务号”，依据新的事件分类实现对事件受理、查询，对事件受理的类别修改等。实现通过微信号进行所有事件的受理信息。</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1.1.3.1.1.1.3 </w:t>
      </w:r>
      <w:r>
        <w:rPr>
          <w:rStyle w:val="17"/>
          <w:rFonts w:hint="eastAsia" w:ascii="宋体" w:hAnsi="宋体" w:eastAsia="宋体" w:cs="宋体"/>
          <w:color w:val="auto"/>
          <w:sz w:val="28"/>
          <w:szCs w:val="28"/>
          <w:highlight w:val="none"/>
        </w:rPr>
        <w:t>AI视频智能分析上报受理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与AI视频智能分析平台对接，通过接口调用，AI视频智能分析平台采将集的事件信息自动派发到接报平台，并转换为符合规范的统一事件表单进行统一管理，目前可实现视频AI智能识别服务的总体建设思路是充分利用全市的视频探头资源，按照“智能、整合、优化、提升”的理念，辅助进行事件采集与核查反馈，逐步建立全市视频AI智能识别能力, 对全市视频探头覆盖区域，实现全天24小时监测，根据城市管理相关规章制度在不同摄像机的场景中预设不同的报警规则，对流动摊点、垃圾满溢、占道经营、横幅游行、共享单车乱停放等20类城市管理与社会治理事件进行场景检测、智能识别、案件自动分类、自动取证、任务智能派发一旦目标在场景中出现了违反预定义规则的行为，系统会自动发出报警，指挥中心根据这些预警信息进行筛选与分派操作，提升城市管理与社会治理水平。</w:t>
      </w:r>
    </w:p>
    <w:p>
      <w:pPr>
        <w:pStyle w:val="14"/>
        <w:keepNext w:val="0"/>
        <w:keepLines w:val="0"/>
        <w:widowControl/>
        <w:suppressLineNumbers w:val="0"/>
        <w:ind w:left="420" w:firstLine="15"/>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 探头颜色区分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平台摄像头设备多，现场坐席在监控视频时需要时常切换设备，如果无法有效区分，可能会导致坐席员重复监控部分摄像头影响工作效率，所以对探头进行颜色区分，坐席员点击后的设备为黄色，坏的和无法打开的为红色，未点击的为蓝色。</w:t>
      </w:r>
    </w:p>
    <w:p>
      <w:pPr>
        <w:pStyle w:val="14"/>
        <w:keepNext w:val="0"/>
        <w:keepLines w:val="0"/>
        <w:widowControl/>
        <w:suppressLineNumbers w:val="0"/>
        <w:ind w:left="420" w:firstLine="15"/>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 已点探头识别</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现场坐席员需要对其他坐席员已点的探头能够识别，已点探头带有颜色标识需保持实时刷新，避免坐席员对其他账号坐席员点过的探头重复点击。</w:t>
      </w:r>
    </w:p>
    <w:p>
      <w:pPr>
        <w:pStyle w:val="14"/>
        <w:keepNext w:val="0"/>
        <w:keepLines w:val="0"/>
        <w:widowControl/>
        <w:suppressLineNumbers w:val="0"/>
        <w:ind w:left="420" w:firstLine="15"/>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 地图关联双屏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通过双屏方式展示，左侧为视频上报模块，右侧为地图界面，可显示摄像头定位情况。地图上设备显示可使用聚类的方式显示，区域存在大量摄像头时，只显示数量，地图放大后，可查看此区域具体摄像头。</w:t>
      </w:r>
    </w:p>
    <w:p>
      <w:pPr>
        <w:pStyle w:val="14"/>
        <w:keepNext w:val="0"/>
        <w:keepLines w:val="0"/>
        <w:widowControl/>
        <w:suppressLineNumbers w:val="0"/>
        <w:ind w:left="420" w:firstLine="15"/>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 设备标签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视频对接，因设备数量多，用户在日常使用可以对摄像头设备绑定对呀标签，如部分摄像头所在位置专门用于监控某些类别案件，或该摄像头存在高发问题等，需实现摄像头与标签进行绑定关联。</w:t>
      </w:r>
    </w:p>
    <w:p>
      <w:pPr>
        <w:pStyle w:val="14"/>
        <w:keepNext w:val="0"/>
        <w:keepLines w:val="0"/>
        <w:widowControl/>
        <w:suppressLineNumbers w:val="0"/>
        <w:ind w:left="420" w:firstLine="15"/>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 探头统计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工作量加强管理，需要对有效点击量进行统计，从点击量，有效点击个数，案件上报数三个维度进行统计</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1.1.3.1.1.1.4 </w:t>
      </w:r>
      <w:r>
        <w:rPr>
          <w:rStyle w:val="17"/>
          <w:rFonts w:hint="eastAsia" w:ascii="宋体" w:hAnsi="宋体" w:eastAsia="宋体" w:cs="宋体"/>
          <w:color w:val="auto"/>
          <w:sz w:val="28"/>
          <w:szCs w:val="28"/>
          <w:highlight w:val="none"/>
        </w:rPr>
        <w:t>物联网感知平台上报受理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与物联网感知平台对接，通过事件接口调用，获取物联网感知平台自动采集的事件信息，并转换为符合规范的统一事件表单，接入到信息接报平台中进行统一管理。</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1.1.3.1.1.1.5 </w:t>
      </w:r>
      <w:r>
        <w:rPr>
          <w:rStyle w:val="17"/>
          <w:rFonts w:hint="eastAsia" w:ascii="宋体" w:hAnsi="宋体" w:eastAsia="宋体" w:cs="宋体"/>
          <w:color w:val="auto"/>
          <w:sz w:val="28"/>
          <w:szCs w:val="28"/>
          <w:highlight w:val="none"/>
        </w:rPr>
        <w:t>社情民意受理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社情民意模块是市级网格化社会服务管理信息中心负责统一受理全民参与手机过热线反映的社会管理类问题，根据问题的类型、性质、详情事由等信息，结合《福州市社会管理工作手册》，对问题进行研判分流、回访核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该模块包括：登记栏、待办案卷栏、核查栏、移交案卷栏、督办栏和存档栏。</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基于GIS地图的社情民意登记受理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受理员全面受理社会公众通过拨打中心特服号码反映的问题，并通过图文一体化窗口，实现基于GIS的位置定位，社情民意信息填写。</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2、</w:t>
      </w:r>
      <w:r>
        <w:rPr>
          <w:rFonts w:hint="eastAsia" w:ascii="宋体" w:hAnsi="宋体" w:eastAsia="宋体" w:cs="宋体"/>
          <w:color w:val="auto"/>
          <w:sz w:val="24"/>
          <w:szCs w:val="24"/>
          <w:highlight w:val="none"/>
        </w:rPr>
        <w:t>社情民意处置督办</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受理员根据案卷的指示灯判断案卷所处的状态和阶段，如果指示灯显示红色，即案卷超过规定的处置时限，则受理员可通过向处置部门发送督办，加快案卷的处置进度。</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社情民意处置流程查看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受理员可查看每条事件的详细信息，包括上报的详细信息（事件类型、大类、小类、当事人、地址、事件描述等）、处置的过程信息（处置环节、处理单位、处理时间、处理人、核查人、核查结果等）。</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w:t>
      </w:r>
      <w:r>
        <w:rPr>
          <w:rFonts w:hint="eastAsia" w:ascii="宋体" w:hAnsi="宋体" w:eastAsia="宋体" w:cs="宋体"/>
          <w:color w:val="auto"/>
          <w:sz w:val="24"/>
          <w:szCs w:val="24"/>
          <w:highlight w:val="none"/>
        </w:rPr>
        <w:t>指示灯预警提示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参照指示灯预警功能，对事件所处的不同阶段、不同等级采用不同的图标进行标识，便于受理员能直观地区分哪些案卷目前处于超时状态、哪些案卷属于重大级别等。</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5、</w:t>
      </w:r>
      <w:r>
        <w:rPr>
          <w:rFonts w:hint="eastAsia" w:ascii="宋体" w:hAnsi="宋体" w:eastAsia="宋体" w:cs="宋体"/>
          <w:color w:val="auto"/>
          <w:sz w:val="24"/>
          <w:szCs w:val="24"/>
          <w:highlight w:val="none"/>
        </w:rPr>
        <w:t>核查结案</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受理员可通过电话回访的方式，核查相关处置部门反馈回来的处置结果，根据核查结果，再决定是否结案。</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6、</w:t>
      </w:r>
      <w:r>
        <w:rPr>
          <w:rFonts w:hint="eastAsia" w:ascii="宋体" w:hAnsi="宋体" w:eastAsia="宋体" w:cs="宋体"/>
          <w:color w:val="auto"/>
          <w:sz w:val="24"/>
          <w:szCs w:val="24"/>
          <w:highlight w:val="none"/>
        </w:rPr>
        <w:t>答复授权</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各级社会服务管理组织机构对当前阶段名称为“授权”的案卷，进行答复授权。选择“同意”或“不同意”并且填写答复意见，之后点击“确定”。</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7、</w:t>
      </w:r>
      <w:r>
        <w:rPr>
          <w:rFonts w:hint="eastAsia" w:ascii="宋体" w:hAnsi="宋体" w:eastAsia="宋体" w:cs="宋体"/>
          <w:color w:val="auto"/>
          <w:sz w:val="24"/>
          <w:szCs w:val="24"/>
          <w:highlight w:val="none"/>
        </w:rPr>
        <w:t>案卷回辙</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如果批转到本中心的案卷并不属于其受理范围内，可以将其回辙给上一工作阶段；如果发现专业部门反馈回来的任务未按要求完成，可以将案卷回退至职能部门进行重新处置。</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8、</w:t>
      </w:r>
      <w:r>
        <w:rPr>
          <w:rFonts w:hint="eastAsia" w:ascii="宋体" w:hAnsi="宋体" w:eastAsia="宋体" w:cs="宋体"/>
          <w:color w:val="auto"/>
          <w:sz w:val="24"/>
          <w:szCs w:val="24"/>
          <w:highlight w:val="none"/>
        </w:rPr>
        <w:t>登记页面历史记录查询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受理员在登记社会公众反映的问题时，可根据公众举报电话或举报人姓名查询其历史案卷，为中心对案卷的统计、分析提供重要参考。</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1.1.3.1.1.2 </w:t>
      </w:r>
      <w:r>
        <w:rPr>
          <w:rFonts w:hint="eastAsia" w:ascii="宋体" w:hAnsi="宋体" w:eastAsia="宋体" w:cs="宋体"/>
          <w:color w:val="auto"/>
          <w:sz w:val="28"/>
          <w:szCs w:val="28"/>
          <w:highlight w:val="none"/>
        </w:rPr>
        <w:t>相似事件理智能识别</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现实工作中，监督指挥中心坐席员在分派案件时，经常发生相似案卷的情况，比如：信息采集员为了完成信息采集的工作任务，多次重复上报同一案卷；或者，某一案件已经被其他信息采集员上报、立案、处理，换班后，另外的信息采集员不了解情况，再次上报该案件。这类相似案卷以前经常依靠监督指挥中心人工的方式来判别，或者是案卷派遣后，由处置部门反馈该案卷为相似案卷，给日常工作带来极大困扰。为了有效避免信息采集员重复上报同一案卷，通过建设统一的受理智能识别服务12345平台、城管平台在受理案件时将案件信息传送至智能识别服务中判断是否存在历史重复受理案件，系统针对相似案卷进行智能分析，并进行相似案卷的提示，提高工作效率。</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1.1.3.1.1.2.1 </w:t>
      </w:r>
      <w:r>
        <w:rPr>
          <w:rStyle w:val="17"/>
          <w:rFonts w:hint="eastAsia" w:ascii="宋体" w:hAnsi="宋体" w:eastAsia="宋体" w:cs="宋体"/>
          <w:color w:val="auto"/>
          <w:sz w:val="28"/>
          <w:szCs w:val="28"/>
          <w:highlight w:val="none"/>
        </w:rPr>
        <w:t>相似事件规则设置</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默认同一地点（10米之内），一段时间内（默认一天），或者符合其他约束条件的案件为相似案卷（注：有些特殊的小类有不同的时间、距离限制），支持相似案卷的图标显示，以及查看相似案件列表。</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1.1.3.1.1.2.2 </w:t>
      </w:r>
      <w:r>
        <w:rPr>
          <w:rStyle w:val="17"/>
          <w:rFonts w:hint="eastAsia" w:ascii="宋体" w:hAnsi="宋体" w:eastAsia="宋体" w:cs="宋体"/>
          <w:color w:val="auto"/>
          <w:sz w:val="28"/>
          <w:szCs w:val="28"/>
          <w:highlight w:val="none"/>
        </w:rPr>
        <w:t>上报时相似事件提示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在案件上报时进行相似案卷提示。信息采集员或者使用市民通的社会公众上报案件时，系统首先根据上报的时间、地点来判断该案件是否已被上报、立案或处置，如果该案件已被上报、立案或处置，则认为该案件为相似案件。对信息采集员或者市民做出相似案卷提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同时可通过后台设置，是否允许上报相似案件。</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1.1.3.1.1.2.3 </w:t>
      </w:r>
      <w:r>
        <w:rPr>
          <w:rStyle w:val="17"/>
          <w:rFonts w:hint="eastAsia" w:ascii="宋体" w:hAnsi="宋体" w:eastAsia="宋体" w:cs="宋体"/>
          <w:color w:val="auto"/>
          <w:sz w:val="28"/>
          <w:szCs w:val="28"/>
          <w:highlight w:val="none"/>
        </w:rPr>
        <w:t>立案环节相似事件提示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立案阶段进行相似案件提示，主要是防止大量的相似案件，导致后面的专业部门花费更多的精力来甄别该案件是否是重复案件。通过在立案环节系统自动进行相似案卷提示，可以大大提高案件的办理效率。系统支持按照一定的规则，如根据案件大小类、案件发生范围、案件发生时间等条件，来判断该案件是否与之前的案件属于同一重复案件。</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监督员上报的案件以及受理员登记的案件立案时，都会进行相似案件的判断，如果该案件满足了相似案件的判断规则，则系统自动判断该案件存在相似案件，以小图标的形式进行相似案卷提醒。</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1.1.3.1.1.2.4 </w:t>
      </w:r>
      <w:r>
        <w:rPr>
          <w:rStyle w:val="17"/>
          <w:rFonts w:hint="eastAsia" w:ascii="宋体" w:hAnsi="宋体" w:eastAsia="宋体" w:cs="宋体"/>
          <w:color w:val="auto"/>
          <w:sz w:val="28"/>
          <w:szCs w:val="28"/>
          <w:highlight w:val="none"/>
        </w:rPr>
        <w:t>相似事件详情</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支持查看相似案卷详情列表。系统自动对某一案件做出相似案卷判断后，如果该案件存在相似案卷，则对该案件进行“相似案卷”标识。通过“相似案卷”标识可查看相似案卷列表，列表中包括：当前上报的案件基本信息以及疑似重复的案件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1.1.3.1.1.3 </w:t>
      </w:r>
      <w:r>
        <w:rPr>
          <w:rFonts w:hint="eastAsia" w:ascii="宋体" w:hAnsi="宋体" w:eastAsia="宋体" w:cs="宋体"/>
          <w:color w:val="auto"/>
          <w:sz w:val="28"/>
          <w:szCs w:val="28"/>
          <w:highlight w:val="none"/>
        </w:rPr>
        <w:t>非采集区域智能提醒</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针对特定时段、特定区域涉及施工类的问题（施工单位有正规的施工审批手续文件），此类问题专业部门难以按立结案标准要求进行处置。因此，拓展管控区域智能提醒功能，针对城市管理中的一些区域由于环境综合提升需要施工，可由专业部门申请特定时段内对该区域暂停问题上报，审核通过后，监督中心可将该区域该时段发生的问题设置为“禁止上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针对有时间发生规律的特定类型案件，只允许在规定时间段内上报案件。比如道路保洁公司每天都会在固定的时间段内进行道路保洁，在规定保洁时间段之外采集上报该类案件，环卫公司一般不会响应处置，影响计时考核，因此限制监督员在该时段内上报道路保洁类问题。</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1.1.3.1.1.3.1 </w:t>
      </w:r>
      <w:r>
        <w:rPr>
          <w:rStyle w:val="17"/>
          <w:rFonts w:hint="eastAsia" w:ascii="宋体" w:hAnsi="宋体" w:eastAsia="宋体" w:cs="宋体"/>
          <w:color w:val="auto"/>
          <w:sz w:val="28"/>
          <w:szCs w:val="28"/>
          <w:highlight w:val="none"/>
        </w:rPr>
        <w:t>基本属性设置</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管控区域的基本属性进行设置，包括区域标识、区域名称、起始管控时间、采集要求、附件信息等。其中区域标识是网格的标识码，起始管控时间是限制问题上报的时间段，附件信息是能证明合法施工的文件或图片。</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1.1.3.1.1.3.2 </w:t>
      </w:r>
      <w:r>
        <w:rPr>
          <w:rStyle w:val="17"/>
          <w:rFonts w:hint="eastAsia" w:ascii="宋体" w:hAnsi="宋体" w:eastAsia="宋体" w:cs="宋体"/>
          <w:color w:val="auto"/>
          <w:sz w:val="28"/>
          <w:szCs w:val="28"/>
          <w:highlight w:val="none"/>
        </w:rPr>
        <w:t>管控区域绘制</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通过地图标注的方式绘制管控区域，按照实际施工情况，选择多边形，在地图上绘制管控区域，在绘制的管控区域，管控时间段内，禁止问题上报。</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1.1.3.1.1.3.3 </w:t>
      </w:r>
      <w:r>
        <w:rPr>
          <w:rStyle w:val="17"/>
          <w:rFonts w:hint="eastAsia" w:ascii="宋体" w:hAnsi="宋体" w:eastAsia="宋体" w:cs="宋体"/>
          <w:color w:val="auto"/>
          <w:sz w:val="28"/>
          <w:szCs w:val="28"/>
          <w:highlight w:val="none"/>
        </w:rPr>
        <w:t>限制时段设置</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通过设置限制问题的上报时段，只允许上报限制时段内的案件，超出限制时段内不允许上报。</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1.1.3.1.1.3.4 </w:t>
      </w:r>
      <w:r>
        <w:rPr>
          <w:rStyle w:val="17"/>
          <w:rFonts w:hint="eastAsia" w:ascii="宋体" w:hAnsi="宋体" w:eastAsia="宋体" w:cs="宋体"/>
          <w:color w:val="auto"/>
          <w:sz w:val="28"/>
          <w:szCs w:val="28"/>
          <w:highlight w:val="none"/>
        </w:rPr>
        <w:t>管控区域智能提醒</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当监督员在管控区域上报此类问题时，城管通上会提醒监督员该段时间此区域不允许上报。</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1.1.3.1.1.3.5 </w:t>
      </w:r>
      <w:r>
        <w:rPr>
          <w:rStyle w:val="17"/>
          <w:rFonts w:hint="eastAsia" w:ascii="宋体" w:hAnsi="宋体" w:eastAsia="宋体" w:cs="宋体"/>
          <w:color w:val="auto"/>
          <w:sz w:val="28"/>
          <w:szCs w:val="28"/>
          <w:highlight w:val="none"/>
        </w:rPr>
        <w:t>限制时段智能提醒</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对于某些案件类型、区域（路段），只能在某些时段内采集才是有效案件。因此需要对上报的时段做限制。如果不允许上报，则给出警告提示。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1.1.3.1.1.4 </w:t>
      </w:r>
      <w:r>
        <w:rPr>
          <w:rFonts w:hint="eastAsia" w:ascii="宋体" w:hAnsi="宋体" w:eastAsia="宋体" w:cs="宋体"/>
          <w:color w:val="auto"/>
          <w:sz w:val="28"/>
          <w:szCs w:val="28"/>
          <w:highlight w:val="none"/>
        </w:rPr>
        <w:t>受理一席三屏支撑</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1.1.3.1.1.4.1 </w:t>
      </w:r>
      <w:r>
        <w:rPr>
          <w:rStyle w:val="17"/>
          <w:rFonts w:hint="eastAsia" w:ascii="宋体" w:hAnsi="宋体" w:eastAsia="宋体" w:cs="宋体"/>
          <w:color w:val="auto"/>
          <w:sz w:val="28"/>
          <w:szCs w:val="28"/>
          <w:highlight w:val="none"/>
        </w:rPr>
        <w:t>事件位置落图</w:t>
      </w:r>
    </w:p>
    <w:p>
      <w:pPr>
        <w:pStyle w:val="14"/>
        <w:keepNext w:val="0"/>
        <w:keepLines w:val="0"/>
        <w:widowControl/>
        <w:suppressLineNumbers w:val="0"/>
        <w:ind w:left="0" w:firstLine="42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显示事件记录的地图位置，在地图上红色小圆点标记事件的位置。</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1.1.3.1.1.4.2 </w:t>
      </w:r>
      <w:r>
        <w:rPr>
          <w:rStyle w:val="17"/>
          <w:rFonts w:hint="eastAsia" w:ascii="宋体" w:hAnsi="宋体" w:eastAsia="宋体" w:cs="宋体"/>
          <w:color w:val="auto"/>
          <w:sz w:val="28"/>
          <w:szCs w:val="28"/>
          <w:highlight w:val="none"/>
        </w:rPr>
        <w:t>事件周边网格员落图</w:t>
      </w:r>
    </w:p>
    <w:p>
      <w:pPr>
        <w:pStyle w:val="14"/>
        <w:keepNext w:val="0"/>
        <w:keepLines w:val="0"/>
        <w:widowControl/>
        <w:suppressLineNumbers w:val="0"/>
        <w:ind w:left="0" w:firstLine="42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通过点击地图上的事件红色小圆点展示该事件周边的网格员，以蓝点显示支持查看网格员信息、行动轨迹，并可发起点对点视频呼叫，实现现场抽检或指挥调度。</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1.1.3.1.1.4.3 </w:t>
      </w:r>
      <w:r>
        <w:rPr>
          <w:rStyle w:val="17"/>
          <w:rFonts w:hint="eastAsia" w:ascii="宋体" w:hAnsi="宋体" w:eastAsia="宋体" w:cs="宋体"/>
          <w:color w:val="auto"/>
          <w:sz w:val="28"/>
          <w:szCs w:val="28"/>
          <w:highlight w:val="none"/>
        </w:rPr>
        <w:t>网格区域信息图层</w:t>
      </w:r>
    </w:p>
    <w:p>
      <w:pPr>
        <w:pStyle w:val="14"/>
        <w:keepNext w:val="0"/>
        <w:keepLines w:val="0"/>
        <w:widowControl/>
        <w:suppressLineNumbers w:val="0"/>
        <w:ind w:left="0" w:firstLine="42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通过事件的位置展示所属网格信息如归属区域、负责部门等，便于工作人员确定派遣处理等决策。</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1.1.3.1.1.4.4 </w:t>
      </w:r>
      <w:r>
        <w:rPr>
          <w:rStyle w:val="17"/>
          <w:rFonts w:hint="eastAsia" w:ascii="宋体" w:hAnsi="宋体" w:eastAsia="宋体" w:cs="宋体"/>
          <w:color w:val="auto"/>
          <w:sz w:val="28"/>
          <w:szCs w:val="28"/>
          <w:highlight w:val="none"/>
        </w:rPr>
        <w:t>周边资源落图</w:t>
      </w:r>
    </w:p>
    <w:p>
      <w:pPr>
        <w:pStyle w:val="14"/>
        <w:keepNext w:val="0"/>
        <w:keepLines w:val="0"/>
        <w:widowControl/>
        <w:suppressLineNumbers w:val="0"/>
        <w:ind w:left="0" w:firstLine="42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以事件为中心点分析事件类型展示周边的资源，包括网格人员、城市部件位置、视频监控点位、车辆位置、应急资源等。周边范围的阈值可自行设定，如可设定为中心点周边的1000米内、500米内等。</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1.1.3.1.1.4.5 </w:t>
      </w:r>
      <w:r>
        <w:rPr>
          <w:rStyle w:val="17"/>
          <w:rFonts w:hint="eastAsia" w:ascii="宋体" w:hAnsi="宋体" w:eastAsia="宋体" w:cs="宋体"/>
          <w:color w:val="auto"/>
          <w:sz w:val="28"/>
          <w:szCs w:val="28"/>
          <w:highlight w:val="none"/>
        </w:rPr>
        <w:t>业务指导系统接入</w:t>
      </w:r>
    </w:p>
    <w:p>
      <w:pPr>
        <w:pStyle w:val="14"/>
        <w:keepNext w:val="0"/>
        <w:keepLines w:val="0"/>
        <w:widowControl/>
        <w:suppressLineNumbers w:val="0"/>
        <w:ind w:left="0" w:firstLine="42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接入国家平台中业务指导系统；</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1.1.3.1.1.5 </w:t>
      </w:r>
      <w:r>
        <w:rPr>
          <w:rFonts w:hint="eastAsia" w:ascii="宋体" w:hAnsi="宋体" w:eastAsia="宋体" w:cs="宋体"/>
          <w:color w:val="auto"/>
          <w:sz w:val="28"/>
          <w:szCs w:val="28"/>
          <w:highlight w:val="none"/>
        </w:rPr>
        <w:t>差错件办理</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1.1.3.1.1.5.1 </w:t>
      </w:r>
      <w:r>
        <w:rPr>
          <w:rStyle w:val="17"/>
          <w:rFonts w:hint="eastAsia" w:ascii="宋体" w:hAnsi="宋体" w:eastAsia="宋体" w:cs="宋体"/>
          <w:color w:val="auto"/>
          <w:sz w:val="28"/>
          <w:szCs w:val="28"/>
          <w:highlight w:val="none"/>
        </w:rPr>
        <w:t>差错件标识</w:t>
      </w:r>
    </w:p>
    <w:p>
      <w:pPr>
        <w:pStyle w:val="14"/>
        <w:keepNext w:val="0"/>
        <w:keepLines w:val="0"/>
        <w:widowControl/>
        <w:suppressLineNumbers w:val="0"/>
        <w:spacing w:before="120" w:beforeAutospacing="0"/>
        <w:ind w:left="390" w:firstLine="42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坐席员可对网格员导致的案件进行差错件标识，被标识的差错件会在差错件功能界面中显示。</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1.1.3.1.1.5.2 </w:t>
      </w:r>
      <w:r>
        <w:rPr>
          <w:rStyle w:val="17"/>
          <w:rFonts w:hint="eastAsia" w:ascii="宋体" w:hAnsi="宋体" w:eastAsia="宋体" w:cs="宋体"/>
          <w:color w:val="auto"/>
          <w:sz w:val="28"/>
          <w:szCs w:val="28"/>
          <w:highlight w:val="none"/>
        </w:rPr>
        <w:t>差错件列表</w:t>
      </w:r>
    </w:p>
    <w:p>
      <w:pPr>
        <w:pStyle w:val="14"/>
        <w:keepNext w:val="0"/>
        <w:keepLines w:val="0"/>
        <w:widowControl/>
        <w:suppressLineNumbers w:val="0"/>
        <w:spacing w:before="120" w:beforeAutospacing="0"/>
        <w:ind w:left="390" w:firstLine="42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网格员管理员可查看差错件功能界面，并且可以对案件进行详情查看，可以进行差错件申请，申请内容包括申诉意见及附件上传（支持照片、文件等）。</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1.1.3.1.1.5.3 </w:t>
      </w:r>
      <w:r>
        <w:rPr>
          <w:rStyle w:val="17"/>
          <w:rFonts w:hint="eastAsia" w:ascii="宋体" w:hAnsi="宋体" w:eastAsia="宋体" w:cs="宋体"/>
          <w:color w:val="auto"/>
          <w:sz w:val="28"/>
          <w:szCs w:val="28"/>
          <w:highlight w:val="none"/>
        </w:rPr>
        <w:t>差错件审核</w:t>
      </w:r>
    </w:p>
    <w:p>
      <w:pPr>
        <w:pStyle w:val="14"/>
        <w:keepNext w:val="0"/>
        <w:keepLines w:val="0"/>
        <w:widowControl/>
        <w:suppressLineNumbers w:val="0"/>
        <w:spacing w:before="120" w:beforeAutospacing="0"/>
        <w:ind w:left="390" w:firstLine="42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坐席员可对申诉的差错件进行审核，审核通过的差错件则被标记为“审核通过”，未通过案件被标记为”审核未通过“并且需采集公司再次申诉。</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1.1.3.1.1.5.4 </w:t>
      </w:r>
      <w:r>
        <w:rPr>
          <w:rStyle w:val="17"/>
          <w:rFonts w:hint="eastAsia" w:ascii="宋体" w:hAnsi="宋体" w:eastAsia="宋体" w:cs="宋体"/>
          <w:color w:val="auto"/>
          <w:sz w:val="28"/>
          <w:szCs w:val="28"/>
          <w:highlight w:val="none"/>
        </w:rPr>
        <w:t>差错件状态</w:t>
      </w:r>
    </w:p>
    <w:p>
      <w:pPr>
        <w:pStyle w:val="14"/>
        <w:keepNext w:val="0"/>
        <w:keepLines w:val="0"/>
        <w:widowControl/>
        <w:suppressLineNumbers w:val="0"/>
        <w:spacing w:before="120" w:beforeAutospacing="0"/>
        <w:ind w:left="390" w:firstLine="42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差错件状态，”未申诉“，”申诉中“、”审核通过“、”审核未通过“。</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1.1.3.1.1.5.5 </w:t>
      </w:r>
      <w:r>
        <w:rPr>
          <w:rStyle w:val="17"/>
          <w:rFonts w:hint="eastAsia" w:ascii="宋体" w:hAnsi="宋体" w:eastAsia="宋体" w:cs="宋体"/>
          <w:color w:val="auto"/>
          <w:sz w:val="28"/>
          <w:szCs w:val="28"/>
          <w:highlight w:val="none"/>
        </w:rPr>
        <w:t>差错件统计</w:t>
      </w:r>
    </w:p>
    <w:p>
      <w:pPr>
        <w:pStyle w:val="14"/>
        <w:keepNext w:val="0"/>
        <w:keepLines w:val="0"/>
        <w:widowControl/>
        <w:suppressLineNumbers w:val="0"/>
        <w:spacing w:before="120" w:beforeAutospacing="0"/>
        <w:ind w:left="390" w:firstLine="42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数据统计，可根据区域、上报时间、差错执行时间、登记人员（标记差错件账号）、监督员、责任网格、差错件状态等字段进行条件搜索。搜索结果可根据区域、监督员、责任网格为分组，统计案件相关数据。</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1.1.3.1.1.5.6 </w:t>
      </w:r>
      <w:r>
        <w:rPr>
          <w:rStyle w:val="17"/>
          <w:rFonts w:hint="eastAsia" w:ascii="宋体" w:hAnsi="宋体" w:eastAsia="宋体" w:cs="宋体"/>
          <w:color w:val="auto"/>
          <w:sz w:val="28"/>
          <w:szCs w:val="28"/>
          <w:highlight w:val="none"/>
        </w:rPr>
        <w:t>差错件导入导出</w:t>
      </w:r>
    </w:p>
    <w:p>
      <w:pPr>
        <w:pStyle w:val="14"/>
        <w:keepNext w:val="0"/>
        <w:keepLines w:val="0"/>
        <w:widowControl/>
        <w:suppressLineNumbers w:val="0"/>
        <w:spacing w:before="120" w:beforeAutospacing="0"/>
        <w:ind w:left="42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差错件支持反查及导出数据表。</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1.1.3.1.1.6 </w:t>
      </w:r>
      <w:r>
        <w:rPr>
          <w:rFonts w:hint="eastAsia" w:ascii="宋体" w:hAnsi="宋体" w:eastAsia="宋体" w:cs="宋体"/>
          <w:color w:val="auto"/>
          <w:sz w:val="28"/>
          <w:szCs w:val="28"/>
          <w:highlight w:val="none"/>
        </w:rPr>
        <w:t>统一事件汇聚</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将12345平台、12319微信公众号、随手拍、网格员上报、AI视频智能上报、物联网感知平台等上报受理的事件统一进行汇聚， 以及同步事件的处理流程、办结时限、处理结果等数据，实现平台数据共享为相似事件智能识别服务提供历史数据参考，解决导致同一个事件可能在不同渠道受理多次，造成重复受理，的情况，减少，受理人员、办理人员工作量。</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1.1.3.1.2 </w:t>
      </w:r>
      <w:r>
        <w:rPr>
          <w:rFonts w:hint="eastAsia" w:ascii="宋体" w:hAnsi="宋体" w:eastAsia="宋体" w:cs="宋体"/>
          <w:color w:val="auto"/>
          <w:sz w:val="28"/>
          <w:szCs w:val="28"/>
          <w:highlight w:val="none"/>
        </w:rPr>
        <w:t>统一分拨</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1.1.3.1.2.1 </w:t>
      </w:r>
      <w:r>
        <w:rPr>
          <w:rFonts w:hint="eastAsia" w:ascii="宋体" w:hAnsi="宋体" w:eastAsia="宋体" w:cs="宋体"/>
          <w:color w:val="auto"/>
          <w:sz w:val="28"/>
          <w:szCs w:val="28"/>
          <w:highlight w:val="none"/>
        </w:rPr>
        <w:t>统一用户登录</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能够识别系统账号，实现业务人员账号统一，一次登录多业务系统快速使用。</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1.1.3.1.2.2 </w:t>
      </w:r>
      <w:r>
        <w:rPr>
          <w:rFonts w:hint="eastAsia" w:ascii="宋体" w:hAnsi="宋体" w:eastAsia="宋体" w:cs="宋体"/>
          <w:color w:val="auto"/>
          <w:sz w:val="28"/>
          <w:szCs w:val="28"/>
          <w:highlight w:val="none"/>
        </w:rPr>
        <w:t>案件列表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在用户使用系统时，应能够展示所操作的案件列表，提供案件的相关操作功能，如查看案件信息、批转等操作。</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1.1.3.1.2.3 </w:t>
      </w:r>
      <w:r>
        <w:rPr>
          <w:rFonts w:hint="eastAsia" w:ascii="宋体" w:hAnsi="宋体" w:eastAsia="宋体" w:cs="宋体"/>
          <w:color w:val="auto"/>
          <w:sz w:val="28"/>
          <w:szCs w:val="28"/>
          <w:highlight w:val="none"/>
        </w:rPr>
        <w:t>字段设置</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在案件列表中默认显示案件基本信息，用户应能够选择这些字段是否显示。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1.1.3.1.2.4 </w:t>
      </w:r>
      <w:r>
        <w:rPr>
          <w:rFonts w:hint="eastAsia" w:ascii="宋体" w:hAnsi="宋体" w:eastAsia="宋体" w:cs="宋体"/>
          <w:color w:val="auto"/>
          <w:sz w:val="28"/>
          <w:szCs w:val="28"/>
          <w:highlight w:val="none"/>
        </w:rPr>
        <w:t>案卷筛选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在待办案件列表中，应能够根据字段内容进行筛选显示。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1.1.3.1.2.5 </w:t>
      </w:r>
      <w:r>
        <w:rPr>
          <w:rFonts w:hint="eastAsia" w:ascii="宋体" w:hAnsi="宋体" w:eastAsia="宋体" w:cs="宋体"/>
          <w:color w:val="auto"/>
          <w:sz w:val="28"/>
          <w:szCs w:val="28"/>
          <w:highlight w:val="none"/>
        </w:rPr>
        <w:t>案件详细信息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点击列表中的案件，查看案件的主要信息及相关办理信息，通过案件编号的链接，应能够查询案件的多媒体、地图位置等信息。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1.1.3.1.2.6 </w:t>
      </w:r>
      <w:r>
        <w:rPr>
          <w:rFonts w:hint="eastAsia" w:ascii="宋体" w:hAnsi="宋体" w:eastAsia="宋体" w:cs="宋体"/>
          <w:color w:val="auto"/>
          <w:sz w:val="28"/>
          <w:szCs w:val="28"/>
          <w:highlight w:val="none"/>
        </w:rPr>
        <w:t>案卷下载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系统能够将案件批量导出、下载当前案件的多媒体信息。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1.1.3.1.2.7 </w:t>
      </w:r>
      <w:r>
        <w:rPr>
          <w:rFonts w:hint="eastAsia" w:ascii="宋体" w:hAnsi="宋体" w:eastAsia="宋体" w:cs="宋体"/>
          <w:color w:val="auto"/>
          <w:sz w:val="28"/>
          <w:szCs w:val="28"/>
          <w:highlight w:val="none"/>
        </w:rPr>
        <w:t>案件回退</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在案件流转过程中，用户认为不归自己负责的案件，应可以回退给上一阶段。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1.1.3.1.2.8 </w:t>
      </w:r>
      <w:r>
        <w:rPr>
          <w:rFonts w:hint="eastAsia" w:ascii="宋体" w:hAnsi="宋体" w:eastAsia="宋体" w:cs="宋体"/>
          <w:color w:val="auto"/>
          <w:sz w:val="28"/>
          <w:szCs w:val="28"/>
          <w:highlight w:val="none"/>
        </w:rPr>
        <w:t>答复回退</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如果认为被回退的案件不合理，可以选择答复回退，而不用重新批转。</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1.1.3.1.2.9 </w:t>
      </w:r>
      <w:r>
        <w:rPr>
          <w:rFonts w:hint="eastAsia" w:ascii="宋体" w:hAnsi="宋体" w:eastAsia="宋体" w:cs="宋体"/>
          <w:color w:val="auto"/>
          <w:sz w:val="28"/>
          <w:szCs w:val="28"/>
          <w:highlight w:val="none"/>
        </w:rPr>
        <w:t>案件批转</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在案件流转过程中，用户可以通过批转的菜单将案件派遣至下一个流程。</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1.1.3.1.2.10 </w:t>
      </w:r>
      <w:r>
        <w:rPr>
          <w:rFonts w:hint="eastAsia" w:ascii="宋体" w:hAnsi="宋体" w:eastAsia="宋体" w:cs="宋体"/>
          <w:color w:val="auto"/>
          <w:sz w:val="28"/>
          <w:szCs w:val="28"/>
          <w:highlight w:val="none"/>
        </w:rPr>
        <w:t>一键派遣</w:t>
      </w:r>
    </w:p>
    <w:p>
      <w:pPr>
        <w:pStyle w:val="14"/>
        <w:keepNext w:val="0"/>
        <w:keepLines w:val="0"/>
        <w:widowControl/>
        <w:suppressLineNumbers w:val="0"/>
        <w:spacing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根据推荐派遣或其他业务规则（小类配置明确的处置部门），确定的派遣部门只有唯部门时，提供一键快捷派遣的功能。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1.1.3.1.2.11 </w:t>
      </w:r>
      <w:r>
        <w:rPr>
          <w:rFonts w:hint="eastAsia" w:ascii="宋体" w:hAnsi="宋体" w:eastAsia="宋体" w:cs="宋体"/>
          <w:color w:val="auto"/>
          <w:sz w:val="28"/>
          <w:szCs w:val="28"/>
          <w:highlight w:val="none"/>
        </w:rPr>
        <w:t>返工派遣</w:t>
      </w:r>
    </w:p>
    <w:p>
      <w:pPr>
        <w:pStyle w:val="14"/>
        <w:keepNext w:val="0"/>
        <w:keepLines w:val="0"/>
        <w:widowControl/>
        <w:suppressLineNumbers w:val="0"/>
        <w:spacing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返工的案件，再次派遣只能派遣到原处置部门。</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1.1.3.1.2.12 </w:t>
      </w:r>
      <w:r>
        <w:rPr>
          <w:rFonts w:hint="eastAsia" w:ascii="宋体" w:hAnsi="宋体" w:eastAsia="宋体" w:cs="宋体"/>
          <w:color w:val="auto"/>
          <w:sz w:val="28"/>
          <w:szCs w:val="28"/>
          <w:highlight w:val="none"/>
        </w:rPr>
        <w:t>定时派遣</w:t>
      </w:r>
    </w:p>
    <w:p>
      <w:pPr>
        <w:pStyle w:val="14"/>
        <w:keepNext w:val="0"/>
        <w:keepLines w:val="0"/>
        <w:widowControl/>
        <w:suppressLineNumbers w:val="0"/>
        <w:spacing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对案件的批转设置定时任务，到达派遣时间后，案件自动派遣并开始计时。同时系统支持对定时派遣案件进行修改定时时间和派遣部门，还支持撤销定时派遣。</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1.1.3.1.2.13 </w:t>
      </w:r>
      <w:r>
        <w:rPr>
          <w:rFonts w:hint="eastAsia" w:ascii="宋体" w:hAnsi="宋体" w:eastAsia="宋体" w:cs="宋体"/>
          <w:color w:val="auto"/>
          <w:sz w:val="28"/>
          <w:szCs w:val="28"/>
          <w:highlight w:val="none"/>
        </w:rPr>
        <w:t>主协办派遣</w:t>
      </w:r>
    </w:p>
    <w:p>
      <w:pPr>
        <w:pStyle w:val="14"/>
        <w:keepNext w:val="0"/>
        <w:keepLines w:val="0"/>
        <w:widowControl/>
        <w:suppressLineNumbers w:val="0"/>
        <w:spacing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系统支持同时派遣到多部门，可以设定主办部门、协办部门。</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1.1.3.1.2.14 </w:t>
      </w:r>
      <w:r>
        <w:rPr>
          <w:rFonts w:hint="eastAsia" w:ascii="宋体" w:hAnsi="宋体" w:eastAsia="宋体" w:cs="宋体"/>
          <w:color w:val="auto"/>
          <w:sz w:val="28"/>
          <w:szCs w:val="28"/>
          <w:highlight w:val="none"/>
        </w:rPr>
        <w:t>强制派遣</w:t>
      </w:r>
    </w:p>
    <w:p>
      <w:pPr>
        <w:pStyle w:val="14"/>
        <w:keepNext w:val="0"/>
        <w:keepLines w:val="0"/>
        <w:widowControl/>
        <w:suppressLineNumbers w:val="0"/>
        <w:spacing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指挥中心根据指挥手册或者相关文件要求，确定派遣无误的案件，而专业部门依旧反复进行回退扯皮的案件，中心要求禁止其进行回退操作，把该案件强制指定派遣给相应部门。</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1.1.3.1.2.15 </w:t>
      </w:r>
      <w:r>
        <w:rPr>
          <w:rFonts w:hint="eastAsia" w:ascii="宋体" w:hAnsi="宋体" w:eastAsia="宋体" w:cs="宋体"/>
          <w:color w:val="auto"/>
          <w:sz w:val="28"/>
          <w:szCs w:val="28"/>
          <w:highlight w:val="none"/>
        </w:rPr>
        <w:t>跨区派遣</w:t>
      </w:r>
    </w:p>
    <w:p>
      <w:pPr>
        <w:pStyle w:val="14"/>
        <w:keepNext w:val="0"/>
        <w:keepLines w:val="0"/>
        <w:widowControl/>
        <w:suppressLineNumbers w:val="0"/>
        <w:spacing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一些发生在两个区边界的案卷，可能需要协调相邻区进行派单处置，可以把案件转交给相邻区的派遣员派单到自己的区部门处置。</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1.1.3.1.2.16 </w:t>
      </w:r>
      <w:r>
        <w:rPr>
          <w:rFonts w:hint="eastAsia" w:ascii="宋体" w:hAnsi="宋体" w:eastAsia="宋体" w:cs="宋体"/>
          <w:color w:val="auto"/>
          <w:sz w:val="28"/>
          <w:szCs w:val="28"/>
          <w:highlight w:val="none"/>
        </w:rPr>
        <w:t>双派遣</w:t>
      </w:r>
    </w:p>
    <w:p>
      <w:pPr>
        <w:pStyle w:val="14"/>
        <w:keepNext w:val="0"/>
        <w:keepLines w:val="0"/>
        <w:widowControl/>
        <w:suppressLineNumbers w:val="0"/>
        <w:spacing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为了提高派给专业公司的案件处置效率，系统提供双派遣功能，即当某一案件派遣给处置部门，同时将该案件派遣给相关的监督部门，由该部门对处置部门的处置情况进行监督。</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1.1.3.1.3 </w:t>
      </w:r>
      <w:r>
        <w:rPr>
          <w:rFonts w:hint="eastAsia" w:ascii="宋体" w:hAnsi="宋体" w:eastAsia="宋体" w:cs="宋体"/>
          <w:color w:val="auto"/>
          <w:sz w:val="28"/>
          <w:szCs w:val="28"/>
          <w:highlight w:val="none"/>
        </w:rPr>
        <w:t>统一办理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目前城市事件的管理平台包括12345平台、数字城管平台、综治网格平台、e福州综合指挥平台，这些平台的受理渠道不同，数据也没有共享，导致同一个事件可能在不同平台受理多次，造成重复受理，而且事件的受理以人工为主，增加受理人员、办理人员工作量，对事件汇总、分析也带来一定的副作用。</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调研各区县事件受理情况发现，各区县智慧中心对由于平台分立导致重复事件采集情况，反馈比较强烈，不仅仅增加了受理人员工作量，而且各系统由于要各自完成受理事件闭环，导致后续的办理、反馈、归档等工作都是重复的，导致也增加了各委办局的工作量。</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因此建设统一任务处置模块在平台的业务受理时进行多渠道重复事件判断，在处置时统一进行任务展示，处置部门通过统一身份认证进入统一任务处置，直观了解当天要处理的相关事件信息，点击代办事项进入对应的业务平台进行任务处置。</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drawing>
          <wp:inline distT="0" distB="0" distL="114300" distR="114300">
            <wp:extent cx="5686425" cy="2686050"/>
            <wp:effectExtent l="0" t="0" r="9525" b="0"/>
            <wp:docPr id="24" name="图片 41" descr="1649300443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1" descr="1649300443617.png"/>
                    <pic:cNvPicPr>
                      <a:picLocks noChangeAspect="1"/>
                    </pic:cNvPicPr>
                  </pic:nvPicPr>
                  <pic:blipFill>
                    <a:blip r:embed="rId5"/>
                    <a:stretch>
                      <a:fillRect/>
                    </a:stretch>
                  </pic:blipFill>
                  <pic:spPr>
                    <a:xfrm>
                      <a:off x="0" y="0"/>
                      <a:ext cx="5686425" cy="2686050"/>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业务统一办理流程示意图</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本次通过对福州数字城管系统的协同工作子系统进行改造，改造为福州市网格化管理综合服务平台的统一业务协同服务模块，改造后的统一业务协同模块，不但支持城市管理问题的业务流转，还可以支持综治、环保、安监、食药监、消防、民政、卫计、公安、人社和司法等相关网格化管理问题的业务流转。</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采用共性业务流程引擎实现统一受理、统一分拨、统一处置，保证业务流程的一致性。统一业务协同服务实现网格化服务管理业务事项统一的调度分发办理，对用户提交符合要求和规范的请求进行统一的数据分发，通过WebService接口等方式提交给各业务系统。采用总线模式进行数据分发，统一数据交互方式，保证业务监控数据的统一性和完整性。</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1.1.3.1.3.1 </w:t>
      </w:r>
      <w:r>
        <w:rPr>
          <w:rFonts w:hint="eastAsia" w:ascii="宋体" w:hAnsi="宋体" w:eastAsia="宋体" w:cs="宋体"/>
          <w:color w:val="auto"/>
          <w:sz w:val="28"/>
          <w:szCs w:val="28"/>
          <w:highlight w:val="none"/>
        </w:rPr>
        <w:t>统一用户登录</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能够识别系统账号，实现业务人员账号统一，一次登录多业务系统快速使用。</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1.1.3.1.3.2 </w:t>
      </w:r>
      <w:r>
        <w:rPr>
          <w:rFonts w:hint="eastAsia" w:ascii="宋体" w:hAnsi="宋体" w:eastAsia="宋体" w:cs="宋体"/>
          <w:color w:val="auto"/>
          <w:sz w:val="28"/>
          <w:szCs w:val="28"/>
          <w:highlight w:val="none"/>
        </w:rPr>
        <w:t>案件列表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在用户使用系统时，应能够展示所操作的案件列表，提供案件的相关操作功能，如查看案件信息、批转等操作。</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1.1.3.1.3.3 </w:t>
      </w:r>
      <w:r>
        <w:rPr>
          <w:rFonts w:hint="eastAsia" w:ascii="宋体" w:hAnsi="宋体" w:eastAsia="宋体" w:cs="宋体"/>
          <w:color w:val="auto"/>
          <w:sz w:val="28"/>
          <w:szCs w:val="28"/>
          <w:highlight w:val="none"/>
        </w:rPr>
        <w:t>字段设置</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在案件列表中默认显示案件基本信息，用户应能够选择这些字段是否显示。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1.1.3.1.3.4 </w:t>
      </w:r>
      <w:r>
        <w:rPr>
          <w:rFonts w:hint="eastAsia" w:ascii="宋体" w:hAnsi="宋体" w:eastAsia="宋体" w:cs="宋体"/>
          <w:color w:val="auto"/>
          <w:sz w:val="28"/>
          <w:szCs w:val="28"/>
          <w:highlight w:val="none"/>
        </w:rPr>
        <w:t>案卷筛选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在待办案件列表中，应能够根据字段内容进行筛选显示。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1.1.3.1.3.5 </w:t>
      </w:r>
      <w:r>
        <w:rPr>
          <w:rFonts w:hint="eastAsia" w:ascii="宋体" w:hAnsi="宋体" w:eastAsia="宋体" w:cs="宋体"/>
          <w:color w:val="auto"/>
          <w:sz w:val="28"/>
          <w:szCs w:val="28"/>
          <w:highlight w:val="none"/>
        </w:rPr>
        <w:t>案件详细信息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点击列表中的案件，查看案件的主要信息及相关办理信息，通过案件编号的链接，应能够查询案件的多媒体、地图位置等信息。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1.1.3.1.3.6 </w:t>
      </w:r>
      <w:r>
        <w:rPr>
          <w:rFonts w:hint="eastAsia" w:ascii="宋体" w:hAnsi="宋体" w:eastAsia="宋体" w:cs="宋体"/>
          <w:color w:val="auto"/>
          <w:sz w:val="28"/>
          <w:szCs w:val="28"/>
          <w:highlight w:val="none"/>
        </w:rPr>
        <w:t>案卷下载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系统能够将案件批量导出、下载当前案件的多媒体信息。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1.1.3.1.3.7 </w:t>
      </w:r>
      <w:r>
        <w:rPr>
          <w:rFonts w:hint="eastAsia" w:ascii="宋体" w:hAnsi="宋体" w:eastAsia="宋体" w:cs="宋体"/>
          <w:color w:val="auto"/>
          <w:sz w:val="28"/>
          <w:szCs w:val="28"/>
          <w:highlight w:val="none"/>
        </w:rPr>
        <w:t>案件办理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在代办案件列表中点击“办理”进行办理等操作。</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1.1.3.1.3.8 </w:t>
      </w:r>
      <w:r>
        <w:rPr>
          <w:rFonts w:hint="eastAsia" w:ascii="宋体" w:hAnsi="宋体" w:eastAsia="宋体" w:cs="宋体"/>
          <w:color w:val="auto"/>
          <w:sz w:val="28"/>
          <w:szCs w:val="28"/>
          <w:highlight w:val="none"/>
        </w:rPr>
        <w:t>案件回退</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在案件流转过程中，用户认为不归自己负责的案件，应可以回退给上一阶段。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1.1.3.1.3.9 </w:t>
      </w:r>
      <w:r>
        <w:rPr>
          <w:rFonts w:hint="eastAsia" w:ascii="宋体" w:hAnsi="宋体" w:eastAsia="宋体" w:cs="宋体"/>
          <w:color w:val="auto"/>
          <w:sz w:val="28"/>
          <w:szCs w:val="28"/>
          <w:highlight w:val="none"/>
        </w:rPr>
        <w:t>答复回退</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如果认为被回退的案件不合理，可以选择答复回退，而不用重新批转。</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1.1.3.1.3.10 </w:t>
      </w:r>
      <w:r>
        <w:rPr>
          <w:rFonts w:hint="eastAsia" w:ascii="宋体" w:hAnsi="宋体" w:eastAsia="宋体" w:cs="宋体"/>
          <w:color w:val="auto"/>
          <w:sz w:val="28"/>
          <w:szCs w:val="28"/>
          <w:highlight w:val="none"/>
        </w:rPr>
        <w:t>经办案件</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对于自己办理过的案件，应提供单独的查询入口。</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1.1.3.1.3.11 </w:t>
      </w:r>
      <w:r>
        <w:rPr>
          <w:rFonts w:hint="eastAsia" w:ascii="宋体" w:hAnsi="宋体" w:eastAsia="宋体" w:cs="宋体"/>
          <w:color w:val="auto"/>
          <w:sz w:val="28"/>
          <w:szCs w:val="28"/>
          <w:highlight w:val="none"/>
        </w:rPr>
        <w:t>案件存档</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在问题处理完毕后，网格员核查通过的案件，应能够将案件结案存档。</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1.1.3.1.3.12 </w:t>
      </w:r>
      <w:r>
        <w:rPr>
          <w:rFonts w:hint="eastAsia" w:ascii="宋体" w:hAnsi="宋体" w:eastAsia="宋体" w:cs="宋体"/>
          <w:color w:val="auto"/>
          <w:sz w:val="28"/>
          <w:szCs w:val="28"/>
          <w:highlight w:val="none"/>
        </w:rPr>
        <w:t>授权操作</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经办人在办理案卷的过程中需要对案卷进行特殊处理，经办人可以根据权限设置向有授权权限的人员申请授权，具体包括延期办理、案件挂账和作废等授权内容。案卷进行申请授权后就会进入授权人的授权箱中，等授权人答复并通过授权意见后，经办人就可以对案卷执行授权操作，方便业务人员在特殊情况下对案卷进行处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1.1.3.1.3.13 </w:t>
      </w:r>
      <w:r>
        <w:rPr>
          <w:rFonts w:hint="eastAsia" w:ascii="宋体" w:hAnsi="宋体" w:eastAsia="宋体" w:cs="宋体"/>
          <w:color w:val="auto"/>
          <w:sz w:val="28"/>
          <w:szCs w:val="28"/>
          <w:highlight w:val="none"/>
        </w:rPr>
        <w:t>案件计时</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规定专业部门处理的工作时限，以便于进行考核。并针对不同情况，系统能够提供捆绑计时、停止和恢复计时功能。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1.1.3.1.3.14 </w:t>
      </w:r>
      <w:r>
        <w:rPr>
          <w:rFonts w:hint="eastAsia" w:ascii="宋体" w:hAnsi="宋体" w:eastAsia="宋体" w:cs="宋体"/>
          <w:color w:val="auto"/>
          <w:sz w:val="28"/>
          <w:szCs w:val="28"/>
          <w:highlight w:val="none"/>
        </w:rPr>
        <w:t>典型案件</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在案件处理过程中，对于一些比较典型的问题，值班长应可以将其作为典型案件单独保存。</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1.1.3.1.3.15 </w:t>
      </w:r>
      <w:r>
        <w:rPr>
          <w:rFonts w:hint="eastAsia" w:ascii="宋体" w:hAnsi="宋体" w:eastAsia="宋体" w:cs="宋体"/>
          <w:color w:val="auto"/>
          <w:sz w:val="28"/>
          <w:szCs w:val="28"/>
          <w:highlight w:val="none"/>
        </w:rPr>
        <w:t>相似案卷提示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系统能够根据问题类型、事发时间、事发所属网格来判断是否有相似问题。能够查看相似问题的详细信息。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1.1.3.1.3.16 </w:t>
      </w:r>
      <w:r>
        <w:rPr>
          <w:rFonts w:hint="eastAsia" w:ascii="宋体" w:hAnsi="宋体" w:eastAsia="宋体" w:cs="宋体"/>
          <w:color w:val="auto"/>
          <w:sz w:val="28"/>
          <w:szCs w:val="28"/>
          <w:highlight w:val="none"/>
        </w:rPr>
        <w:t>案件回访</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在案件结案前，如果该问题举报人要求回访，则通过登记问题时所留下的回访电话，向举报人反馈该问题的处理结果，并将回访意见填写到回访意见栏中。</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1.1.3.1.3.17 </w:t>
      </w:r>
      <w:r>
        <w:rPr>
          <w:rFonts w:hint="eastAsia" w:ascii="宋体" w:hAnsi="宋体" w:eastAsia="宋体" w:cs="宋体"/>
          <w:color w:val="auto"/>
          <w:sz w:val="28"/>
          <w:szCs w:val="28"/>
          <w:highlight w:val="none"/>
        </w:rPr>
        <w:t>采集员信息查看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在查看案件信息时，应该能够调出网格员的相关信息，以方便中心人员与网格员联系。</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1.1.3.1.3.18 </w:t>
      </w:r>
      <w:r>
        <w:rPr>
          <w:rFonts w:hint="eastAsia" w:ascii="宋体" w:hAnsi="宋体" w:eastAsia="宋体" w:cs="宋体"/>
          <w:color w:val="auto"/>
          <w:sz w:val="28"/>
          <w:szCs w:val="28"/>
          <w:highlight w:val="none"/>
        </w:rPr>
        <w:t>综合查询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能够快速查询网格化管理问题的案件信息。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1.1.3.1.3.19 </w:t>
      </w:r>
      <w:r>
        <w:rPr>
          <w:rFonts w:hint="eastAsia" w:ascii="宋体" w:hAnsi="宋体" w:eastAsia="宋体" w:cs="宋体"/>
          <w:color w:val="auto"/>
          <w:sz w:val="28"/>
          <w:szCs w:val="28"/>
          <w:highlight w:val="none"/>
        </w:rPr>
        <w:t>查询统计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此功能可以是实现监管案件的查询与统计，系统提供了两种查询方式，一是案卷快速查询，用户选择并输入条件，点击‘查询按钮’就可以看到结果。另一种是模版案卷查询，用户可以单击选择列表中的某个模版进行查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统计模块给用户提供了几种默认的报表，用户可以根据这些模板，对业务办理情况进行统计，满足领导对案卷总体情况的了解和对业务办理情况查询的需要。</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1.1.3.1.3.20 </w:t>
      </w:r>
      <w:r>
        <w:rPr>
          <w:rFonts w:hint="eastAsia" w:ascii="宋体" w:hAnsi="宋体" w:eastAsia="宋体" w:cs="宋体"/>
          <w:color w:val="auto"/>
          <w:sz w:val="28"/>
          <w:szCs w:val="28"/>
          <w:highlight w:val="none"/>
        </w:rPr>
        <w:t>即时消息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系统提供业务办理人员之间发送消息互相通讯的工具，从而提供业务人员的办事效率，接收到其他人发送的消息保存在该栏目下，操作人员可以进行删除。新案卷到达进行即时消息语音提醒。</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1.1.3.1.3.21 </w:t>
      </w:r>
      <w:r>
        <w:rPr>
          <w:rFonts w:hint="eastAsia" w:ascii="宋体" w:hAnsi="宋体" w:eastAsia="宋体" w:cs="宋体"/>
          <w:color w:val="auto"/>
          <w:sz w:val="28"/>
          <w:szCs w:val="28"/>
          <w:highlight w:val="none"/>
        </w:rPr>
        <w:t>数据对接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系统能够与地理编码子系统实现数据对接，实现案件与空间地图的结合。</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1.1.3.1.4 </w:t>
      </w:r>
      <w:r>
        <w:rPr>
          <w:rFonts w:hint="eastAsia" w:ascii="宋体" w:hAnsi="宋体" w:eastAsia="宋体" w:cs="宋体"/>
          <w:color w:val="auto"/>
          <w:sz w:val="28"/>
          <w:szCs w:val="28"/>
          <w:highlight w:val="none"/>
        </w:rPr>
        <w:t>部门联动处置</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部门联动处置系统是为了推进综合监督体系建设，进一步加强街道对辖区事务的统筹指挥调度和资源整合力度，充分发挥街道发现问题、处置问题的能力和权利，依托网格化服务管理系统逐渐完善基层治理体系一种处理机制。主要功能包括街道联动、一键联动、部门报到、综合考评、综合查询等内容。</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1.1.3.1.4.1 </w:t>
      </w:r>
      <w:r>
        <w:rPr>
          <w:rFonts w:hint="eastAsia" w:ascii="宋体" w:hAnsi="宋体" w:eastAsia="宋体" w:cs="宋体"/>
          <w:color w:val="auto"/>
          <w:sz w:val="28"/>
          <w:szCs w:val="28"/>
          <w:highlight w:val="none"/>
        </w:rPr>
        <w:t>街道联动</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1.1.3.1.4.1.1 </w:t>
      </w:r>
      <w:r>
        <w:rPr>
          <w:rStyle w:val="17"/>
          <w:rFonts w:hint="eastAsia" w:ascii="宋体" w:hAnsi="宋体" w:eastAsia="宋体" w:cs="宋体"/>
          <w:color w:val="auto"/>
          <w:sz w:val="28"/>
          <w:szCs w:val="28"/>
          <w:highlight w:val="none"/>
        </w:rPr>
        <w:t>申请联动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街道需要对某个案件进行联动时，通过案件的“办理”选项，进入表单界面，“申请联动”功能中需选择授权人、吹哨类别、报到部门、联系人、联系方式、报到时间、人员要求、特殊要求、申请详情以及根据实际情况选择是否上传附件，确定联动后案件进入街道联动待办栏。e治理app同步增加改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1.1.3.1.4.1.2 </w:t>
      </w:r>
      <w:r>
        <w:rPr>
          <w:rStyle w:val="17"/>
          <w:rFonts w:hint="eastAsia" w:ascii="宋体" w:hAnsi="宋体" w:eastAsia="宋体" w:cs="宋体"/>
          <w:color w:val="auto"/>
          <w:sz w:val="28"/>
          <w:szCs w:val="28"/>
          <w:highlight w:val="none"/>
        </w:rPr>
        <w:t>答复联动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授权人接收到街道的联动申请后，根据实际情况对申请进行答复，如果同意，案件进入吹哨状态，并同时给申请时选定的报到部门发送联动案件，如果不同意，则案件保持不变。e治理app同步增加改功能。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1.1.3.1.4.1.3 </w:t>
      </w:r>
      <w:r>
        <w:rPr>
          <w:rStyle w:val="17"/>
          <w:rFonts w:hint="eastAsia" w:ascii="宋体" w:hAnsi="宋体" w:eastAsia="宋体" w:cs="宋体"/>
          <w:color w:val="auto"/>
          <w:sz w:val="28"/>
          <w:szCs w:val="28"/>
          <w:highlight w:val="none"/>
        </w:rPr>
        <w:t>查看联动意见</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此功能主要包括两个模块，联动详情展示和报到部门反馈意见，联动详情界面主要展示申请吹哨时的详细信息，反馈意见模块主要是显示报到部门的相关信息，包括报到部门、收到时间、反馈时间、操作人员以及相关反馈意见。若相关部门未按要求填写“反馈意见”，街道可回退案件给该部门。e治理app同步增加改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1.1.3.1.4.1.4 </w:t>
      </w:r>
      <w:r>
        <w:rPr>
          <w:rStyle w:val="17"/>
          <w:rFonts w:hint="eastAsia" w:ascii="宋体" w:hAnsi="宋体" w:eastAsia="宋体" w:cs="宋体"/>
          <w:color w:val="auto"/>
          <w:sz w:val="28"/>
          <w:szCs w:val="28"/>
          <w:highlight w:val="none"/>
        </w:rPr>
        <w:t>街道评价</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报到部门反馈后，街道可以根据报到部门的收到时间、响应时间、报到效率、配合度、专业性以及担当意识等参考指标对各部门的反馈和响应情况进行评价打分。</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1.1.3.1.4.1.5 </w:t>
      </w:r>
      <w:r>
        <w:rPr>
          <w:rStyle w:val="17"/>
          <w:rFonts w:hint="eastAsia" w:ascii="宋体" w:hAnsi="宋体" w:eastAsia="宋体" w:cs="宋体"/>
          <w:color w:val="auto"/>
          <w:sz w:val="28"/>
          <w:szCs w:val="28"/>
          <w:highlight w:val="none"/>
        </w:rPr>
        <w:t>打印街道联动处理表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该模块可以将具体一条吹哨案件处理表打印成pdf文件，打印出来的pdf文件主要包含案件主要信息、报到部门相关信息、处理结果以及领导意见。</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1.1.3.1.4.2 </w:t>
      </w:r>
      <w:r>
        <w:rPr>
          <w:rFonts w:hint="eastAsia" w:ascii="宋体" w:hAnsi="宋体" w:eastAsia="宋体" w:cs="宋体"/>
          <w:color w:val="auto"/>
          <w:sz w:val="28"/>
          <w:szCs w:val="28"/>
          <w:highlight w:val="none"/>
        </w:rPr>
        <w:t>一键联动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为了简化案件上报流程，系统增加“一键联动”功能，不需要提前登记案件，街道可以通过九宫格页面一键联动栏目；通过一键联动，直接进入到吹哨界面。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其中，在申请联动界面，除了填写正常案件相同字段外，还增加了问题来源、案件类型和问题描述等基本字段，其中案件类型默认为城市管理，问题来源默认街道联动，案件发生地址默认街道办事处地址。e治理app同步增加改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1.1.3.1.4.3 </w:t>
      </w:r>
      <w:r>
        <w:rPr>
          <w:rFonts w:hint="eastAsia" w:ascii="宋体" w:hAnsi="宋体" w:eastAsia="宋体" w:cs="宋体"/>
          <w:color w:val="auto"/>
          <w:sz w:val="28"/>
          <w:szCs w:val="28"/>
          <w:highlight w:val="none"/>
        </w:rPr>
        <w:t>部门报到</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1.1.3.1.4.3.1 </w:t>
      </w:r>
      <w:r>
        <w:rPr>
          <w:rStyle w:val="17"/>
          <w:rFonts w:hint="eastAsia" w:ascii="宋体" w:hAnsi="宋体" w:eastAsia="宋体" w:cs="宋体"/>
          <w:color w:val="auto"/>
          <w:sz w:val="28"/>
          <w:szCs w:val="28"/>
          <w:highlight w:val="none"/>
        </w:rPr>
        <w:t>收到联动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街道发起的吹哨申请通过后，案件会统一显示在待办栏，各相关委办局可以通过“收到”功能进入到填表页面查看详细信息。e治理app同步增加改功能。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1.1.3.1.4.3.2 </w:t>
      </w:r>
      <w:r>
        <w:rPr>
          <w:rStyle w:val="17"/>
          <w:rFonts w:hint="eastAsia" w:ascii="宋体" w:hAnsi="宋体" w:eastAsia="宋体" w:cs="宋体"/>
          <w:color w:val="auto"/>
          <w:sz w:val="28"/>
          <w:szCs w:val="28"/>
          <w:highlight w:val="none"/>
        </w:rPr>
        <w:t>查看意见</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查看联动”功能进入功能页面，左侧标签页显示街道申请联动时的相关信息以及对各报到部门的一些具体要求，右侧标签页显示的是其他委办局填写的联动意见，最后根据实际情况填写本部门的反馈意见并反馈至街道，该案件也从并从联动待办栏中消失。e治理app同步增加改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1.1.3.1.4.3.3 </w:t>
      </w:r>
      <w:r>
        <w:rPr>
          <w:rStyle w:val="17"/>
          <w:rFonts w:hint="eastAsia" w:ascii="宋体" w:hAnsi="宋体" w:eastAsia="宋体" w:cs="宋体"/>
          <w:color w:val="auto"/>
          <w:sz w:val="28"/>
          <w:szCs w:val="28"/>
          <w:highlight w:val="none"/>
        </w:rPr>
        <w:t>查看联动成绩</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街道对联动案件评价后及时将评价表批转至区平台，并且也自动分发到委办局并可以点击下载，部门接收到联动成绩提醒后，通过提醒的消息可查看联动成绩页面，并记录当前案件读取状态，也可以通过导航栏“联动成绩”进入联动成绩页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联动成绩支持查询，相关部门可以通过案件号和联动时间两个指标进行筛选。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系统也支持评价表下载功能，可以下载街道打分后的评价表。e治理app同步增加改功能。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1.1.3.1.4.4 </w:t>
      </w:r>
      <w:r>
        <w:rPr>
          <w:rFonts w:hint="eastAsia" w:ascii="宋体" w:hAnsi="宋体" w:eastAsia="宋体" w:cs="宋体"/>
          <w:color w:val="auto"/>
          <w:sz w:val="28"/>
          <w:szCs w:val="28"/>
          <w:highlight w:val="none"/>
        </w:rPr>
        <w:t>综合查询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该模块支持对所有联动案件进行系统查询，主要参考指标就是案件号和联动时间。该模块为了方便用户快速寻找对应案件箱里的具体案件，通过输入案件号可以精确查询目标案件，或者通过选择联动时间、联动街道以及联动类别进行模糊查询匹配到对应满足条件的所有案件。</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1.1.3.1.4.5 </w:t>
      </w:r>
      <w:r>
        <w:rPr>
          <w:rFonts w:hint="eastAsia" w:ascii="宋体" w:hAnsi="宋体" w:eastAsia="宋体" w:cs="宋体"/>
          <w:color w:val="auto"/>
          <w:sz w:val="28"/>
          <w:szCs w:val="28"/>
          <w:highlight w:val="none"/>
        </w:rPr>
        <w:t>综合考评</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1.1.3.1.4.5.1 </w:t>
      </w:r>
      <w:r>
        <w:rPr>
          <w:rStyle w:val="17"/>
          <w:rFonts w:hint="eastAsia" w:ascii="宋体" w:hAnsi="宋体" w:eastAsia="宋体" w:cs="宋体"/>
          <w:color w:val="auto"/>
          <w:sz w:val="28"/>
          <w:szCs w:val="28"/>
          <w:highlight w:val="none"/>
        </w:rPr>
        <w:t>对部门考核</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该模块主要用于区网格中心对各报到部门的工作情况进行统计评价，评价指标包含报到案件数、街道评价平均分、区级响应平均分，通过以上指标对各部门进行评价考核，计算总分并进行排名，并且该模块支持统计结果导出和统计说明。</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1.1.3.1.4.5.2 </w:t>
      </w:r>
      <w:r>
        <w:rPr>
          <w:rStyle w:val="17"/>
          <w:rFonts w:hint="eastAsia" w:ascii="宋体" w:hAnsi="宋体" w:eastAsia="宋体" w:cs="宋体"/>
          <w:color w:val="auto"/>
          <w:sz w:val="28"/>
          <w:szCs w:val="28"/>
          <w:highlight w:val="none"/>
        </w:rPr>
        <w:t>对街道考核</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该模块主要用于区网格中心对各街道的工作情况进行综合评价，评价指标包含联动案件数、联动解决率和联动满意度，通过以上指标对各街道进行评价考核，计算总分并进行排名，并且系统支持考核结果导出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1.1.3.1.4.5.3 </w:t>
      </w:r>
      <w:r>
        <w:rPr>
          <w:rStyle w:val="17"/>
          <w:rFonts w:hint="eastAsia" w:ascii="宋体" w:hAnsi="宋体" w:eastAsia="宋体" w:cs="宋体"/>
          <w:color w:val="auto"/>
          <w:sz w:val="28"/>
          <w:szCs w:val="28"/>
          <w:highlight w:val="none"/>
        </w:rPr>
        <w:t>类别统计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该模块主要是根据设定的统计条件对案件箱里符合筛选条件的联动案件进行不同类别的统计查询，我们可以很直观的了解到各报到部门的总体得分和各专项分数，并且该模块还支持案件导出和统计说明。</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1.1.3.1.4.5.4 </w:t>
      </w:r>
      <w:r>
        <w:rPr>
          <w:rStyle w:val="17"/>
          <w:rFonts w:hint="eastAsia" w:ascii="宋体" w:hAnsi="宋体" w:eastAsia="宋体" w:cs="宋体"/>
          <w:color w:val="auto"/>
          <w:sz w:val="28"/>
          <w:szCs w:val="28"/>
          <w:highlight w:val="none"/>
        </w:rPr>
        <w:t>联动详细成绩</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该模块主要是根据设定的统计条件对案件箱里符合筛选条件的联动案件进行详细成绩查询，我们可以很直观的了解到各报到部门的总体得分和各专项分数，并且该模块还支持案件导出和统计说明。</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1.1.3.1.5 </w:t>
      </w:r>
      <w:r>
        <w:rPr>
          <w:rFonts w:hint="eastAsia" w:ascii="宋体" w:hAnsi="宋体" w:eastAsia="宋体" w:cs="宋体"/>
          <w:color w:val="auto"/>
          <w:sz w:val="28"/>
          <w:szCs w:val="28"/>
          <w:highlight w:val="none"/>
        </w:rPr>
        <w:t>信息采集员管理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信息采集员管理子系统主要对信息采集员队伍外包服务的管理和信息采集人员的智慧化管理。该模块针对部分因统计出错、操作失误或者其他客观问题导致考核结果与实际情况不符的，系统支持处置部门提出申诉，然后由考核部门通过多级审核确认，对考核结果进行修改。同时，针对处置部门主动作为的案件，系统支持处置部门提出申报，由考核部门通过多级审核确认，对考核结果进行修改（考核加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包括采集员三定维护、状态监控、巡更管理、采集考核、预警管理、设备管理等。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1.1.3.1.5.1 </w:t>
      </w:r>
      <w:r>
        <w:rPr>
          <w:rFonts w:hint="eastAsia" w:ascii="宋体" w:hAnsi="宋体" w:eastAsia="宋体" w:cs="宋体"/>
          <w:color w:val="auto"/>
          <w:sz w:val="28"/>
          <w:szCs w:val="28"/>
          <w:highlight w:val="none"/>
        </w:rPr>
        <w:t>监控统计指标</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考核申诉系统涉及到申诉任务的状态、阶段，情形如下：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（1）申报案件条件：主动作为。（作为考核加分）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（2）申诉情形：市级系统故障、市级操作失误、恶劣天气或突发事件、客观原因、推诿、回复不实。</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（3）申诉任务审核状态：未申诉（报）、已申诉（报）、已复核、科室已审核、中心领导审核、已过申诉时限。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（4）申诉任务当前状态：预审核、部门申诉（报）、考核员复核、科室审核、中心领导审核、结束。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（5）申诉（报）状态：未申诉、审核中、申诉（报）通过、申诉（报）不通过、已过申诉时限。</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1.1.3.1.5.2 </w:t>
      </w:r>
      <w:r>
        <w:rPr>
          <w:rFonts w:hint="eastAsia" w:ascii="宋体" w:hAnsi="宋体" w:eastAsia="宋体" w:cs="宋体"/>
          <w:color w:val="auto"/>
          <w:sz w:val="28"/>
          <w:szCs w:val="28"/>
          <w:highlight w:val="none"/>
        </w:rPr>
        <w:t>三定维护</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该模块主要用于信息采集员的人员档案建立、责任网格权限管理等方面的工作，使繁重的信息采集员人员管理工作纳入标准化、信息化，利用先进的技术手段减轻用户在人员档案管理、责任权属管理方面的工作压力。主要包括：人员档案管理、人员信息维护、巡查网格配置等</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1.1.3.1.5.2.1 </w:t>
      </w:r>
      <w:r>
        <w:rPr>
          <w:rStyle w:val="17"/>
          <w:rFonts w:hint="eastAsia" w:ascii="宋体" w:hAnsi="宋体" w:eastAsia="宋体" w:cs="宋体"/>
          <w:color w:val="auto"/>
          <w:sz w:val="28"/>
          <w:szCs w:val="28"/>
          <w:highlight w:val="none"/>
        </w:rPr>
        <w:t>人员档案管理</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人员档案管理主要用于信息采集员的人员档案查询和导入导出，使繁重的信息采集员人员管理工作纳入标准化、信息化，利用先进的技术手段，减轻用户在人员档案管理方面的工作压力</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1.1.3.1.5.2.2 </w:t>
      </w:r>
      <w:r>
        <w:rPr>
          <w:rStyle w:val="17"/>
          <w:rFonts w:hint="eastAsia" w:ascii="宋体" w:hAnsi="宋体" w:eastAsia="宋体" w:cs="宋体"/>
          <w:color w:val="auto"/>
          <w:sz w:val="28"/>
          <w:szCs w:val="28"/>
          <w:highlight w:val="none"/>
        </w:rPr>
        <w:t>人员信息维护</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人员信息维护通过人机界面建立完整的人员信息档案，保证档案的完整性、真实性，并且使档案便于查询、管理。管理员或操作员可以进行新增或修改采集员信息的操作。</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1.1.3.1.5.2.3 </w:t>
      </w:r>
      <w:r>
        <w:rPr>
          <w:rStyle w:val="17"/>
          <w:rFonts w:hint="eastAsia" w:ascii="宋体" w:hAnsi="宋体" w:eastAsia="宋体" w:cs="宋体"/>
          <w:color w:val="auto"/>
          <w:sz w:val="28"/>
          <w:szCs w:val="28"/>
          <w:highlight w:val="none"/>
        </w:rPr>
        <w:t>合同管理</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合同信息通过信息采集员档案界面进行上传，支持添加相关身份证、劳动合同附件信息，并关联信息采集人员，便于对人员合同信息管理。</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1.1.3.1.5.2.4 </w:t>
      </w:r>
      <w:r>
        <w:rPr>
          <w:rStyle w:val="17"/>
          <w:rFonts w:hint="eastAsia" w:ascii="宋体" w:hAnsi="宋体" w:eastAsia="宋体" w:cs="宋体"/>
          <w:color w:val="auto"/>
          <w:sz w:val="28"/>
          <w:szCs w:val="28"/>
          <w:highlight w:val="none"/>
        </w:rPr>
        <w:t>人事分析</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通过“一张表”的统计要求，对人员信息录入字段完整度、在职人数、在职率，离职人数、离职率进行统计，支持时间和区域条件进行查询统计报表，支持日、月、年时间进行生成统计报表数据。</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1.1.3.1.5.2.5 </w:t>
      </w:r>
      <w:r>
        <w:rPr>
          <w:rStyle w:val="17"/>
          <w:rFonts w:hint="eastAsia" w:ascii="宋体" w:hAnsi="宋体" w:eastAsia="宋体" w:cs="宋体"/>
          <w:color w:val="auto"/>
          <w:sz w:val="28"/>
          <w:szCs w:val="28"/>
          <w:highlight w:val="none"/>
        </w:rPr>
        <w:t>巡查网格配置</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当新增采集员或责任网格有调整时，操作员、领导、管理员完成信息采集员与责任网格对应配置关系，明确信息采集员的工作范围、作业区域。</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1.1.3.1.5.2.6 </w:t>
      </w:r>
      <w:r>
        <w:rPr>
          <w:rStyle w:val="17"/>
          <w:rFonts w:hint="eastAsia" w:ascii="宋体" w:hAnsi="宋体" w:eastAsia="宋体" w:cs="宋体"/>
          <w:color w:val="auto"/>
          <w:sz w:val="28"/>
          <w:szCs w:val="28"/>
          <w:highlight w:val="none"/>
        </w:rPr>
        <w:t>查看巡查网格</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点击城区选项能够在地图上展现出本城区内的各个责任网格区域范围、以颜色区分各个责任网格区域的四至边界、地图支持放大、缩小、打印功能。点击单个责任网格区域，则地图上自动放大到相应级别，且能够显示出范围、四至边界以颜色区分、地图支持放大、缩小、打印功能。地图做在单独页面上，增加地图显示框的大小，更方便查看责任网格边界和相关信息。</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1.1.3.1.5.2.7 </w:t>
      </w:r>
      <w:r>
        <w:rPr>
          <w:rStyle w:val="17"/>
          <w:rFonts w:hint="eastAsia" w:ascii="宋体" w:hAnsi="宋体" w:eastAsia="宋体" w:cs="宋体"/>
          <w:color w:val="auto"/>
          <w:sz w:val="28"/>
          <w:szCs w:val="28"/>
          <w:highlight w:val="none"/>
        </w:rPr>
        <w:t>配置巡查网格</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系统按照规则自动生成责任网格编号，用户输入责任网格相关属性信息，然后选择该责任网格相对应的单元网格完成配置。配置责任网格过程中，对责任网格的两个配置规则进行检测，并给出明确的提示。</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1.1.3.1.5.2.8 </w:t>
      </w:r>
      <w:r>
        <w:rPr>
          <w:rStyle w:val="17"/>
          <w:rFonts w:hint="eastAsia" w:ascii="宋体" w:hAnsi="宋体" w:eastAsia="宋体" w:cs="宋体"/>
          <w:color w:val="auto"/>
          <w:sz w:val="28"/>
          <w:szCs w:val="28"/>
          <w:highlight w:val="none"/>
        </w:rPr>
        <w:t>配置权限</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责任网格配置权限只配置给业务处室。</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1.1.3.1.5.3 </w:t>
      </w:r>
      <w:r>
        <w:rPr>
          <w:rFonts w:hint="eastAsia" w:ascii="宋体" w:hAnsi="宋体" w:eastAsia="宋体" w:cs="宋体"/>
          <w:color w:val="auto"/>
          <w:sz w:val="28"/>
          <w:szCs w:val="28"/>
          <w:highlight w:val="none"/>
        </w:rPr>
        <w:t>状态监控</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操作员、领导、管理员登录系统后，显示全部信息采集员当天的情况列表，可对信息采集工作情况进行实时监控。如对超过规则库中定义的预警阈值人、网格进行预警提示。另外可根据用户提供的条件筛选信息采集员信息进行监控查看。</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1.1.3.1.5.3.1 </w:t>
      </w:r>
      <w:r>
        <w:rPr>
          <w:rStyle w:val="17"/>
          <w:rFonts w:hint="eastAsia" w:ascii="宋体" w:hAnsi="宋体" w:eastAsia="宋体" w:cs="宋体"/>
          <w:color w:val="auto"/>
          <w:sz w:val="28"/>
          <w:szCs w:val="28"/>
          <w:highlight w:val="none"/>
        </w:rPr>
        <w:t>“责任网格”查询</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增加“责任网格”查询功能，可以查看责任网格的基本信息，在地图上查看责任网格边界。</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1.1.3.1.5.3.2 </w:t>
      </w:r>
      <w:r>
        <w:rPr>
          <w:rStyle w:val="17"/>
          <w:rFonts w:hint="eastAsia" w:ascii="宋体" w:hAnsi="宋体" w:eastAsia="宋体" w:cs="宋体"/>
          <w:color w:val="auto"/>
          <w:sz w:val="28"/>
          <w:szCs w:val="28"/>
          <w:highlight w:val="none"/>
        </w:rPr>
        <w:t>“巡查网格”查询</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增加“巡查网格”查询功能，可以查看巡查网格的基本信息，配置的人员，在前在岗的人员；地图中可用颜色区分巡查网格是否有人在岗。</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1.1.3.1.5.3.3 </w:t>
      </w:r>
      <w:r>
        <w:rPr>
          <w:rStyle w:val="17"/>
          <w:rFonts w:hint="eastAsia" w:ascii="宋体" w:hAnsi="宋体" w:eastAsia="宋体" w:cs="宋体"/>
          <w:color w:val="auto"/>
          <w:sz w:val="28"/>
          <w:szCs w:val="28"/>
          <w:highlight w:val="none"/>
        </w:rPr>
        <w:t>管理提示</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一年365天内，在一个区域内巡查累计超过三个月（90天）的，系统自动将责任网格和采集员名字置为红色字体，同时在保存时弹出友好提示。</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需提供“需三定采集员查询”，可查看查询结果中某位采集员的超期责任网格明细。</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采集员进行轨迹查询中，对采集员在某点停留10分钟以上的时间段给予醒目提示：对于空挡时间段（比如12:15-12:55之间没有轨迹）给予醒目提示，可给出统计功能。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1.1.3.1.5.3.4 </w:t>
      </w:r>
      <w:r>
        <w:rPr>
          <w:rStyle w:val="17"/>
          <w:rFonts w:hint="eastAsia" w:ascii="宋体" w:hAnsi="宋体" w:eastAsia="宋体" w:cs="宋体"/>
          <w:color w:val="auto"/>
          <w:sz w:val="28"/>
          <w:szCs w:val="28"/>
          <w:highlight w:val="none"/>
        </w:rPr>
        <w:t>考勤查询</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对每天员工考勤情况进行自动记录，包括迟到、早退、旷到等考勤情况的记录，同时对员工工作时间进行统计，实现信息采集员考勤的实时管理，对每天的考勤情况进行细化分析。主要实现功能：</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对当天的迟到、早退、旷到、串岗等情况进行统计；</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输入查询时间，以天为单位，不可以查询几天、周、月，只能查询以前某天或者本日的考勤情况；</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可以输入单个信息采集员进行筛选查询。</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1.1.3.1.5.3.5 </w:t>
      </w:r>
      <w:r>
        <w:rPr>
          <w:rStyle w:val="17"/>
          <w:rFonts w:hint="eastAsia" w:ascii="宋体" w:hAnsi="宋体" w:eastAsia="宋体" w:cs="宋体"/>
          <w:color w:val="auto"/>
          <w:sz w:val="28"/>
          <w:szCs w:val="28"/>
          <w:highlight w:val="none"/>
        </w:rPr>
        <w:t>考勤统计</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对某个时间段、周、月的员工的考勤情况进行统计分析，便于考勤情况统计，最终数据作为考勤分考评的数据基础。</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操作员输入时间段、周、月、年、考勤员姓名，系统根据输入项的内容输出全部考勤员或者单个考勤员的考勤统计数据。</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1.1.3.1.5.4 </w:t>
      </w:r>
      <w:r>
        <w:rPr>
          <w:rFonts w:hint="eastAsia" w:ascii="宋体" w:hAnsi="宋体" w:eastAsia="宋体" w:cs="宋体"/>
          <w:color w:val="auto"/>
          <w:sz w:val="28"/>
          <w:szCs w:val="28"/>
          <w:highlight w:val="none"/>
        </w:rPr>
        <w:t>巡更管理</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采取定点、定时、定路线的方法对道路、街巷进行巡查。管理人员可以按照责任网格定制巡更标志点，系统生成并制作二维码标牌。信息采集员在城管通手机上对预先设置二维码标牌进行巡更考勤。根据信息采集员对巡更点打点时通过GPS获得的位置和预先设定的巡更点的位置进行对比，如果两者的距离在设定的范围内，意味本次考勤成功。在实际使用中，由于GPS会存在漂移，如建筑物、天气等因素，在巡更定位时还要综合考虑偏差，综合以上，信息采集员发出巡更指令后，系统能够记录以下四种状态：巡更成功、超出范围、GPS未开启、GPS未定位四种状态。主要模块应包括：巡更考勤管理、巡更轨迹展示、巡更统计等。</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1.1.3.1.5.4.1 </w:t>
      </w:r>
      <w:r>
        <w:rPr>
          <w:rStyle w:val="17"/>
          <w:rFonts w:hint="eastAsia" w:ascii="宋体" w:hAnsi="宋体" w:eastAsia="宋体" w:cs="宋体"/>
          <w:color w:val="auto"/>
          <w:sz w:val="28"/>
          <w:szCs w:val="28"/>
          <w:highlight w:val="none"/>
        </w:rPr>
        <w:t>巡更点设置</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管理人员在管理后台根据信息采集员的巡更路线设置巡更点。</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1.1.3.1.5.4.2 </w:t>
      </w:r>
      <w:r>
        <w:rPr>
          <w:rStyle w:val="17"/>
          <w:rFonts w:hint="eastAsia" w:ascii="宋体" w:hAnsi="宋体" w:eastAsia="宋体" w:cs="宋体"/>
          <w:color w:val="auto"/>
          <w:sz w:val="28"/>
          <w:szCs w:val="28"/>
          <w:highlight w:val="none"/>
        </w:rPr>
        <w:t>巡更考勤管理</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信息采集员在规定的巡更路线上，经过巡更点时使用城管通手机进行打点。是城管通巡更管理界面。在该页面，信息采集员可以查看到当天要巡更的圈数、巡更点的位置、以及巡更点打点状态。为查看巡更点在地图中的位置。为非正常巡更状态下，会对信息采集员进行提示。</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1.1.3.1.5.4.3 </w:t>
      </w:r>
      <w:r>
        <w:rPr>
          <w:rStyle w:val="17"/>
          <w:rFonts w:hint="eastAsia" w:ascii="宋体" w:hAnsi="宋体" w:eastAsia="宋体" w:cs="宋体"/>
          <w:color w:val="auto"/>
          <w:sz w:val="28"/>
          <w:szCs w:val="28"/>
          <w:highlight w:val="none"/>
        </w:rPr>
        <w:t>巡更轨迹展示</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根据信息采集员巡更情况，形象的在大屏系统上展示信息采集员的轨迹。点击大屏系统的信息采集员巡更演示，可以看到信息采集员巡更情况。</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1.1.3.1.5.4.4 </w:t>
      </w:r>
      <w:r>
        <w:rPr>
          <w:rStyle w:val="17"/>
          <w:rFonts w:hint="eastAsia" w:ascii="宋体" w:hAnsi="宋体" w:eastAsia="宋体" w:cs="宋体"/>
          <w:color w:val="auto"/>
          <w:sz w:val="28"/>
          <w:szCs w:val="28"/>
          <w:highlight w:val="none"/>
        </w:rPr>
        <w:t>巡更统计</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对信息采集员巡更整体情况进行统计。</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对信息采集员巡更点的具体巡更情况。</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信息采集员巡更情况统计表。</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根据信息采集员的巡更点打点时间，达到对信息采集员的考勤管理。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1.1.3.1.5.5 </w:t>
      </w:r>
      <w:r>
        <w:rPr>
          <w:rFonts w:hint="eastAsia" w:ascii="宋体" w:hAnsi="宋体" w:eastAsia="宋体" w:cs="宋体"/>
          <w:color w:val="auto"/>
          <w:sz w:val="28"/>
          <w:szCs w:val="28"/>
          <w:highlight w:val="none"/>
        </w:rPr>
        <w:t>采集考核</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根据采集员上报案卷量、漏报情况及人员到岗情况等进行分类汇总，考评单位可参考相关统计数据对采集员或采集公司进行考核评定，给考核管理提供有效的数据支持。</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1.1.3.1.5.5.1 </w:t>
      </w:r>
      <w:r>
        <w:rPr>
          <w:rStyle w:val="17"/>
          <w:rFonts w:hint="eastAsia" w:ascii="宋体" w:hAnsi="宋体" w:eastAsia="宋体" w:cs="宋体"/>
          <w:color w:val="auto"/>
          <w:sz w:val="28"/>
          <w:szCs w:val="28"/>
          <w:highlight w:val="none"/>
        </w:rPr>
        <w:t>责任划分</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管理信息采集员部门管理所属网格辖区绑定。</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1.1.3.1.5.5.2 </w:t>
      </w:r>
      <w:r>
        <w:rPr>
          <w:rStyle w:val="17"/>
          <w:rFonts w:hint="eastAsia" w:ascii="宋体" w:hAnsi="宋体" w:eastAsia="宋体" w:cs="宋体"/>
          <w:color w:val="auto"/>
          <w:sz w:val="28"/>
          <w:szCs w:val="28"/>
          <w:highlight w:val="none"/>
        </w:rPr>
        <w:t>网格分组</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通过对信息采集员部门所属网格进行分组，区分各区域小组网格要求。</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1.1.3.1.5.5.3 </w:t>
      </w:r>
      <w:r>
        <w:rPr>
          <w:rStyle w:val="17"/>
          <w:rFonts w:hint="eastAsia" w:ascii="宋体" w:hAnsi="宋体" w:eastAsia="宋体" w:cs="宋体"/>
          <w:color w:val="auto"/>
          <w:sz w:val="28"/>
          <w:szCs w:val="28"/>
          <w:highlight w:val="none"/>
        </w:rPr>
        <w:t>班次定义</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对信息采集员考勤班次时间进行配置，便于对信息采集员考勤的标准时限进行要求。</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1.1.3.1.5.5.4 </w:t>
      </w:r>
      <w:r>
        <w:rPr>
          <w:rStyle w:val="17"/>
          <w:rFonts w:hint="eastAsia" w:ascii="宋体" w:hAnsi="宋体" w:eastAsia="宋体" w:cs="宋体"/>
          <w:color w:val="auto"/>
          <w:sz w:val="28"/>
          <w:szCs w:val="28"/>
          <w:highlight w:val="none"/>
        </w:rPr>
        <w:t>网格班次</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通过对信息采集部门网格分组绑定考勤班次配置，已保障现场信息采集员考勤根据实际考勤要求进行的个性化配置。</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1.1.3.1.5.5.5 </w:t>
      </w:r>
      <w:r>
        <w:rPr>
          <w:rStyle w:val="17"/>
          <w:rFonts w:hint="eastAsia" w:ascii="宋体" w:hAnsi="宋体" w:eastAsia="宋体" w:cs="宋体"/>
          <w:color w:val="auto"/>
          <w:sz w:val="28"/>
          <w:szCs w:val="28"/>
          <w:highlight w:val="none"/>
        </w:rPr>
        <w:t>排班生成</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管理信息采集部门排班计划生成，根据采集部门绑定责任网格进行分组排班，支持排班表导出模板及导入数据。在该页面中，可根据时间条件进行展示排班情况。</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1.1.3.1.5.5.6 </w:t>
      </w:r>
      <w:r>
        <w:rPr>
          <w:rStyle w:val="17"/>
          <w:rFonts w:hint="eastAsia" w:ascii="宋体" w:hAnsi="宋体" w:eastAsia="宋体" w:cs="宋体"/>
          <w:color w:val="auto"/>
          <w:sz w:val="28"/>
          <w:szCs w:val="28"/>
          <w:highlight w:val="none"/>
        </w:rPr>
        <w:t>APP打卡考勤</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信息采集员在岗期间，可根据设置的早午晚三班考勤时限内，进行移动端APP打卡考勤，超出时限、不在责任网格内进行考勤打卡，则被统计为异常打卡 数据，并支持采集员管理移动端、电脑端对网格员考勤、缺勤情况进行统计查看。</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1.1.3.1.5.5.7 </w:t>
      </w:r>
      <w:r>
        <w:rPr>
          <w:rStyle w:val="17"/>
          <w:rFonts w:hint="eastAsia" w:ascii="宋体" w:hAnsi="宋体" w:eastAsia="宋体" w:cs="宋体"/>
          <w:color w:val="auto"/>
          <w:sz w:val="28"/>
          <w:szCs w:val="28"/>
          <w:highlight w:val="none"/>
        </w:rPr>
        <w:t>缺岗责任网格</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采集员可能存在长时间缺岗网格的情况，因此需要在采集员在缺岗半小时后，即给管理中心发送消息提醒“XX采集员已缺岗半小时，请及时确认！”</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预警规则：采集员脱离责任网格超过半小时</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1.1.3.1.5.5.8 </w:t>
      </w:r>
      <w:r>
        <w:rPr>
          <w:rStyle w:val="17"/>
          <w:rFonts w:hint="eastAsia" w:ascii="宋体" w:hAnsi="宋体" w:eastAsia="宋体" w:cs="宋体"/>
          <w:color w:val="auto"/>
          <w:sz w:val="28"/>
          <w:szCs w:val="28"/>
          <w:highlight w:val="none"/>
        </w:rPr>
        <w:t>在岗情况展示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系统根据后台配置排班计划，对各区县信息采集员应在岗，在岗、缺岗人数情况进行统计展示，反查显示每个人员的情况，并支持查看人员详情、工作情况、实时轨迹等相关展示。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1.1.3.1.5.6 </w:t>
      </w:r>
      <w:r>
        <w:rPr>
          <w:rFonts w:hint="eastAsia" w:ascii="宋体" w:hAnsi="宋体" w:eastAsia="宋体" w:cs="宋体"/>
          <w:color w:val="auto"/>
          <w:sz w:val="28"/>
          <w:szCs w:val="28"/>
          <w:highlight w:val="none"/>
        </w:rPr>
        <w:t>预警管理</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采集员存在异常情况进行系统化监控预警，管理单位可通过预警功能对信息采集员在岗工作情况进行考评监督，并及时提醒，避免信息采集员在工作中存在问题未及时处置导致信息采集员管理出现问题。系统能够记录以下六种异常状态：长时间未产生工作量、离线、信号异常、跨网格、停留五种异常。主要模块包含：静默提醒、离线提醒、停留提醒、脱岗提醒、信号异常提醒、预警配置、预警提示、预警查询；并在监督指挥大屏提供对应功能模块，包括采集员实时预警、在岗情况展示、监督员管理。</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1.1.3.1.5.6.1 </w:t>
      </w:r>
      <w:r>
        <w:rPr>
          <w:rStyle w:val="17"/>
          <w:rFonts w:hint="eastAsia" w:ascii="宋体" w:hAnsi="宋体" w:eastAsia="宋体" w:cs="宋体"/>
          <w:color w:val="auto"/>
          <w:sz w:val="28"/>
          <w:szCs w:val="28"/>
          <w:highlight w:val="none"/>
        </w:rPr>
        <w:t>静默提醒</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当前经常出现采集员较长时间未上报、核实、核查的情况，因此需要设置在采集员连续一段时间（如1小时）未产生工作量的情况下，给其发布一则消息提醒“您已超过一个小时未产生工作量，请加强巡逻！”</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预警规则:超过一定时长未产生工作量，时长可配置，如1小时、2小时等。</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1.1.3.1.5.6.2 </w:t>
      </w:r>
      <w:r>
        <w:rPr>
          <w:rStyle w:val="17"/>
          <w:rFonts w:hint="eastAsia" w:ascii="宋体" w:hAnsi="宋体" w:eastAsia="宋体" w:cs="宋体"/>
          <w:color w:val="auto"/>
          <w:sz w:val="28"/>
          <w:szCs w:val="28"/>
          <w:highlight w:val="none"/>
        </w:rPr>
        <w:t>采集员离线提醒</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采集员可能存在退出e治理（离线）的情况，因此需要在采集员离线半小时后，即给管理中心发送消息提醒“XX采集员已离线半小时，请及时确认！”</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预警规则：当班采集员离线超过半小时</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1.1.3.1.5.6.3 </w:t>
      </w:r>
      <w:r>
        <w:rPr>
          <w:rStyle w:val="17"/>
          <w:rFonts w:hint="eastAsia" w:ascii="宋体" w:hAnsi="宋体" w:eastAsia="宋体" w:cs="宋体"/>
          <w:color w:val="auto"/>
          <w:sz w:val="28"/>
          <w:szCs w:val="28"/>
          <w:highlight w:val="none"/>
        </w:rPr>
        <w:t>采集员停留提醒</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采集员可能存在长时间停留在一个位置（偏差100米）的情况，因此需要在采集员停留半小时后，即给管理中心发送消息提醒“XX采集员已停留半小时，请及时确认！”</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预警规则：超过半小时，停留在一个位置（偏差100米）</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1.1.3.1.5.6.4 </w:t>
      </w:r>
      <w:r>
        <w:rPr>
          <w:rStyle w:val="17"/>
          <w:rFonts w:hint="eastAsia" w:ascii="宋体" w:hAnsi="宋体" w:eastAsia="宋体" w:cs="宋体"/>
          <w:color w:val="auto"/>
          <w:sz w:val="28"/>
          <w:szCs w:val="28"/>
          <w:highlight w:val="none"/>
        </w:rPr>
        <w:t>采集员脱岗提醒</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采集员可能存在长时间脱离网格的情况，因此需要在采集员在脱岗半小时后，即给管理中心发送消息提醒“XX采集员已脱岗半小时，请及时确认！”</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预警规则：采集员脱离责任网格超过半小时</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1.1.3.1.5.6.5 </w:t>
      </w:r>
      <w:r>
        <w:rPr>
          <w:rStyle w:val="17"/>
          <w:rFonts w:hint="eastAsia" w:ascii="宋体" w:hAnsi="宋体" w:eastAsia="宋体" w:cs="宋体"/>
          <w:color w:val="auto"/>
          <w:sz w:val="28"/>
          <w:szCs w:val="28"/>
          <w:highlight w:val="none"/>
        </w:rPr>
        <w:t>采集员信号异常提醒</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采集员可能存在长时间信号异常（定位轨迹异常）的情况，因此需要在采集员在信号异常半小时后，即给管理中心发送消息提醒“XX采集员信号异常，请及时确认！”</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预警规则：采集员信号异常超过半小时</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1.1.3.1.5.6.6 </w:t>
      </w:r>
      <w:r>
        <w:rPr>
          <w:rStyle w:val="17"/>
          <w:rFonts w:hint="eastAsia" w:ascii="宋体" w:hAnsi="宋体" w:eastAsia="宋体" w:cs="宋体"/>
          <w:color w:val="auto"/>
          <w:sz w:val="28"/>
          <w:szCs w:val="28"/>
          <w:highlight w:val="none"/>
        </w:rPr>
        <w:t>预警配置</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管理人员可对信息采集员预警消息进行配置，并通过区域、采集员类型、预警类型及管理人员进行配置。</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1.1.3.1.5.6.7 </w:t>
      </w:r>
      <w:r>
        <w:rPr>
          <w:rStyle w:val="17"/>
          <w:rFonts w:hint="eastAsia" w:ascii="宋体" w:hAnsi="宋体" w:eastAsia="宋体" w:cs="宋体"/>
          <w:color w:val="auto"/>
          <w:sz w:val="28"/>
          <w:szCs w:val="28"/>
          <w:highlight w:val="none"/>
        </w:rPr>
        <w:t>预警提示</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信息采集员在岗期间，出现异常情况达到系统配置的时限后，将会对相关关联人员发送预警消息，网格员自身APP也会进行提示预警情况，要求及时处置。预警消息支持提前如10分钟进行提示，信息采集员进行预警规避。</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1.1.3.1.5.6.8 </w:t>
      </w:r>
      <w:r>
        <w:rPr>
          <w:rStyle w:val="17"/>
          <w:rFonts w:hint="eastAsia" w:ascii="宋体" w:hAnsi="宋体" w:eastAsia="宋体" w:cs="宋体"/>
          <w:color w:val="auto"/>
          <w:sz w:val="28"/>
          <w:szCs w:val="28"/>
          <w:highlight w:val="none"/>
        </w:rPr>
        <w:t>预警查询</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信息采集员存在异常后达到要求考核时限，则会生成预警记录，预警记录分为长时间未产生工作量、离线、信号异常、跨网格、停留五类，支持数据根据时间、区域条件进行查询并统计导出数据。</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1.1.3.1.5.6.9 </w:t>
      </w:r>
      <w:r>
        <w:rPr>
          <w:rStyle w:val="17"/>
          <w:rFonts w:hint="eastAsia" w:ascii="宋体" w:hAnsi="宋体" w:eastAsia="宋体" w:cs="宋体"/>
          <w:color w:val="auto"/>
          <w:sz w:val="28"/>
          <w:szCs w:val="28"/>
          <w:highlight w:val="none"/>
        </w:rPr>
        <w:t>采集员实时预警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预警信息在大屏上滚动列表展示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1、显示最近1个小时的预警，如果1个小时都没有预警，滚动显示为“无预警”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2、点击列表中的预警信息，打开信息采集员主页，查看人员工作情况和异常次数。</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1.1.3.1.5.6.10 </w:t>
      </w:r>
      <w:r>
        <w:rPr>
          <w:rStyle w:val="17"/>
          <w:rFonts w:hint="eastAsia" w:ascii="宋体" w:hAnsi="宋体" w:eastAsia="宋体" w:cs="宋体"/>
          <w:color w:val="auto"/>
          <w:sz w:val="28"/>
          <w:szCs w:val="28"/>
          <w:highlight w:val="none"/>
        </w:rPr>
        <w:t>在岗情况展示</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系统根据后台配置排班计划，对各区县信息采集员应在岗，在岗、缺岗人数情况进行统计展示，反查显示每个人员的情况，并支持查看人员详情、工作情况、实时轨迹等相关展示。</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1.1.3.1.5.6.11 </w:t>
      </w:r>
      <w:r>
        <w:rPr>
          <w:rStyle w:val="17"/>
          <w:rFonts w:hint="eastAsia" w:ascii="宋体" w:hAnsi="宋体" w:eastAsia="宋体" w:cs="宋体"/>
          <w:color w:val="auto"/>
          <w:sz w:val="28"/>
          <w:szCs w:val="28"/>
          <w:highlight w:val="none"/>
        </w:rPr>
        <w:t>监督员管理</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监督指挥大屏通过一张图的方式进行展示信息采集员实时情况，当前在岗人员数量及实时定位生成人员图标，并显示在地图位置，人员图标左侧显示当前状态，如现在存在异常，则显示黄色“！”，如当前正常，则显示绿色“√”，便于管理人员快速定位信息采集员当前异常，并支持点击地图人员图标或人员列表，查看人员信息及工作情况、异常次数及轨迹展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1.1.3.1.5.7 </w:t>
      </w:r>
      <w:r>
        <w:rPr>
          <w:rFonts w:hint="eastAsia" w:ascii="宋体" w:hAnsi="宋体" w:eastAsia="宋体" w:cs="宋体"/>
          <w:color w:val="auto"/>
          <w:sz w:val="28"/>
          <w:szCs w:val="28"/>
          <w:highlight w:val="none"/>
        </w:rPr>
        <w:t>考核申诉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系统支持考核申诉功能。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（1）考核申诉：产生监察点后，通过考核申诉功能，进行考核申诉申请，考核部门通过多级审核同意后，可以对工单扣分监察点指标进行修改。</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（2）监察点申报：案件结案后，对于主动作为的案件，相关部门可以申请主动作为监察点，作为部门考核加分指标。</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1.1.3.1.5.7.1 </w:t>
      </w:r>
      <w:r>
        <w:rPr>
          <w:rStyle w:val="17"/>
          <w:rFonts w:hint="eastAsia" w:ascii="宋体" w:hAnsi="宋体" w:eastAsia="宋体" w:cs="宋体"/>
          <w:color w:val="auto"/>
          <w:sz w:val="28"/>
          <w:szCs w:val="28"/>
          <w:highlight w:val="none"/>
        </w:rPr>
        <w:t>预审核</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绩效评价涉及的考核指标，由预审核人员对此类案件进行预审核，预审核属实的案件，进入部门申诉阶段；预审核不属实的案件，系统直接剔除对应监察点指标。</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1.1.3.1.5.7.2 </w:t>
      </w:r>
      <w:r>
        <w:rPr>
          <w:rStyle w:val="17"/>
          <w:rFonts w:hint="eastAsia" w:ascii="宋体" w:hAnsi="宋体" w:eastAsia="宋体" w:cs="宋体"/>
          <w:color w:val="auto"/>
          <w:sz w:val="28"/>
          <w:szCs w:val="28"/>
          <w:highlight w:val="none"/>
        </w:rPr>
        <w:t>部门申诉申报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监察点产生后，案件状态为未申诉，部门可根据申诉（报）状态查询各状态案件、也可根据案件号查询案件监察点名称、监察点产生时间、监察点。</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申诉：部门登陆申诉系统可对本部门已产生监察点案件进行申诉，申诉界面可填写申诉情形、申诉意见、申诉附件。</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时限：可申诉时间为监察点产生时间后三个自然日内，时限内未申诉，案件状态展示为已过申诉时限。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申报：部门申报可申报本部门经办案件，申报界面填写申报意见、附件。部门申诉申报后，案件流转至考核员复核阶段。</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1.1.3.1.5.7.3 </w:t>
      </w:r>
      <w:r>
        <w:rPr>
          <w:rStyle w:val="17"/>
          <w:rFonts w:hint="eastAsia" w:ascii="宋体" w:hAnsi="宋体" w:eastAsia="宋体" w:cs="宋体"/>
          <w:color w:val="auto"/>
          <w:sz w:val="28"/>
          <w:szCs w:val="28"/>
          <w:highlight w:val="none"/>
        </w:rPr>
        <w:t>考核员复核</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部门申诉申报的案件先由考核员对案件进行初步复核，考核员根据情况填写审核结果（结果可填写同意、不同意、疑难）、审核意见、附件，审核意见自行填写。考核员复核后，案件流转至科室审核阶段。</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1.1.3.1.5.7.4 </w:t>
      </w:r>
      <w:r>
        <w:rPr>
          <w:rStyle w:val="17"/>
          <w:rFonts w:hint="eastAsia" w:ascii="宋体" w:hAnsi="宋体" w:eastAsia="宋体" w:cs="宋体"/>
          <w:color w:val="auto"/>
          <w:sz w:val="28"/>
          <w:szCs w:val="28"/>
          <w:highlight w:val="none"/>
        </w:rPr>
        <w:t>科室审核</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考核员复核的案件，由科室对案件进行二次审核，科室根据情况填写审核结果、审核意见、附件。若审核结果填写同意或不同意，案件审核流程结束；若审核结果为疑难，案件流转至中心领导审核阶段。</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1.1.3.1.5.7.5 </w:t>
      </w:r>
      <w:r>
        <w:rPr>
          <w:rStyle w:val="17"/>
          <w:rFonts w:hint="eastAsia" w:ascii="宋体" w:hAnsi="宋体" w:eastAsia="宋体" w:cs="宋体"/>
          <w:color w:val="auto"/>
          <w:sz w:val="28"/>
          <w:szCs w:val="28"/>
          <w:highlight w:val="none"/>
        </w:rPr>
        <w:t>中心领导审核</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科室审核结果为疑难的案件，由中心领导审核。中心领导可对疑难案件审核为同意或不同意，案件审核流程结束。</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1.1.3.1.5.8 </w:t>
      </w:r>
      <w:r>
        <w:rPr>
          <w:rFonts w:hint="eastAsia" w:ascii="宋体" w:hAnsi="宋体" w:eastAsia="宋体" w:cs="宋体"/>
          <w:color w:val="auto"/>
          <w:sz w:val="28"/>
          <w:szCs w:val="28"/>
          <w:highlight w:val="none"/>
        </w:rPr>
        <w:t>设备管理</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设备档案管理主要用于信息采集员的移动终端设备档案查询和导入导出，使信息采集人员设备的信息、管理、下发、使用、回收一系列流程可通过信息化手段进行管理留痕，加强对信息采集员设备使用情况的管理。</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1.1.3.1.5.8.1 </w:t>
      </w:r>
      <w:r>
        <w:rPr>
          <w:rStyle w:val="17"/>
          <w:rFonts w:hint="eastAsia" w:ascii="宋体" w:hAnsi="宋体" w:eastAsia="宋体" w:cs="宋体"/>
          <w:color w:val="auto"/>
          <w:sz w:val="28"/>
          <w:szCs w:val="28"/>
          <w:highlight w:val="none"/>
        </w:rPr>
        <w:t>新增设备</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管理人员可以通过设备表单进行设备信息录入保存。</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1.1.3.1.5.8.2 </w:t>
      </w:r>
      <w:r>
        <w:rPr>
          <w:rStyle w:val="17"/>
          <w:rFonts w:hint="eastAsia" w:ascii="宋体" w:hAnsi="宋体" w:eastAsia="宋体" w:cs="宋体"/>
          <w:color w:val="auto"/>
          <w:sz w:val="28"/>
          <w:szCs w:val="28"/>
          <w:highlight w:val="none"/>
        </w:rPr>
        <w:t>设备调整</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管理人员对设备状态数据修改，包含设备类型、设备名字、设备编码、设备状态、购置人、购置时间、购置金额信息。</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1.1.3.1.5.8.3 </w:t>
      </w:r>
      <w:r>
        <w:rPr>
          <w:rStyle w:val="17"/>
          <w:rFonts w:hint="eastAsia" w:ascii="宋体" w:hAnsi="宋体" w:eastAsia="宋体" w:cs="宋体"/>
          <w:color w:val="auto"/>
          <w:sz w:val="28"/>
          <w:szCs w:val="28"/>
          <w:highlight w:val="none"/>
        </w:rPr>
        <w:t>设备查询</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管理人员可以根据设备类型、设备名称、设备编码、购置时间、当前拥有人、设备状态等对设备信息进行查询，并支持导出及查看设备详情数据。</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1.1.3.1.5.8.4 </w:t>
      </w:r>
      <w:r>
        <w:rPr>
          <w:rStyle w:val="17"/>
          <w:rFonts w:hint="eastAsia" w:ascii="宋体" w:hAnsi="宋体" w:eastAsia="宋体" w:cs="宋体"/>
          <w:color w:val="auto"/>
          <w:sz w:val="28"/>
          <w:szCs w:val="28"/>
          <w:highlight w:val="none"/>
        </w:rPr>
        <w:t>设备管理</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管理人员可以通过后台对设备使用情况编辑，包含设备操作、当前拥有人、操作时间、经办人、操作原因。其中包含发放、收回、维修、报废等状态。</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1.1.3.1.5.9 </w:t>
      </w:r>
      <w:r>
        <w:rPr>
          <w:rFonts w:hint="eastAsia" w:ascii="宋体" w:hAnsi="宋体" w:eastAsia="宋体" w:cs="宋体"/>
          <w:color w:val="auto"/>
          <w:sz w:val="28"/>
          <w:szCs w:val="28"/>
          <w:highlight w:val="none"/>
        </w:rPr>
        <w:t>考核报表</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提供网格员在岗考核报表，管理员可随时查询网格员个人及入职信息，了解目前网格员在职人数以及离职人数。</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1.1.3.1.5.9.1 </w:t>
      </w:r>
      <w:r>
        <w:rPr>
          <w:rStyle w:val="17"/>
          <w:rFonts w:hint="eastAsia" w:ascii="宋体" w:hAnsi="宋体" w:eastAsia="宋体" w:cs="宋体"/>
          <w:color w:val="auto"/>
          <w:sz w:val="28"/>
          <w:szCs w:val="28"/>
          <w:highlight w:val="none"/>
        </w:rPr>
        <w:t>个人信息更新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所有在职城管网格员需要在线填写个人信息，以加强账号与人员的关联，以达到账号与人员匹配。</w:t>
      </w:r>
    </w:p>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drawing>
          <wp:inline distT="0" distB="0" distL="114300" distR="114300">
            <wp:extent cx="4324350" cy="3048000"/>
            <wp:effectExtent l="0" t="0" r="0" b="0"/>
            <wp:docPr id="27" name="图片 42" descr="1649300479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2" descr="1649300479998.png"/>
                    <pic:cNvPicPr>
                      <a:picLocks noChangeAspect="1"/>
                    </pic:cNvPicPr>
                  </pic:nvPicPr>
                  <pic:blipFill>
                    <a:blip r:embed="rId6"/>
                    <a:stretch>
                      <a:fillRect/>
                    </a:stretch>
                  </pic:blipFill>
                  <pic:spPr>
                    <a:xfrm>
                      <a:off x="0" y="0"/>
                      <a:ext cx="4324350" cy="3048000"/>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 </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网格员个人信息填写表单示意图</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1.1.3.1.5.9.2 </w:t>
      </w:r>
      <w:r>
        <w:rPr>
          <w:rStyle w:val="17"/>
          <w:rFonts w:hint="eastAsia" w:ascii="宋体" w:hAnsi="宋体" w:eastAsia="宋体" w:cs="宋体"/>
          <w:color w:val="auto"/>
          <w:sz w:val="28"/>
          <w:szCs w:val="28"/>
          <w:highlight w:val="none"/>
        </w:rPr>
        <w:t>个人信息审核</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网格员个人信息填好后不可随意修改，如若修改信息需进行提交至市指挥中心，由市指挥长或市值班长进行审核，审核通过后信息才可以修改生效，并支持查看修改记录。申请人员的申请意见、答复人员名称、申请时间及答复时间和答复意见、以及修改字段及前后修改数据都支持可查。</w:t>
      </w:r>
    </w:p>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drawing>
          <wp:inline distT="0" distB="0" distL="114300" distR="114300">
            <wp:extent cx="3867150" cy="6191250"/>
            <wp:effectExtent l="0" t="0" r="0" b="0"/>
            <wp:docPr id="28" name="图片 43" descr="1649300509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3" descr="1649300509148.png"/>
                    <pic:cNvPicPr>
                      <a:picLocks noChangeAspect="1"/>
                    </pic:cNvPicPr>
                  </pic:nvPicPr>
                  <pic:blipFill>
                    <a:blip r:embed="rId7"/>
                    <a:stretch>
                      <a:fillRect/>
                    </a:stretch>
                  </pic:blipFill>
                  <pic:spPr>
                    <a:xfrm>
                      <a:off x="0" y="0"/>
                      <a:ext cx="3867150" cy="6191250"/>
                    </a:xfrm>
                    <a:prstGeom prst="rect">
                      <a:avLst/>
                    </a:prstGeom>
                    <a:noFill/>
                    <a:ln w="9525">
                      <a:noFill/>
                    </a:ln>
                  </pic:spPr>
                </pic:pic>
              </a:graphicData>
            </a:graphic>
          </wp:inline>
        </w:drawing>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网格员个人信息审核示意图</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1.1.3.1.5.9.3 </w:t>
      </w:r>
      <w:r>
        <w:rPr>
          <w:rStyle w:val="17"/>
          <w:rFonts w:hint="eastAsia" w:ascii="宋体" w:hAnsi="宋体" w:eastAsia="宋体" w:cs="宋体"/>
          <w:color w:val="auto"/>
          <w:sz w:val="28"/>
          <w:szCs w:val="28"/>
          <w:highlight w:val="none"/>
        </w:rPr>
        <w:t>多媒体附件</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网格员在完成个人信息填写时应支持提交多媒体数据或文件（必填），如网格员的个人身份证和入职合同信息。</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1.1.3.1.5.9.4 </w:t>
      </w:r>
      <w:r>
        <w:rPr>
          <w:rStyle w:val="17"/>
          <w:rFonts w:hint="eastAsia" w:ascii="宋体" w:hAnsi="宋体" w:eastAsia="宋体" w:cs="宋体"/>
          <w:color w:val="auto"/>
          <w:sz w:val="28"/>
          <w:szCs w:val="28"/>
          <w:highlight w:val="none"/>
        </w:rPr>
        <w:t>离职状态调整</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如果网格员存在离职，则需要采集员管理员立即将其账号状态修改为“离职”，并需要在一周时间内（限定7天）找到新的网格员，并把账号信息更新为新的人员信息，如果超出限定时间未进行修改，则统计时默认判断此账号为缺岗。</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1.1.3.1.5.9.5 </w:t>
      </w:r>
      <w:r>
        <w:rPr>
          <w:rStyle w:val="17"/>
          <w:rFonts w:hint="eastAsia" w:ascii="宋体" w:hAnsi="宋体" w:eastAsia="宋体" w:cs="宋体"/>
          <w:color w:val="auto"/>
          <w:sz w:val="28"/>
          <w:szCs w:val="28"/>
          <w:highlight w:val="none"/>
        </w:rPr>
        <w:t>可视化展示</w:t>
      </w:r>
    </w:p>
    <w:p>
      <w:pPr>
        <w:pStyle w:val="14"/>
        <w:keepNext w:val="0"/>
        <w:keepLines w:val="0"/>
        <w:widowControl/>
        <w:suppressLineNumbers w:val="0"/>
        <w:spacing w:before="120" w:before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网格员信息录入后展示应支持可视化，图表化展示，包括个人信息根据区域（采集公司）和个人信息进行统计，例如信息完整度，离职网格员未及时修改记录，离职数、离职率、在职数、在职率等。</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drawing>
          <wp:inline distT="0" distB="0" distL="114300" distR="114300">
            <wp:extent cx="5734050" cy="885825"/>
            <wp:effectExtent l="0" t="0" r="0" b="9525"/>
            <wp:docPr id="26" name="图片 44" descr="1649300526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4" descr="1649300526264.png"/>
                    <pic:cNvPicPr>
                      <a:picLocks noChangeAspect="1"/>
                    </pic:cNvPicPr>
                  </pic:nvPicPr>
                  <pic:blipFill>
                    <a:blip r:embed="rId8"/>
                    <a:stretch>
                      <a:fillRect/>
                    </a:stretch>
                  </pic:blipFill>
                  <pic:spPr>
                    <a:xfrm>
                      <a:off x="0" y="0"/>
                      <a:ext cx="5734050" cy="885825"/>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网格员在职人数统计示意图</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1.1.3.1.5.10 </w:t>
      </w:r>
      <w:r>
        <w:rPr>
          <w:rFonts w:hint="eastAsia" w:ascii="宋体" w:hAnsi="宋体" w:eastAsia="宋体" w:cs="宋体"/>
          <w:color w:val="auto"/>
          <w:sz w:val="28"/>
          <w:szCs w:val="28"/>
          <w:highlight w:val="none"/>
        </w:rPr>
        <w:t>短信提醒</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当监察点产生时，系统向对应监察点产生部门人员手机号发送短信，短信内容例：[数字城管考核申诉（报）系统]：案件XXXXXX产生新的考核指标【XXXX】，如有异议请于3工作日内进行申诉！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1.1.3.1.6 </w:t>
      </w:r>
      <w:r>
        <w:rPr>
          <w:rFonts w:hint="eastAsia" w:ascii="宋体" w:hAnsi="宋体" w:eastAsia="宋体" w:cs="宋体"/>
          <w:color w:val="auto"/>
          <w:sz w:val="28"/>
          <w:szCs w:val="28"/>
          <w:highlight w:val="none"/>
        </w:rPr>
        <w:t>e治理app网格员工作模块H5改造</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将e治理中的采集员管理模块进行H5改造，嵌入到联防联控系统中，具体H5改造的功能包括问题上报、核实任务、核查任务、数据采集、自行处置、采集员轨迹对接。</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1.1.3.2 </w:t>
      </w:r>
      <w:r>
        <w:rPr>
          <w:rFonts w:hint="eastAsia" w:ascii="宋体" w:hAnsi="宋体" w:eastAsia="宋体" w:cs="宋体"/>
          <w:color w:val="auto"/>
          <w:sz w:val="28"/>
          <w:szCs w:val="28"/>
          <w:highlight w:val="none"/>
        </w:rPr>
        <w:t>日常指挥协同</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e福州综合指挥平台，升级改造实现城市的立体化日常指挥协同管理功能，系统以网格化管理为基础，以社会化服务为方向，实现隐患排查、社会维稳、治安防控、灾害预防及应急宣传教育等服务工作，建立力量管理、目标掌控、任务追踪及形势研判等管理功能模块。</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1.1.3.2.1 </w:t>
      </w:r>
      <w:r>
        <w:rPr>
          <w:rFonts w:hint="eastAsia" w:ascii="宋体" w:hAnsi="宋体" w:eastAsia="宋体" w:cs="宋体"/>
          <w:color w:val="auto"/>
          <w:sz w:val="28"/>
          <w:szCs w:val="28"/>
          <w:highlight w:val="none"/>
        </w:rPr>
        <w:t>力量管理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系统实现城市辖区内警力、网格员及群防群治力量等各类防控力量的综合管理服务，包括防控力量基础信息维护、防控力量定位监督、防控力量部署管理及防控力量通讯调度等管理功能。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1.1.3.2.1.1 </w:t>
      </w:r>
      <w:r>
        <w:rPr>
          <w:rFonts w:hint="eastAsia" w:ascii="宋体" w:hAnsi="宋体" w:eastAsia="宋体" w:cs="宋体"/>
          <w:color w:val="auto"/>
          <w:sz w:val="28"/>
          <w:szCs w:val="28"/>
          <w:highlight w:val="none"/>
        </w:rPr>
        <w:t>力量信息维护</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实现城市辖区内警力、网格员及群防群治力量等各类防控力量的基础信息管理，包括防控力量的类型、基础信息、所在单位、联系方式、人员照片及空间地理位置等信息。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实现防控力量的增加、修改、删除及综合查询功能，实现基于电子地图的防控力量分布检索等功能。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基于数据对接服务支撑平台，实现公安警力、网格员等类型人员基础数据从相应平台的数据直接对接调度。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1、警力信息管理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管理辖区的警力及警车等基础信息，包括数据对接、数据修改及数据检索等管理功能。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2、网格员信息管理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维护综治网格员、数字城管网格员及行业网格员等各类网格员的基础信息，实现数据通信对接、数据修改及数据检索等管理功能。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3、保安信息管理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实现专职保安、单位保安、小区物业等各类单位、各类型保安的基础信息管理功能，包括数据增加、修改、删除、数据检索及人员定位等管理功能。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4、其他群防群治力量管理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实现社区平安志愿者等各类其他群防群治力量的基础信息管理，包括数据增加、修改、删除、数据检索及人员定位等管理功能。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1.1.3.2.1.2 </w:t>
      </w:r>
      <w:r>
        <w:rPr>
          <w:rFonts w:hint="eastAsia" w:ascii="宋体" w:hAnsi="宋体" w:eastAsia="宋体" w:cs="宋体"/>
          <w:color w:val="auto"/>
          <w:sz w:val="28"/>
          <w:szCs w:val="28"/>
          <w:highlight w:val="none"/>
        </w:rPr>
        <w:t>力量定位监督</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实现全市各个辖区各类防控力量的实时定位及轨迹追踪等监督管理功能。包括公安警车及警员实时定位管理、各类网格员实时定位管理、专职保安等群防群治力量的定位管理等。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1、力量实时定位</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基于地理信息GIS电子地图，结合空间定位支撑服务，实时定位辖区内各个巡逻警车、巡逻警力及网格员等人员的动态信息，全面掌握各个辖区的防控力量分布情况，支持通过电子地图查看各个防控力量的基础信息，直接直接调度相应人员的通信方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2、力量轨迹追踪</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支持各类防控力量的人员轨迹追踪管理功能，查询相应人员的工作或巡逻轨迹，并在电子地图上以动画的形式展示出来。</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1.1.3.2.1.3 </w:t>
      </w:r>
      <w:r>
        <w:rPr>
          <w:rFonts w:hint="eastAsia" w:ascii="宋体" w:hAnsi="宋体" w:eastAsia="宋体" w:cs="宋体"/>
          <w:color w:val="auto"/>
          <w:sz w:val="28"/>
          <w:szCs w:val="28"/>
          <w:highlight w:val="none"/>
        </w:rPr>
        <w:t>力量部署管理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城市各个辖区日常指挥协同力量的部署方案及演练管理，科学划分巡逻区域，优化力量布局，建立健全指挥和保障机制，完善早晚高峰等节点人员密集场所重点工作机制及减少治安防控死角和盲区等工作，提升社会面动态控制能力。</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1、力量GIS部署批注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系统基于GIS电子地图，在电子地图上直接维护批注各个辖区的各类防控力量及防控工作的部署示意，直观全面掌握防控工作安排情况。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实现灵活方便的手动批注管理功能，支持各个管理用户自行在GIS地图界面上进行防控力量手写批注，系统提供丰富的批注工具，包括人员类型、防控资源、文本标注、点、线、面等基础批注组件，支持批注后的画面保存管理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2、力量GIS部署动画展示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系统实现各个防控工作部署方案的GIS动画展示管理，基于GIS电子地图，支持在电子地图以动画的形式直接展示各个防控工作的部署内容，包括防控人员安排、巡逻路径安排、调度资源及防控目标等。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1.1.3.2.1.4 </w:t>
      </w:r>
      <w:r>
        <w:rPr>
          <w:rFonts w:hint="eastAsia" w:ascii="宋体" w:hAnsi="宋体" w:eastAsia="宋体" w:cs="宋体"/>
          <w:color w:val="auto"/>
          <w:sz w:val="28"/>
          <w:szCs w:val="28"/>
          <w:highlight w:val="none"/>
        </w:rPr>
        <w:t>力量通讯调度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实现辖区防控力量的通讯调度管理，包括语音通话调度及集群电话调度等功能。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1、语音通话调度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支持各类防控力量的语音电话通讯直接调度管理，基于GIS电子地图，支持直接拔打相应网格员或各类群防群治人员的普通电话或移动电话，直接进行语音通信调度。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2、数字集群语音对讲通信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实现辖区公安警力或专职保安人员的数字集群语音对讲通信管理，利用融合通信支撑服务，直接呼叫相应公安警力或专职保安人员的数字集群电话。</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3、短信通知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基于GIS电子地图，支持在线人员的直接短信通知管理功能，方便管理人员进行相应的工作安排通知或突发指挥调度管理。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1.1.3.2.2 </w:t>
      </w:r>
      <w:r>
        <w:rPr>
          <w:rFonts w:hint="eastAsia" w:ascii="宋体" w:hAnsi="宋体" w:eastAsia="宋体" w:cs="宋体"/>
          <w:color w:val="auto"/>
          <w:sz w:val="28"/>
          <w:szCs w:val="28"/>
          <w:highlight w:val="none"/>
        </w:rPr>
        <w:t>目标掌控</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全市各辖区重点防控目标的掌控与动态管理功能，包括地铁站、火车站、码头、口岸、高铁沿线等重点部位的安全保卫工作，幼儿园、学校、金融机构、商业场所、医院等重点场所的安全防范，及重点场所及周边治安综合治理，确保全市社会秩序良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实现各类重点防控目标的信息维护管理、日常安全检查、防控预案管理及防控目标视频调阅等功能。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1.1.3.2.2.1 </w:t>
      </w:r>
      <w:r>
        <w:rPr>
          <w:rFonts w:hint="eastAsia" w:ascii="宋体" w:hAnsi="宋体" w:eastAsia="宋体" w:cs="宋体"/>
          <w:color w:val="auto"/>
          <w:sz w:val="28"/>
          <w:szCs w:val="28"/>
          <w:highlight w:val="none"/>
        </w:rPr>
        <w:t>目标管理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实现辖区内各类重点防控目标的基础信息维护管理，包括防控目标的基础信息、所在地点、图片信息、周边视频及关联数据等信息。实现防控目标信息的增加、修改、删除、地图定位及综合查询功能。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在GIS电子地图上以不同图标展示各类重要防控目标信息，包括政府机关、学校、车站、高速出入口、宾馆、网吧、娱乐场所、商业街区、重大危险源及城市重要设施等的具体位置，了解各个重点防控目标的相关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1.1.3.2.2.2 </w:t>
      </w:r>
      <w:r>
        <w:rPr>
          <w:rFonts w:hint="eastAsia" w:ascii="宋体" w:hAnsi="宋体" w:eastAsia="宋体" w:cs="宋体"/>
          <w:color w:val="auto"/>
          <w:sz w:val="28"/>
          <w:szCs w:val="28"/>
          <w:highlight w:val="none"/>
        </w:rPr>
        <w:t>日常安全检查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实现各类重点防控目标的日常安全检查管理，包括网格员的日常安全检查及行业单位日常检查记录维护管理等。支持基于统一数据对接支撑服务，获取网格化综合治理等平台的相应检查记录信息。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实现重点防控目标的日常安全检查记录基础信息、检查现场照片、检查结论等信息的维护与检索。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支持以不同的颜色图标在电子地图上直观展示各个重要防控目标的检查情况，让管理人员直观掌握重要防控目标的实际情况。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1.1.3.2.2.3 </w:t>
      </w:r>
      <w:r>
        <w:rPr>
          <w:rFonts w:hint="eastAsia" w:ascii="宋体" w:hAnsi="宋体" w:eastAsia="宋体" w:cs="宋体"/>
          <w:color w:val="auto"/>
          <w:sz w:val="28"/>
          <w:szCs w:val="28"/>
          <w:highlight w:val="none"/>
        </w:rPr>
        <w:t>预案管理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实现火车站、地铁口及商业街区等重点防控目标的防控应急预案管理功能，包括应急预案基础信息管理及应急预案的数字化维护与匹配调度等功能。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实现防控预案的防控力量部署维护管理，包括调度警力、群防群治力量、联系方式及招人流程等信息管理。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实现防控预案的部署电子批注管理功能，支持在电子地图的手工批注及效果动画演示管理功能。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支持根据预案配置，在突发事件发生时及时发送短信给相关人员。</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支持根据预案配置，在突发事件发生时自动匹配相应的应急资源保障信息。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1.1.3.2.2.4 </w:t>
      </w:r>
      <w:r>
        <w:rPr>
          <w:rFonts w:hint="eastAsia" w:ascii="宋体" w:hAnsi="宋体" w:eastAsia="宋体" w:cs="宋体"/>
          <w:color w:val="auto"/>
          <w:sz w:val="28"/>
          <w:szCs w:val="28"/>
          <w:highlight w:val="none"/>
        </w:rPr>
        <w:t>目标视频调阅</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实现重要防控目标的现场及周边视频监控资源的关联及快速调度管理。支持日常巡查或突发事件发生时，可快速查阅重要防控目标的现场及周边实时视频情况。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实现目标周边视频监控的实时画面查阅、云台控制、录像查询及画面抓拍等管理功能。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1.1.3.2.3 </w:t>
      </w:r>
      <w:r>
        <w:rPr>
          <w:rFonts w:hint="eastAsia" w:ascii="宋体" w:hAnsi="宋体" w:eastAsia="宋体" w:cs="宋体"/>
          <w:color w:val="auto"/>
          <w:sz w:val="28"/>
          <w:szCs w:val="28"/>
          <w:highlight w:val="none"/>
        </w:rPr>
        <w:t>任务追踪</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实现城市日常指挥协同的全过程任务追踪管理功能，任务追踪是城市日常挥协同及防灾减灾预防预警工作的核心内容。系统以防控任务为中心，由各个辖区主管部门针对日常治安防控、防台防汛、风险隐患排查及应急宣传教育等各个方面的重要工作对下属责任机构或行业网格员下发具体任务安排，及时跟踪各项重要工作安排的进展情况及存在问题，真正实现辖区日常挥协同工作的流程化任务管理、可视化反馈追踪及扁平化过程监督等管理需求，保障日常挥协同工作的顺利进行。</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1.1.3.2.3.1 </w:t>
      </w:r>
      <w:r>
        <w:rPr>
          <w:rFonts w:hint="eastAsia" w:ascii="宋体" w:hAnsi="宋体" w:eastAsia="宋体" w:cs="宋体"/>
          <w:color w:val="auto"/>
          <w:sz w:val="28"/>
          <w:szCs w:val="28"/>
          <w:highlight w:val="none"/>
        </w:rPr>
        <w:t>任务分类管理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实现日常治安防控、防台防汛、风险隐患排查及应急宣传教育等各类防控任务的分类模板化管理，结合日常指挥协同及防台防汛等工作安排，对各项工作任务安排进行分类管理。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1、防灾任务管理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由各级政府部门、各个主管机关管理各自的防控任务安排模板，包括下属任务责任部门、责任人员、任务内容、任务时间等约束条件，并关联至风险隐患对象，方便台风、洪涝等灾害预警时，相关主管部门能快速进行防灾减灾的工作安排与任务追踪。</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2、治安防控管理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日常治安责任部门对辖区治安防控的任务安排模板进行维护管理，包括下属任务责任部门、责任人员、任务内容等、任务时间等约束条件，并设定对应的防控目标或防控范围，方便日常指挥协同工作中，能够便捷、快速地进行治安防控任务下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3、风险隐患排查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为各业务部门提供针对性的风险隐患排查模板，以部门为划分，各部门管理人员维护本部门的辖区风险隐患排查工作任务模板，包括任务责任部门、责任人员、任务内容、任务时间等约束条件，并关联至排查地点、对象等内容，便捷相关主管部门能够快速开展日常风险隐患排查工作。</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4、应急宣传教育</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为应急宣传教育工作提供标准化模板管理，包括任务责任部门、责任人员、教育内容、任务时间等约束条件，并关联至对应的宣传片区，便捷宣传教育工作的开展。</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5、其它任务管理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提供基本任务的模板维护功能，各主管机关可以维护基本任务的内容。</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1.1.3.2.3.2 </w:t>
      </w:r>
      <w:r>
        <w:rPr>
          <w:rFonts w:hint="eastAsia" w:ascii="宋体" w:hAnsi="宋体" w:eastAsia="宋体" w:cs="宋体"/>
          <w:color w:val="auto"/>
          <w:sz w:val="28"/>
          <w:szCs w:val="28"/>
          <w:highlight w:val="none"/>
        </w:rPr>
        <w:t>任务预案化管理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实现各类防控任务的预案化信息管理，对各类任务工作以预案的形式进行管理，针对具体灾害或防控工作对象，提前做好相应的任务预案模板，包括任务安排流程、任务反馈机制及资源准备等。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支持基于GIS电子地图的防控任务预案展示管理。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1、任务安排流程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提供对防控工作的任务拆解流程配置管理，用户可以对应每个防控任务拆解为各个流程节点，并将每个节点关联至对应的任务细项。任务细项可以直接在已配置的任务模板中选择，也可以创建新的任务项。</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2、任务反馈机制</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任务反馈机制配置对应节点的反馈对象与需提交的内容，在任务的执行过程中，需要根据配置的反馈节点进行结果的反馈。</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3、资源准备</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资源准备主要提供每个任务节点调度的资源关联项，包括资源的类型、数量、使用工作等内容的配置。</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1.1.3.2.3.3 </w:t>
      </w:r>
      <w:r>
        <w:rPr>
          <w:rFonts w:hint="eastAsia" w:ascii="宋体" w:hAnsi="宋体" w:eastAsia="宋体" w:cs="宋体"/>
          <w:color w:val="auto"/>
          <w:sz w:val="28"/>
          <w:szCs w:val="28"/>
          <w:highlight w:val="none"/>
        </w:rPr>
        <w:t>任务安排管理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实现各个主管单位的防控任务安排管理，包括任务的创建，任务分配及任务通知等管理功能。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1、任务创建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各级主管机关用户可以选择任务模板、任务预案或重新创建任务来进行工作任务的安排，包括日常治安防控、防台防汛、风险隐患排查及应急宣传教育等各类防控任务，在确认任务的创建后将继续进入任务的分配操作。</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2、任务分配</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在完成工作任务的创建后，管理人员可以进行任务对象的分配，包括分配的部门、人员等内容编辑，分配对象可以多选。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3、任务通知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任务分配后，系统将根据任务分配的对象进行短信及移动端的自动通知。</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1.1.3.2.3.4 </w:t>
      </w:r>
      <w:r>
        <w:rPr>
          <w:rFonts w:hint="eastAsia" w:ascii="宋体" w:hAnsi="宋体" w:eastAsia="宋体" w:cs="宋体"/>
          <w:color w:val="auto"/>
          <w:sz w:val="28"/>
          <w:szCs w:val="28"/>
          <w:highlight w:val="none"/>
        </w:rPr>
        <w:t>任务反馈跟踪</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实现防控任务反馈跟踪管理，各个责任部门及行业网格员通过平台或移动应用终端，及时反馈任务进度及进展情况。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1、任务反馈</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平台端与移动端的任务反馈情况填报功能，用户通过选择对应任务的反馈功能，以表单形式填报对应的情况信息，并能够以附件形式将照片、文档等内容进行上传，使指挥中心人员和后续任务人员接收到任务的处置结果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2、任务追踪</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平台基于GIS电子地图对各项任务工作的进度进行统一展示，并以不同的图标颜色反馈各项任务工作的进度。点击对应的任务图标可以调阅任务的详细进度情况，包括任务内容、任务时间、任务负责人、完成情况等内容，使指挥中心的管理人员能够快速掌握各个工作任务的进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3、任务监督</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系统对还未完成的任务以列表形式单独展示，并为监督人员提供提醒功能，能够通过短信、语音等方式对相关责任部门、人员进行提醒信息发送，保障任务能够按流程节点完成。</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1.1.3.2.3.5 </w:t>
      </w:r>
      <w:r>
        <w:rPr>
          <w:rFonts w:hint="eastAsia" w:ascii="宋体" w:hAnsi="宋体" w:eastAsia="宋体" w:cs="宋体"/>
          <w:color w:val="auto"/>
          <w:sz w:val="28"/>
          <w:szCs w:val="28"/>
          <w:highlight w:val="none"/>
        </w:rPr>
        <w:t>统计分析管理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实现分类型、多维度的对防控任务进行统计分析管理，通过对防控任务的统计分析，直观反映防控任务事件的任务类型、分布区域、处置效率，为任务事件的人员调配和任务安排的指挥调度决策提供数据支撑。</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1、任务类型统计分析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任务类型作为统计分析的维度，分析各类防控任务完成情况，如日常治安防控、防台防汛、风险隐患排查等任务的派发情况，为相关责任部门在人员调配上提供相应的数据依据。支持以柱状图、饼状图等分析进行分析显示，并支持在GIS地图上对任务类型统计数据进行叠加展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2、部门任务统计分析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任务派发部门为统计对象，实现对相关责任部门接收的防控任务数量进行统计分析，可支持按任务接收时间、任务类型等不同维度进行统计分析。支持以柱状图、饼状图等分析进行分析显示，并支持在GIS地图上对各部门任务统计数据进行叠加展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3、分布区域统计分析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以任务分布区域为统计分析的维度，分析各个不同类型防控任务分布情况，如哪些区域的治安任务比较多，为相关责任部门的日常指挥协同提供相应的数据依据。</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实现防控任务区域分布分析，支持根据案件类型、发生日期等组合条件，统计分析该条件下各个区域的反馈任务分布情况。支持统计结果以柱状图、饼图及折线图等方式进行分析显示，支持以GIS地图的方式展示各类案件在各个区域的分布情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1.1.3.2.4 </w:t>
      </w:r>
      <w:r>
        <w:rPr>
          <w:rFonts w:hint="eastAsia" w:ascii="宋体" w:hAnsi="宋体" w:eastAsia="宋体" w:cs="宋体"/>
          <w:color w:val="auto"/>
          <w:sz w:val="28"/>
          <w:szCs w:val="28"/>
          <w:highlight w:val="none"/>
        </w:rPr>
        <w:t>形势研判</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基于GIS的防控形势研判分析，利用12345服务事件来源及公安警情导入数据，通过对事件的研判分析，掌握辖区维稳及治安基本态势和事件热点，提供事件三高分析（高发类型、高发地段、高发时段）、预警、同环比分析、案件动态监测等功能，实时掌握本辖区事件热点及趋势，可以及时调整防控工作重心，有放矢的布置防控力量，合理利用防控资源，有效降低事件发生率，提升群众安全感满意度。</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1.1.3.3 </w:t>
      </w:r>
      <w:r>
        <w:rPr>
          <w:rFonts w:hint="eastAsia" w:ascii="宋体" w:hAnsi="宋体" w:eastAsia="宋体" w:cs="宋体"/>
          <w:color w:val="auto"/>
          <w:sz w:val="28"/>
          <w:szCs w:val="28"/>
          <w:highlight w:val="none"/>
        </w:rPr>
        <w:t>应急指挥调度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e福州综合指挥平台，升级实现突发事件处置的全过程联动指挥管理，能够调用组织公安、消防、急救、交警、城建等多部门、多行业、多层次的应急力量和信息资源，实现对突发事件处置全过程的跟踪、指挥，快速、及时、准确地收集到应急信息，为政府的科学决策提供有效的信息支持。</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1.1.3.3.1 </w:t>
      </w:r>
      <w:r>
        <w:rPr>
          <w:rFonts w:hint="eastAsia" w:ascii="宋体" w:hAnsi="宋体" w:eastAsia="宋体" w:cs="宋体"/>
          <w:color w:val="auto"/>
          <w:sz w:val="28"/>
          <w:szCs w:val="28"/>
          <w:highlight w:val="none"/>
        </w:rPr>
        <w:t>应急值班值守</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实现市、区县两级政府部门及各应急单位部门的综合应急值班值守管理，落实值班表及24小时值班制度，密切关注预测预警信息及突发事件的情况，及时上报、果断处置，保证信息联络及时、畅通。</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值守管理子系统主要实现应急值班日常管理、事件接报处理及应急模拟演练等，包括应急值班日常管理及应急突发事件上报及接收、审核、定级等功能。应急值守管理系统提供应急部门日常值班所需的功能，主要包括事件接报、值班日志、值班表等，满足应急管理办公室日常值班业务的需要，将提高日常值班工作效率、降低日常值班工作复杂度为主要目标。</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1.1.3.3.1.1 </w:t>
      </w:r>
      <w:r>
        <w:rPr>
          <w:rFonts w:hint="eastAsia" w:ascii="宋体" w:hAnsi="宋体" w:eastAsia="宋体" w:cs="宋体"/>
          <w:color w:val="auto"/>
          <w:sz w:val="28"/>
          <w:szCs w:val="28"/>
          <w:highlight w:val="none"/>
        </w:rPr>
        <w:t>事件接报管理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实现各部门值班人员将接报的突发事件信息进行填写并根据审核流程逐级上报，实现各流程环节部门负责人的事件审核确认管理。</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1.1.3.3.1.1.1 </w:t>
      </w:r>
      <w:r>
        <w:rPr>
          <w:rStyle w:val="17"/>
          <w:rFonts w:hint="eastAsia" w:ascii="宋体" w:hAnsi="宋体" w:eastAsia="宋体" w:cs="宋体"/>
          <w:color w:val="auto"/>
          <w:sz w:val="28"/>
          <w:szCs w:val="28"/>
          <w:highlight w:val="none"/>
        </w:rPr>
        <w:t>事件信息上报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实现接报人对突发事件信息的填写，按照设定的上报流程逐级上报、续报事件相关情况，支持资料文档上传，支持图片及视频文件上传，并支持对事件发生的地点进行GIS定位。</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实现各渠道获取的突发公共事件信息的录入和建档管理。</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1.1.3.3.1.1.2 </w:t>
      </w:r>
      <w:r>
        <w:rPr>
          <w:rStyle w:val="17"/>
          <w:rFonts w:hint="eastAsia" w:ascii="宋体" w:hAnsi="宋体" w:eastAsia="宋体" w:cs="宋体"/>
          <w:color w:val="auto"/>
          <w:sz w:val="28"/>
          <w:szCs w:val="28"/>
          <w:highlight w:val="none"/>
        </w:rPr>
        <w:t>突发事件核实</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应急值守人员接到事件后，可通过电话问询事件上报人员或现场附近的巡查人员，可通过浏览视频监控图像等方式，对突发事件发生信息进行核实，避免因为设备误操作、机器故障、恶意电话等造成的盲目出警。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在事件核实后，通过事件状态位的设置，将接报事件确定为核实状态，并记录突发事件信息。</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1.1.3.3.1.1.3 </w:t>
      </w:r>
      <w:r>
        <w:rPr>
          <w:rStyle w:val="17"/>
          <w:rFonts w:hint="eastAsia" w:ascii="宋体" w:hAnsi="宋体" w:eastAsia="宋体" w:cs="宋体"/>
          <w:color w:val="auto"/>
          <w:sz w:val="28"/>
          <w:szCs w:val="28"/>
          <w:highlight w:val="none"/>
        </w:rPr>
        <w:t>突发事件定位</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事件接报后，应急值守人员可通过报警电话、移动终端定位及监控视频等获取的事件位置信息、以GIS地图为基础，实现突发事件在GIS地图上的具体位置定位标注，支持以红色警灯方式显示，并可呈现出动画效果。</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1.1.3.3.1.1.4 </w:t>
      </w:r>
      <w:r>
        <w:rPr>
          <w:rStyle w:val="17"/>
          <w:rFonts w:hint="eastAsia" w:ascii="宋体" w:hAnsi="宋体" w:eastAsia="宋体" w:cs="宋体"/>
          <w:color w:val="auto"/>
          <w:sz w:val="28"/>
          <w:szCs w:val="28"/>
          <w:highlight w:val="none"/>
        </w:rPr>
        <w:t>突发事件归并</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突发事件发生后一段时间内，应急值守人员可陆续接到多个人对于同一突发事件的上报，经事件核实、事件定位后，应及时进行多个上报记录的信息归并，即实现同一突发事件多条接报记录编号的关联，以免对同一突发事件的多条接报记录造成事件记录的混乱和难以管理。</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1.1.3.3.1.1.5 </w:t>
      </w:r>
      <w:r>
        <w:rPr>
          <w:rStyle w:val="17"/>
          <w:rFonts w:hint="eastAsia" w:ascii="宋体" w:hAnsi="宋体" w:eastAsia="宋体" w:cs="宋体"/>
          <w:color w:val="auto"/>
          <w:sz w:val="28"/>
          <w:szCs w:val="28"/>
          <w:highlight w:val="none"/>
        </w:rPr>
        <w:t>信息审核管理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实现突发事件的审核管理功能，系统提供对上报的事件信息进行审核确认的功能，包括对上报的事件信息进行回退、继续上报等操作，并保存当前操作的审批意见。</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根据突发事件的级别及严重程度等信息，及时将突发事件报送给上级部门及相关领导。</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1、报送模板管理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系统可根据上级政府主管部门、上级交通主管部门制定的突发事件信息报送制度，实现各类报送模板的管理。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2、报送对象管理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根据上级政府主管部门制定的突发事件信息报送制度，实现各类突发事件信息的分级、分部门报送，且报送方式由下而上。</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3、报送流程定义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实现信息报送流程的定义、修改等功能。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4、报送信息编辑</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根据报送信息类别、报送级别，选择不同的信息报送模板，实现报送信息的编辑，模板选择标准见“报送模板管理”的“适用报送信息类型、适用报送对象”定义。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5、报送管理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根据不同信息的报送对象要求差异和报送渠道建设情况，选择报送方式，包括：电话、传真或数据接口等。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1.1.3.3.1.2 </w:t>
      </w:r>
      <w:r>
        <w:rPr>
          <w:rFonts w:hint="eastAsia" w:ascii="宋体" w:hAnsi="宋体" w:eastAsia="宋体" w:cs="宋体"/>
          <w:color w:val="auto"/>
          <w:sz w:val="28"/>
          <w:szCs w:val="28"/>
          <w:highlight w:val="none"/>
        </w:rPr>
        <w:t>值守通信调度管理</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1.1.3.3.1.2.1 </w:t>
      </w:r>
      <w:r>
        <w:rPr>
          <w:rStyle w:val="17"/>
          <w:rFonts w:hint="eastAsia" w:ascii="宋体" w:hAnsi="宋体" w:eastAsia="宋体" w:cs="宋体"/>
          <w:color w:val="auto"/>
          <w:sz w:val="28"/>
          <w:szCs w:val="28"/>
          <w:highlight w:val="none"/>
        </w:rPr>
        <w:t>通讯录管理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实现城市各联动部门应急负责领导人员、工作人员信息及各种联系方式管理功能，方便应急事件发生时及时联系。</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1、用户组管理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组的维护主要是提供给通讯录管理使用，系统组与通讯录人员是多对多的关系，即一个组可拥有多个通讯录人员，反之也是可行。一般只是市应急办（最高部门单位）才有此功能权限，设置提供给本级和下级部门单位使用。系统组包括以下内容：序号、名称、维护单位、默认通讯方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2、通讯录管理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通讯录的左侧是通讯录的分组树，用户点击分组树的相应节点可以查找该分组下的联系人，并在右侧显示。另外，在树的上部是三个按钮，用户添加按钮可以实时进行用户组的添加。在选中某个用户组之后点击编辑或者删除按钮可以进行相应的编辑或删除操作，达到管理操作用户组的管理。</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1.1.3.3.1.2.2 </w:t>
      </w:r>
      <w:r>
        <w:rPr>
          <w:rStyle w:val="17"/>
          <w:rFonts w:hint="eastAsia" w:ascii="宋体" w:hAnsi="宋体" w:eastAsia="宋体" w:cs="宋体"/>
          <w:color w:val="auto"/>
          <w:sz w:val="28"/>
          <w:szCs w:val="28"/>
          <w:highlight w:val="none"/>
        </w:rPr>
        <w:t>短信通知管理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实现系统短信发送与通知管理功能，实现管理人员可根据通讯录或联系电话直接发送手机短信通知管理功能，满足政府机关日常信息沟通与相关短消息的及时通知管理需求。</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1.1.3.3.1.2.3 </w:t>
      </w:r>
      <w:r>
        <w:rPr>
          <w:rStyle w:val="17"/>
          <w:rFonts w:hint="eastAsia" w:ascii="宋体" w:hAnsi="宋体" w:eastAsia="宋体" w:cs="宋体"/>
          <w:color w:val="auto"/>
          <w:sz w:val="28"/>
          <w:szCs w:val="28"/>
          <w:highlight w:val="none"/>
        </w:rPr>
        <w:t>传真管理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各级政府部门日常值班值守及突发处置的传真档案融合调度管理功能，实现应急数据材料包括管辖区域应急整体情况态势、应急信息通知、突发事件过程态势、事件评估及日常值守等信息材料与应急通讯录各联动部门传真的融合调度管理，满足应急业务系统传真信息领导汇报及通知发布的材料电子化档案管理需求。</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1、传真发送及接收</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系统实现应急业务系统各类应急信息的传真信息发布、日常值守传真接收、传真发送等应用功能。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2、传真归档及索引</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系统实现传真文件材料的数据萃取、索引、归档与检索、文档管理、记录管理等功能，支持以可靠的方式处理信息，实现电子文档的精确存储和处理。</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1.1.3.3.1.2.4 </w:t>
      </w:r>
      <w:r>
        <w:rPr>
          <w:rStyle w:val="17"/>
          <w:rFonts w:hint="eastAsia" w:ascii="宋体" w:hAnsi="宋体" w:eastAsia="宋体" w:cs="宋体"/>
          <w:color w:val="auto"/>
          <w:sz w:val="28"/>
          <w:szCs w:val="28"/>
          <w:highlight w:val="none"/>
        </w:rPr>
        <w:t>语音调度管理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系统的语音电话实时调度管理功能，实现用户在WEB系统上根据通讯录或人员联系电话直接拔打相应人员的语音电话管理功能，满足日常沟通及应急指挥调度时的及时语音调度管理功能，系统支持普通电话、IP电话及移动电话的统一WEB调度接入管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1.1.3.3.2 </w:t>
      </w:r>
      <w:r>
        <w:rPr>
          <w:rFonts w:hint="eastAsia" w:ascii="宋体" w:hAnsi="宋体" w:eastAsia="宋体" w:cs="宋体"/>
          <w:color w:val="auto"/>
          <w:sz w:val="28"/>
          <w:szCs w:val="28"/>
          <w:highlight w:val="none"/>
        </w:rPr>
        <w:t>预案数字化</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市、区县两级各个政府及行业部门的应急预案数据化管理功能。应急预案数字化管理包括应急预案的制作处理、维护、数字预案生成管理及发生突发事件时的预案智能选择等管理功能，为应急指挥决策者提供决策依据。系统根据“事件报告”和各方面的综合情况确定事件是否需要启动相关预案，支持对一般事件提供处警建议，对重大紧急事件提供处置预案支持。</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预案由公共安全总体应急预案、各职能部门专项应急预案组成，其中各职能部门专项预案又可分为自然灾害类事件应急预案、事故灾害类事件应急预案、公共卫生类事件应急预案以及社会安全类事件应急预案。</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4"/>
        <w:keepNext w:val="0"/>
        <w:keepLines w:val="0"/>
        <w:widowControl/>
        <w:suppressLineNumbers w:val="0"/>
        <w:ind w:left="0" w:firstLine="42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4238625" cy="2828925"/>
            <wp:effectExtent l="0" t="0" r="9525" b="9525"/>
            <wp:docPr id="29" name="图片 45" descr="1649301623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5" descr="1649301623777.png"/>
                    <pic:cNvPicPr>
                      <a:picLocks noChangeAspect="1"/>
                    </pic:cNvPicPr>
                  </pic:nvPicPr>
                  <pic:blipFill>
                    <a:blip r:embed="rId9"/>
                    <a:stretch>
                      <a:fillRect/>
                    </a:stretch>
                  </pic:blipFill>
                  <pic:spPr>
                    <a:xfrm>
                      <a:off x="0" y="0"/>
                      <a:ext cx="4238625" cy="2828925"/>
                    </a:xfrm>
                    <a:prstGeom prst="rect">
                      <a:avLst/>
                    </a:prstGeom>
                    <a:noFill/>
                    <a:ln w="9525">
                      <a:noFill/>
                    </a:ln>
                  </pic:spPr>
                </pic:pic>
              </a:graphicData>
            </a:graphic>
          </wp:inline>
        </w:drawing>
      </w:r>
      <w:r>
        <w:rPr>
          <w:rFonts w:hint="eastAsia" w:ascii="宋体" w:hAnsi="宋体" w:eastAsia="宋体" w:cs="宋体"/>
          <w:color w:val="auto"/>
          <w:highlight w:val="none"/>
        </w:rPr>
        <w:t> </w:t>
      </w:r>
      <w:r>
        <w:rPr>
          <w:rFonts w:hint="eastAsia" w:ascii="宋体" w:hAnsi="宋体" w:eastAsia="宋体" w:cs="宋体"/>
          <w:color w:val="auto"/>
          <w:sz w:val="21"/>
          <w:szCs w:val="21"/>
          <w:highlight w:val="none"/>
        </w:rPr>
        <w:t> 应急预案分类</w:t>
      </w:r>
      <w:r>
        <w:rPr>
          <w:rFonts w:hint="eastAsia" w:ascii="宋体" w:hAnsi="宋体" w:eastAsia="宋体" w:cs="宋体"/>
          <w:color w:val="auto"/>
          <w:sz w:val="24"/>
          <w:szCs w:val="24"/>
          <w:highlight w:val="none"/>
        </w:rPr>
        <w:t>示意图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根据应急的特定需要及应急分析决策需求，结合应急预案关联及响应模型，实现各应急预案的数据加工抽取，使分散的、不一致的操作数据转换成集成的、统一的信息。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1.1.3.3.2.1 </w:t>
      </w:r>
      <w:r>
        <w:rPr>
          <w:rFonts w:hint="eastAsia" w:ascii="宋体" w:hAnsi="宋体" w:eastAsia="宋体" w:cs="宋体"/>
          <w:color w:val="auto"/>
          <w:sz w:val="28"/>
          <w:szCs w:val="28"/>
          <w:highlight w:val="none"/>
        </w:rPr>
        <w:t>预案制作</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预案的制作包括预案的分类管理、属性管理、体系目录的管理、预案元素的管理、预案模版的管理、预案的制作、预案的审核等过程。</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1.1.3.3.2.2 </w:t>
      </w:r>
      <w:r>
        <w:rPr>
          <w:rFonts w:hint="eastAsia" w:ascii="宋体" w:hAnsi="宋体" w:eastAsia="宋体" w:cs="宋体"/>
          <w:color w:val="auto"/>
          <w:sz w:val="28"/>
          <w:szCs w:val="28"/>
          <w:highlight w:val="none"/>
        </w:rPr>
        <w:t>预案管理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预案管理是实现重大、紧急等事件的预案制订系统，它提供了从预案征订，到预案编辑，到预案分析以及预案维护等预案征集并提出的全过程。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值班人员通过对新类型事件处理预案的收集和制订，可以帮助在今后处理同类事件时，进一步认识事件的性质和重心，理清处理此类事件的步骤和过程，从而使值班员，尤其是对值班业务尚未熟识的新职员很快掌握业务内容和工作要领，最终高效地、妥善地和全面地处理好每一个事件。</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预案管理模块由两个子模块组成：预案征订、预案维护。</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预案征订：定期向下属单位和相关委办局等单位发出预案征订通知，提出各级各类预案编写的要求，同时定期进行信息沟通和反馈。</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维护：将各个单位编写的预案进行汇总和分析之后，形成完整的各类预案体系，归入应急资源库，在应急资源库中制定版本信息，发布等，且通过增加、修改、删除、查询，阅览等功能实现对每份预案的维护和管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1.1.3.3.2.3 </w:t>
      </w:r>
      <w:r>
        <w:rPr>
          <w:rFonts w:hint="eastAsia" w:ascii="宋体" w:hAnsi="宋体" w:eastAsia="宋体" w:cs="宋体"/>
          <w:color w:val="auto"/>
          <w:sz w:val="28"/>
          <w:szCs w:val="28"/>
          <w:highlight w:val="none"/>
        </w:rPr>
        <w:t>数字预案管理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数字预案是对文本预案中的程序步骤、措施、职责、协调等方面进行结构化处理后形成的可程序化执行预案。</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管理模块主要在文本预案的内容和基础上，采用结构化思想，将预案各个关键部分拆分为主题框架、特征框架，决策框架，在辨识和评估潜在的重大危险、事件类型、发生的可能性及发生过程、事件后果及影响严重程度的基础上，对应急机构与职责、人员、技术、装备、设施（备）、物资、救援行动及指挥与协调等方面预先做出的具体安排，它明确了在突发公共事件发生之前、发生过程中以及刚刚结束之后，谁负责做什么，何时做以及相应的策略和资源准备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主要功能包括：</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1、组织机构管理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主要是对文本预案中指挥体系的管理。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主要功能包括对应急机构、应急人员的管理；具体功能包括增加、修改和删除操作。</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2、应急流程管理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主要是对文本预案中应急流程的管理。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主要功能包括流程增加、流程修改和流程删除操作。</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3、应急任务管理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主要是对每个组织所对应任务的管理；任务包括任务目的，任务执行地点，任务时间要求、任务内容、任务负责人和任务对应的相关行动数据等信息等，每个任务可包括子任务。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主要功能包括任务增加、任务修改和任务删除操作。</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4、应急资源管理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主要是对每个组织和任务需要的相关应急资源的管理；资源包括资源名称、资源类型、资源要求、资源数量、资源位置、资源联系方式等；方便在指挥调度的时候，及时准确的对其进行资源部署。</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主要功能包括资源增加、资源修改和资源删除操作。</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1.1.3.3.2.4 </w:t>
      </w:r>
      <w:r>
        <w:rPr>
          <w:rFonts w:hint="eastAsia" w:ascii="宋体" w:hAnsi="宋体" w:eastAsia="宋体" w:cs="宋体"/>
          <w:color w:val="auto"/>
          <w:sz w:val="28"/>
          <w:szCs w:val="28"/>
          <w:highlight w:val="none"/>
        </w:rPr>
        <w:t>预案调度管理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突发事件应急过程中，根据突发事件的实时信息及事件发展趋势、影响区域等信息，自动检索及匹配已有的应急预案信息库，提供预案选择功能供决策者选择及使用。应急预案调度管理充分考虑突发事件发生时的相关信息，包括应急资源、应急物资、救援队伍、现场环境、事件地点、空间位置和事发时间等，根据预案将各项应急处置的任务落实到具体单位和人员，应急过程中可按此方案立即执行，同时可通过部门企业预案推动部门之间、企业之间联动、跨界联动实施应急指挥调度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1、预案匹配</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根据突发事件的实时信息及事件发展趋势、影响区域等信息，系统自动检索及匹配已有的应急预案信息库，提供预案选择功能供决策者选择及使用。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2、任务匹配</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根据具体预案的任务分派要求，系统自动检索各个任务的匹配岗位及人员信息，同时提供方便快捷的任务安排管理功能，满足应急指挥决策者任务分派需求。</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3、联动调度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实现政府、部门、企业应急预案的联动调度管理，推动部门之间、企业之间联动、跨界联动。</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1.1.3.3.2.5 </w:t>
      </w:r>
      <w:r>
        <w:rPr>
          <w:rFonts w:hint="eastAsia" w:ascii="宋体" w:hAnsi="宋体" w:eastAsia="宋体" w:cs="宋体"/>
          <w:color w:val="auto"/>
          <w:sz w:val="28"/>
          <w:szCs w:val="28"/>
          <w:highlight w:val="none"/>
        </w:rPr>
        <w:t>预案专家系统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专家系统通过范例推理CBR与规则推理RBR技术上的无缝结合，提供可视化的操作界面，提高预案生成速度。预案的生成与管理合一，既能根据事件的输入参数生成预案，又能在平时对预案库进行有效地管理。例如：删除过时的预案；根据预案执行反馈，修改预案。单个预案生成时间少于5秒。包括从紧急情况的接入到范例库的检索（或者专家系统的推理），再到预案的存储与派发。</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从工作流程上看，预案生成是从值班席记录突发事件的基本参数，然后根据情况查询预案库，看是否存在应急预案，如果有相应解决预案，则把预案以书面或者电子版面形式上报给主管领导。在没有预案的情况下，根据专家系统进行规则推理，得到模拟解决方案。对于成功解决实际问题的预案，在执行之后，给预案添加正面反馈评价；对于在解决实际问题表现较差的预案，根据反馈，及时修正预案。整个预案生成系统的工作流程如下图所示。</w:t>
      </w:r>
    </w:p>
    <w:p>
      <w:pPr>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p>
      <w:pPr>
        <w:pStyle w:val="14"/>
        <w:keepNext w:val="0"/>
        <w:keepLines w:val="0"/>
        <w:widowControl/>
        <w:suppressLineNumbers w:val="0"/>
        <w:outlineLvl w:val="9"/>
        <w:rPr>
          <w:rFonts w:hint="eastAsia" w:ascii="宋体" w:hAnsi="宋体" w:eastAsia="宋体" w:cs="宋体"/>
          <w:color w:val="auto"/>
          <w:highlight w:val="none"/>
        </w:rPr>
      </w:pPr>
    </w:p>
    <w:p>
      <w:pPr>
        <w:pStyle w:val="14"/>
        <w:keepNext w:val="0"/>
        <w:keepLines w:val="0"/>
        <w:widowControl/>
        <w:suppressLineNumbers w:val="0"/>
        <w:ind w:left="0" w:firstLine="48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4476750" cy="2447925"/>
            <wp:effectExtent l="0" t="0" r="0" b="9525"/>
            <wp:docPr id="30" name="图片 46" descr="1649301913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6" descr="1649301913086.jpg"/>
                    <pic:cNvPicPr>
                      <a:picLocks noChangeAspect="1"/>
                    </pic:cNvPicPr>
                  </pic:nvPicPr>
                  <pic:blipFill>
                    <a:blip r:embed="rId10"/>
                    <a:stretch>
                      <a:fillRect/>
                    </a:stretch>
                  </pic:blipFill>
                  <pic:spPr>
                    <a:xfrm>
                      <a:off x="0" y="0"/>
                      <a:ext cx="4476750" cy="2447925"/>
                    </a:xfrm>
                    <a:prstGeom prst="rect">
                      <a:avLst/>
                    </a:prstGeom>
                    <a:noFill/>
                    <a:ln w="9525">
                      <a:noFill/>
                    </a:ln>
                  </pic:spPr>
                </pic:pic>
              </a:graphicData>
            </a:graphic>
          </wp:inline>
        </w:drawing>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预案生成系统工作流程示意图</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在工作流程分析的基础上，我们对整个系统细分成三个模块：用户模块、预案生成模块和预案管理模块。它的结构如图5－7所示。用户模块主要负责突发时间的信息显示，以及对CBR的检索/ RBR推理参数的设置。预案生成模块主要由两部分组成：CBR系统CbrSys与RBR系统OKPS。CBR系统根据当前情况的输入，检索数据库，查询是否存在类似案例。如果存在，则调用它的解决方案作为此次紧急情况的辅助决策。如果方案不存在或者存在的案例相似度非常低，则调用RBR系统进行通用规则推理，得到的结果一方面存在数据库中作为预案以备将来使用，另一方面显示给用户作为当前事件的辅助决策。</w:t>
      </w:r>
    </w:p>
    <w:p>
      <w:pPr>
        <w:pStyle w:val="14"/>
        <w:keepNext w:val="0"/>
        <w:keepLines w:val="0"/>
        <w:widowControl/>
        <w:suppressLineNumbers w:val="0"/>
        <w:ind w:left="225"/>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3352800" cy="2057400"/>
            <wp:effectExtent l="0" t="0" r="0" b="0"/>
            <wp:docPr id="3" name="图片 47" descr="1649302043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7" descr="1649302043195.jpg"/>
                    <pic:cNvPicPr>
                      <a:picLocks noChangeAspect="1"/>
                    </pic:cNvPicPr>
                  </pic:nvPicPr>
                  <pic:blipFill>
                    <a:blip r:embed="rId11"/>
                    <a:stretch>
                      <a:fillRect/>
                    </a:stretch>
                  </pic:blipFill>
                  <pic:spPr>
                    <a:xfrm>
                      <a:off x="0" y="0"/>
                      <a:ext cx="3352800" cy="2057400"/>
                    </a:xfrm>
                    <a:prstGeom prst="rect">
                      <a:avLst/>
                    </a:prstGeom>
                    <a:noFill/>
                    <a:ln w="9525">
                      <a:noFill/>
                    </a:ln>
                  </pic:spPr>
                </pic:pic>
              </a:graphicData>
            </a:graphic>
          </wp:inline>
        </w:drawing>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预案生成系统的结构示意图</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1.1.3.3.3 </w:t>
      </w:r>
      <w:r>
        <w:rPr>
          <w:rFonts w:hint="eastAsia" w:ascii="宋体" w:hAnsi="宋体" w:eastAsia="宋体" w:cs="宋体"/>
          <w:color w:val="auto"/>
          <w:sz w:val="28"/>
          <w:szCs w:val="28"/>
          <w:highlight w:val="none"/>
        </w:rPr>
        <w:t>应急资源一张图系统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按照《国家应急平台体系信息资源分类与编码》、《国家应急平台体系省级平台数据表结构规范》以及其他规范，通过全市应急信息资源数据库建设，重点对接整合各个联动部门的应急队伍、应急装备、应急物资、救援力量等应急资源信息，形成全市“应急信息一张图”，实现应急资源可视化管理，支持应急指挥决策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一张图实现应急资源及数据信息的对接交换服务，解决了应急信息包含的数据类型多、分布于不同职能部门、数据类型与格式千差万别和各种信息不能集成统一的难题。解决了应急所需数据资源分散、没有统一标准、没有对接和难以整合的问题，保证数据的实效性、准确性、可用性。一张图的实现意味着众多与应急指挥相关的单位的数据可以互联互通，依托GIS地理信息技术基础支撑，将多种数据无缝关联起来，为应急决策提供保障。</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采集各级联动部门已建的业务系统及数据库中的救援队伍、救援专家、应急物资、救援装备、医疗资源、通信资源、运输资源及避难场所等应急资源，在统一的电子地图上进行汇聚标识、图形化展示、共享服务，实现全市“应急资源一张图”，为突发事件应急处置时查阅应急资源和信息提供支持。</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1.1.3.3.3.1 </w:t>
      </w:r>
      <w:r>
        <w:rPr>
          <w:rFonts w:hint="eastAsia" w:ascii="宋体" w:hAnsi="宋体" w:eastAsia="宋体" w:cs="宋体"/>
          <w:color w:val="auto"/>
          <w:sz w:val="28"/>
          <w:szCs w:val="28"/>
          <w:highlight w:val="none"/>
        </w:rPr>
        <w:t>应急资源标准规范建设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资源信息化标准化建设是应急资源信息化成败的关键，也是应急通信保障平台建设的必备条件之一。应急资源信息化建设过程中怎样有效开发和利用信息资源，怎样保障信息化基础设施建设优质高效和信息网络无缝连接，怎样确保各信息系统间互联互通和互操作、信息安全与可靠，怎样实现应急资源信息共享等，是应急资源信息化建设的关键问题，而标准化则是解决上述问题的基本手段。应急信息“一张图”标准体系包括综合应急信息资源标准和应急采集标准技术规范。</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1、应急信息资源标准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用于规范应急信息资源的数据采集、更新与服务。包括应急信息分类编码（在《国家应急平台体系信息资源分类与编码规范》（征求意见稿）的基础上，结合福建省及福州市的具体情况细化，统一标准的数据格式以及数据协议，通过统一数据接口进行资源数据采集和转换，建立数据共享及应用标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1）、应急资源数据格式标准化：对通过通信网络传输到系统中的数据建立统一标准的数据格式，保证了数据的兼容性；</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2）、数据协议标准化：通过统一数据接口进行资源数据采集和转换，形成系统的基础数据，有效的解决现有应急系统中数据杂乱无章，数据关联性差，数据整合难的问题；</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3）、数据共享标准：使应急指挥系统内部多业务系统数据之间互融互通，共享资源信息，解决了各分系统之间信息孤立的问题，最大化的利用数据资源，最终形成信息联动、资源共享的高效率应急指挥系统。</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1.1.3.3.3.2 </w:t>
      </w:r>
      <w:r>
        <w:rPr>
          <w:rFonts w:hint="eastAsia" w:ascii="宋体" w:hAnsi="宋体" w:eastAsia="宋体" w:cs="宋体"/>
          <w:color w:val="auto"/>
          <w:sz w:val="28"/>
          <w:szCs w:val="28"/>
          <w:highlight w:val="none"/>
        </w:rPr>
        <w:t>数据采集与数据整合</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基于统一数据对接应用支撑服务平台，实现应急资源“一张图”的数据采集及数据交换管理功能。针对不同的数据来源进一步的加工，添加统一标准数据标识，对于应急资源数据进行分类和共享。</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1、应急资源数据信息采集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资源数据信息库的建库主要包括两种情况，一种是专业应急部门已有的数据通过应急数据交换系统，从其相关的应急信息系统中接入；另外一种专业应急部门没有的数据，或没有实现数据上图的数据支持系统平台进行手工数据上报与管理维护采集建库。</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2、应急资源数据信息整合</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将采集的不同格式各类应急资源数据进行格式转换、坐标转换、应急目标点标注转换。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创建拓扑主要目的是对面状数据需要将采集的连续点构线进行拓扑，检查多边形是否封闭，以便于后面进行面要素的处理。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属性点检查主要目的是为封闭的多边形添加面要素属性标识点，属性点里记录面要素的属性信息。在后面处理时通过多边形同属性点的关联，产生完整的面要素及属性信息。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数据检查主要目的是数据在处理完成后，要进行系统全面的数据检查。检查内容主要包括数据的完整性、正确性及图形、属性的逻辑对应关系等，检查方式采用程序检查与人工检查交叉进行。具体检查过程中可从以下几个方面进行：</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①图面检查：检查的主要内容是数据采集是否完整，是否有遗漏，地物的判别采集是否有误，图面是否美观，要素采集是否在容许误差范围内，定位、接边误差是否超限等。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②属性检查：检查的主要内容是数据的图层信息是否正确，属性编码是否正确，以及针对于线要素相对应的附属信息是否正确、完整等。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③全面检查数据的完整性、准确性、逻辑性一致，以及数据分层、文件命名的规范性等。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1.1.3.3.3.3 </w:t>
      </w:r>
      <w:r>
        <w:rPr>
          <w:rFonts w:hint="eastAsia" w:ascii="宋体" w:hAnsi="宋体" w:eastAsia="宋体" w:cs="宋体"/>
          <w:color w:val="auto"/>
          <w:sz w:val="28"/>
          <w:szCs w:val="28"/>
          <w:highlight w:val="none"/>
        </w:rPr>
        <w:t>数据服务发布及管理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应急资源数据建立统一目录分类体系、统一坐标及统一编码进行管理和服务，确保数据的完整性和服务多样性。按照应急资源目录的分类提供数据服务，可以通过应急资源目录中的项目对于数据进行发布和管理。可以根据地理信息，按照坐标和范围对于数据进行分类和发布。提供可视化的数据服务发布管理，高效、安全地管理数据服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1、应急资源数据目录服务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数据目录服务实现与统一对接服务支撑的对接，以及应急资源目录信息采集、注册、管理、查询和定位全过程管理。应急数据目录服务子系统主要包括目录信息注册、目录信息发布、目录信息查询、目录信息删除、目录信息组织、目录信息统计等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1)、应急信息资源编目</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信息资源编目主要实现信息资源的元数据抽取、资源编码和分类功能。它是基于核心元数据标准开发的目录数据生成系统。提供者使用编目系统从不同形态的应急信息资源中手工或自动抽取数据，并生成目录。编目系统部署于资源提供部门，其不但可以向目录管理中心提供目录数据，还可作为部门内部资源管理工具使用。</w:t>
      </w:r>
    </w:p>
    <w:p>
      <w:pPr>
        <w:pStyle w:val="14"/>
        <w:keepNext w:val="0"/>
        <w:keepLines w:val="0"/>
        <w:widowControl/>
        <w:suppressLineNumbers w:val="0"/>
        <w:spacing w:before="90" w:beforeAutospacing="0"/>
        <w:ind w:left="885"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编目系统主要包括元数据计算机辅助抽取、元数据手工抽取、元数据编辑、资源编码、资源分类、目录数据管理、配置管理等功能。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2)、目录数据管理</w:t>
      </w:r>
    </w:p>
    <w:p>
      <w:pPr>
        <w:pStyle w:val="14"/>
        <w:keepNext w:val="0"/>
        <w:keepLines w:val="0"/>
        <w:widowControl/>
        <w:suppressLineNumbers w:val="0"/>
        <w:spacing w:before="90" w:beforeAutospacing="0"/>
        <w:ind w:left="885"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目录数据管理主要实现目录数据管理和维护功能，以及实现目录服务接口，其主要内容包括目录管理、系统管理和接口管理等功能，实现对目录数据服务的集中管理。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3)、目录数据服务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目录数据服务主要是通过Web页面，实现目录数据的查询和导航，以及元数据信息的浏览功能。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2、应急资源数据发布服务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数据服务发布与管理是应急资源数据归档及管理的核心，将根据各种应急数据进行数据服务发布，并对发布的服务进行管理。应急指挥系统可通过调用数据服务查看所需的应急资源信息，大大的提高了数据的使用效率及安全性。</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各应用用户通过系统发布的共享数据目录及其元数据服务，进行数据项需求的定制；收到用户数据需求后，对需求的数据项进行数据定位、读取并转换成用户需求的格式，最后推送到用户的信息系统或数据库中。分发服务主要实现共享数据发布、元数据服务、数据分发等功能模块。</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1.1.3.3.3.4 </w:t>
      </w:r>
      <w:r>
        <w:rPr>
          <w:rFonts w:hint="eastAsia" w:ascii="宋体" w:hAnsi="宋体" w:eastAsia="宋体" w:cs="宋体"/>
          <w:color w:val="auto"/>
          <w:sz w:val="28"/>
          <w:szCs w:val="28"/>
          <w:highlight w:val="none"/>
        </w:rPr>
        <w:t>资源数据展示应用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将应急数据按照类别转换为多维显示系统可以接收的数据格式，并且对于数据进行多维、多视角、多层级、多方面的切分，使得多种数据可以在同一个场景下相互关联，更好地体现出数据联动带来的巨大优势。</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1.1.3.3.3.5 </w:t>
      </w:r>
      <w:r>
        <w:rPr>
          <w:rFonts w:hint="eastAsia" w:ascii="宋体" w:hAnsi="宋体" w:eastAsia="宋体" w:cs="宋体"/>
          <w:color w:val="auto"/>
          <w:sz w:val="28"/>
          <w:szCs w:val="28"/>
          <w:highlight w:val="none"/>
        </w:rPr>
        <w:t>应急资源基础信息维护</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应急资源包括救援队伍、救援专家、应急物资、救援装备、医疗资源、通信资源、运输资源及避难场所等资源信息。实现各类应急资源数据基础信息的统一维护管理。</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1.1.3.3.3.5.1 </w:t>
      </w:r>
      <w:r>
        <w:rPr>
          <w:rStyle w:val="17"/>
          <w:rFonts w:hint="eastAsia" w:ascii="宋体" w:hAnsi="宋体" w:eastAsia="宋体" w:cs="宋体"/>
          <w:color w:val="auto"/>
          <w:sz w:val="28"/>
          <w:szCs w:val="28"/>
          <w:highlight w:val="none"/>
        </w:rPr>
        <w:t>应急力量管理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完成对人力资源的基础信息维护，工作组织结构的维护，人员队伍模块化，人员分类管理、后备力量管理等多项功能。通过汇总各个部门的人力和警力资源，对可调用人员能力和数量进行管理。依据组织结构，对突发事件中应急处置部门、协助处置部门、应急救援专业部门、保障部门、部队及武警部队等职责予以明确。依据专业分类和技能程度对人力资源进行归类分组，便于整体调度，记录在不同类型突发事件应急上可调动人员能力、参与专业种类和整体分配部署情况。同时对各个时段整体人力资源的工作、调休情况进行管理，确保突发事件发生时的人员调动需求和足够的后备人力补充。实现应急队伍保障。</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对公安、消防、医疗救护、地震救援、海上搜救、矿山救护、森林消防、防洪抢险、核辐射、危险化学品事故救援、铁路事故和民航事故处置，以及水、电、油、气等工程抢险等救援队伍的依据专业分类和技能程度进行分组分类建档；对社会团体、企事业单位以及志愿者等各种社会力量的备案信息进行分类管理；对驻津部队、武警部队和民兵的备案信息进行分类建档。</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2、对以上人力资源信息进行统计分析，以保障突发公共事件人力资源。</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1.1.3.3.3.5.2 </w:t>
      </w:r>
      <w:r>
        <w:rPr>
          <w:rStyle w:val="17"/>
          <w:rFonts w:hint="eastAsia" w:ascii="宋体" w:hAnsi="宋体" w:eastAsia="宋体" w:cs="宋体"/>
          <w:color w:val="auto"/>
          <w:sz w:val="28"/>
          <w:szCs w:val="28"/>
          <w:highlight w:val="none"/>
        </w:rPr>
        <w:t>应急储备物资管理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物资管理包括对物资管理、分类管理、存放管理几大部分。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对应急物资储备的备案信息进行分类建档；对相关部门和各区（县）政府提出的物资需求计划，救灾物资和生活必需品的生产、储存和调拨方案及紧急配送体系等情况的备案信息进行分类建档；对有关应急物资、紧急救援医药用品的生产企业的生产状况，生产能力和储备情况的备案信息进行分类建档。</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2、对物资的类型、数量、用途、存放地、购买计划等存货、供应信息进行统计分析，以保障突发公共事件所需物资。</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1.1.3.3.3.5.3 </w:t>
      </w:r>
      <w:r>
        <w:rPr>
          <w:rStyle w:val="17"/>
          <w:rFonts w:hint="eastAsia" w:ascii="宋体" w:hAnsi="宋体" w:eastAsia="宋体" w:cs="宋体"/>
          <w:color w:val="auto"/>
          <w:sz w:val="28"/>
          <w:szCs w:val="28"/>
          <w:highlight w:val="none"/>
        </w:rPr>
        <w:t>医疗急救机构管理功能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1、对医疗、卫生救助和卫生防疫技术队伍以及卫生执法监督人员队伍的保障的备案信息进行分类建档，对各区（县）的医疗救治网络等备案信息进行分类建档。</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2、通过以上建档信息的统计分析，判定突发事件医疗保障的合理性。</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1.1.3.3.3.5.4 </w:t>
      </w:r>
      <w:r>
        <w:rPr>
          <w:rStyle w:val="17"/>
          <w:rFonts w:hint="eastAsia" w:ascii="宋体" w:hAnsi="宋体" w:eastAsia="宋体" w:cs="宋体"/>
          <w:color w:val="auto"/>
          <w:sz w:val="28"/>
          <w:szCs w:val="28"/>
          <w:highlight w:val="none"/>
        </w:rPr>
        <w:t>交通运输资源管理功能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对交通、铁路、民航、港口等有关部门的交通工具针对突发公共事件的调度安排等备案信息进行建档；对交通运输专业保障队伍、保障方案、运输工具、交通运输单位和运输工具数量、分布、功能和使用状态等备案信息进行分类建档。</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2、对交通运输保障的建档信息进行分析、统计。</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1.1.3.3.3.5.5 </w:t>
      </w:r>
      <w:r>
        <w:rPr>
          <w:rStyle w:val="17"/>
          <w:rFonts w:hint="eastAsia" w:ascii="宋体" w:hAnsi="宋体" w:eastAsia="宋体" w:cs="宋体"/>
          <w:color w:val="auto"/>
          <w:sz w:val="28"/>
          <w:szCs w:val="28"/>
          <w:highlight w:val="none"/>
        </w:rPr>
        <w:t>紧急避难场所管理功能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1、对各地市（县）政府紧急避难场所及其使用情况等备案信息进行分类建档。</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2、对紧急避难场所信息进行查询、分析。</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1.1.3.3.3.5.6 </w:t>
      </w:r>
      <w:r>
        <w:rPr>
          <w:rStyle w:val="17"/>
          <w:rFonts w:hint="eastAsia" w:ascii="宋体" w:hAnsi="宋体" w:eastAsia="宋体" w:cs="宋体"/>
          <w:color w:val="auto"/>
          <w:sz w:val="28"/>
          <w:szCs w:val="28"/>
          <w:highlight w:val="none"/>
        </w:rPr>
        <w:t>应急通讯资源管理功能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1、对突发公共事件的有关通讯保障、通讯录等备案信息进行分类管理。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2、对通讯保障信息进行查询分析。</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1.1.3.3.3.5.7 </w:t>
      </w:r>
      <w:r>
        <w:rPr>
          <w:rStyle w:val="17"/>
          <w:rFonts w:hint="eastAsia" w:ascii="宋体" w:hAnsi="宋体" w:eastAsia="宋体" w:cs="宋体"/>
          <w:color w:val="auto"/>
          <w:sz w:val="28"/>
          <w:szCs w:val="28"/>
          <w:highlight w:val="none"/>
        </w:rPr>
        <w:t>救援设备管理功能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完成对救援设备的基础信息维护，设备分类管理、设备监控、设备维护保养等多项功能。通过汇总各个联动部门的设备资源，对可调用设备能力和数量进行管理。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不同突发事件发生时对不同类设备的需求不尽相同，依据性能和用途对设备资源进行归类分组，便于整体调度。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对基本信息的维护，跟踪掌握各类设备的可利用效能、数量和当前工作状态。保障突发事件发生时的设备调动需求。</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1、对各相关单位配备的救援装备、器材的存货信息，以及相应的维护、保养和调用制度等备案信息进行分类建档。</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2、通过对工程抢险装备的品种、数量、维护、保养信息的分析统计，判定其合理性，以保障突发公共事件所需工程抢险装备。</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1.1.3.3.3.5.8 </w:t>
      </w:r>
      <w:r>
        <w:rPr>
          <w:rStyle w:val="17"/>
          <w:rFonts w:hint="eastAsia" w:ascii="宋体" w:hAnsi="宋体" w:eastAsia="宋体" w:cs="宋体"/>
          <w:color w:val="auto"/>
          <w:sz w:val="28"/>
          <w:szCs w:val="28"/>
          <w:highlight w:val="none"/>
        </w:rPr>
        <w:t>其它资源管理功能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建立有地震、公安、消防、交通、交管、房管、人防、气象、电信、化工、市政、建筑设计、给排水、市容、电力、燃气、医学、环保、社会科学等各学科专家组成的突发公共事件应急专家组，建立个人技术档案资料，实行动态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2、对技术专家档案进行统计分析。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3、对省民政局、各区（县）等有关部门对群众基本生活保障物资、基本生活用品及重要生活必需品的储备备案信息进行分类建档。</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1.1.3.3.3.6 </w:t>
      </w:r>
      <w:r>
        <w:rPr>
          <w:rFonts w:hint="eastAsia" w:ascii="宋体" w:hAnsi="宋体" w:eastAsia="宋体" w:cs="宋体"/>
          <w:color w:val="auto"/>
          <w:sz w:val="28"/>
          <w:szCs w:val="28"/>
          <w:highlight w:val="none"/>
        </w:rPr>
        <w:t>应急资源展示检索服务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1、应急资源信息分布汇聚</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基于电子地图的各类应急资源综合检索及分布聚合展示管理，包括救援队伍、救援专家、应急物资、救援装备、医疗资源、通信资源、运输资源及避难场所等应急资源，在全省统一的电子地图上进行汇聚标识、图形化展示，为省领导应急处置时查阅应急资源和信息提供支持。系统以电子地图聚合数量的方式展示全省各个区域应急资源的分布情况，当地图放大到一定比例，则直接显示各个应急资源的具体位置信息，点击相应应急资源的图标，可以查看该应急资源的详细信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2、“一键式”搜索管理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应急资源的“一键式”搜索功能，输入搜索关键字，系统自动检索匹配所有应急资源中包含该关键字的所有资源信息，并在地图上进行分布展示，包括应急资源名称匹配、地址匹配、区域匹配、管理单位匹配及关键字匹配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3、区域范围检索管理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系统提供周边指定范围的区域检索功能，如以突发事件发生地为中心，搜索事发周边半径多少公里的应急资源信息，系统自动检索展示周边该公里范围内的所有应急资源相关信息。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系统同时还提供了在电子地图上手动矩形拉框或多边形区域拉框等选择搜索功能，系统自动检索展示相应范围内的应急资源相关信息。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4、应急资源调度路径规划</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实现应急资源的调度路径规划及导航管理功能。支持根据检索的应急资源所在具体位置信息，在电子地图上实现到达该应急资源所在具体位置或该应急资源调度去事发现场的最佳路径规划管理，实现路径规划导航及预计到达最短时间的路径选择管理等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1.1.3.3.4 </w:t>
      </w:r>
      <w:r>
        <w:rPr>
          <w:rFonts w:hint="eastAsia" w:ascii="宋体" w:hAnsi="宋体" w:eastAsia="宋体" w:cs="宋体"/>
          <w:color w:val="auto"/>
          <w:sz w:val="28"/>
          <w:szCs w:val="28"/>
          <w:highlight w:val="none"/>
        </w:rPr>
        <w:t>应急处置</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融合市政公用、市容环卫、园林绿化、城市管理执法、城市管理物联感知、城市治理态势、城市突发事件、社会治安、公共安全等方面的预报预警信息，辅助管理者对生成的预警事件开展进行指挥调度工作，跟踪处置过程和处置结果，督办重点任务。</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1.1.3.3.4.1 </w:t>
      </w:r>
      <w:r>
        <w:rPr>
          <w:rFonts w:hint="eastAsia" w:ascii="宋体" w:hAnsi="宋体" w:eastAsia="宋体" w:cs="宋体"/>
          <w:color w:val="auto"/>
          <w:sz w:val="28"/>
          <w:szCs w:val="28"/>
          <w:highlight w:val="none"/>
        </w:rPr>
        <w:t>预防准备</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现代化的城市管理工作，需要科学有效地应对城市治理过程中的突发事件，改变传统应急工作中存在的“重处置、轻预防”的工作模式，把应对重大疫情、道路严重积水、供水管网破裂等城市突发事件的重心转移到城市突发事件发生前的预防准备工作上，强化危机意识，强化忧患意识和责任意识，抓好日常管理，将城市突发事件遏制在萌芽状态；不断完善应急预防预案，用确定性的充分准备来应对不确定性的突发状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建立预防准备系统，来提高城市突发事件的应对能力，通过建立预防预案体系，能够在突发事件发生前做到未雨绸缪，谋划在前，应对在前，通过预防训练演练强化城市突发事件的防范处置能力。本系统主要提供包括风险预警、值守管理、预防预案、预防演练等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1.1.3.3.4.1.1 </w:t>
      </w:r>
      <w:r>
        <w:rPr>
          <w:rStyle w:val="17"/>
          <w:rFonts w:hint="eastAsia" w:ascii="宋体" w:hAnsi="宋体" w:eastAsia="宋体" w:cs="宋体"/>
          <w:color w:val="auto"/>
          <w:sz w:val="28"/>
          <w:szCs w:val="28"/>
          <w:highlight w:val="none"/>
        </w:rPr>
        <w:t>风险预警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强化风险预警管理能够促进应急模式的转换，最大限度地让我们摒弃以往事件突发发生，然后再加以处置的落后的应对模式，而代之于通过风险评估实现危机预判，尽早加以解决的现代应对模式。风险管理在科学应对突发事件中具有先导性和前瞻性，是贯彻执行预防为主、增强应急管理预见性，赢得主动性的关键一环，是从更基础更科学的层面提髙应急管理能力的重要抓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于预防城市突发事件发生，应重视事件发生风险评估预警。通过对接气象、水利、海洋等部门预警数据，分析研判城市可能发生的突发性事件风险。比如，特大暴雨预警可能导致城市道路严重积水、道路交通堵塞等情况发生，系统应及时产生告警，启动相关预案，自动派发相关预防任务至责任单位、责任人，限期处置。</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预警系统实现各类监测业务预警信息的统一汇集与发布管理，根据预警信息危机程度及可能危害范围的不同，选取适宜的预警程序和方式，实现预警信息及时、准确地上传下达，实施科学指挥、决策、调度，从而使得城市突发事件能够根据预防预案，及时采取预防措施，最大限度地减少人员伤亡和财产损失。 系统主要包括数据汇集、预警设置、预警发布和防范响应等功能。</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1.1.3.3.4.1.1.1 </w:t>
      </w:r>
      <w:r>
        <w:rPr>
          <w:rFonts w:hint="eastAsia" w:ascii="宋体" w:hAnsi="宋体" w:eastAsia="宋体" w:cs="宋体"/>
          <w:color w:val="auto"/>
          <w:sz w:val="24"/>
          <w:szCs w:val="24"/>
          <w:highlight w:val="none"/>
        </w:rPr>
        <w:t>预警数据汇聚</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实现对城市突发事件各类监测监控系统预警信息的统一对接与汇聚，结合业务监测预警配置模型，进行统一的管理及展示。</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1.1.3.3.4.1.1.2 </w:t>
      </w:r>
      <w:r>
        <w:rPr>
          <w:rFonts w:hint="eastAsia" w:ascii="宋体" w:hAnsi="宋体" w:eastAsia="宋体" w:cs="宋体"/>
          <w:color w:val="auto"/>
          <w:sz w:val="24"/>
          <w:szCs w:val="24"/>
          <w:highlight w:val="none"/>
        </w:rPr>
        <w:t>风险预警设置</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系统为各类监测业务提供自动预警和手动预警两种方式，支持预警中心的短信和电话预警通知管理功能。   </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自动预警</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各站点可按照参数标准自定义设置预警参数，对达到预警标准的站点执行自动预警操作。</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手动预警</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管理人员可以按照操作步骤手动操作预警流程，发布预警信息。 </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1.1.3.3.4.1.1.3 </w:t>
      </w:r>
      <w:r>
        <w:rPr>
          <w:rFonts w:hint="eastAsia" w:ascii="宋体" w:hAnsi="宋体" w:eastAsia="宋体" w:cs="宋体"/>
          <w:color w:val="auto"/>
          <w:sz w:val="24"/>
          <w:szCs w:val="24"/>
          <w:highlight w:val="none"/>
        </w:rPr>
        <w:t>风险预警发布</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根据各类监测预警指标和等级划分，实现预警信息的发布管理，支持根据预警分析结果，在地图上以不同颜色闪烁的方式展示各区域的预警类别、预警级别等信息。</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1.1.3.3.4.1.1.4 </w:t>
      </w:r>
      <w:r>
        <w:rPr>
          <w:rFonts w:hint="eastAsia" w:ascii="宋体" w:hAnsi="宋体" w:eastAsia="宋体" w:cs="宋体"/>
          <w:color w:val="auto"/>
          <w:sz w:val="24"/>
          <w:szCs w:val="24"/>
          <w:highlight w:val="none"/>
        </w:rPr>
        <w:t>预警防范响应</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根据预警结果及信息发布情况，实现城市各监管部门的应急防范响应管理功能。风险防范响应管理主要包括以下功能：</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1.响应工作流程</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以图形方式显示工作流程，供使用人员参考。</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2.响应地图</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在地图上显示响应启动图示，并提供响应相关操作用户接口。</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3.响应列表</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显示各区域所有关联内部预警和外部预警的应急响应状态信息列表，包括“预警级别、预警时间、预警发布级别、预警发布时间、响应级别、响应启动时间、响应结束时间”等信息，并可以根据预警启动、修改和结束响应，提供历史响应的查询功能。</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4.响应措施</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以图表的方式显示响应措施的种类，可查看各个级别的响应措施。</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5.响应反馈</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在列表中显示各个响应反馈信息，包括“预警时间、下派工作组、投入人员”等信息，并提供实时录入功能，以便实时跟踪进展情况。</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1.1.3.3.4.1.2 </w:t>
      </w:r>
      <w:r>
        <w:rPr>
          <w:rStyle w:val="17"/>
          <w:rFonts w:hint="eastAsia" w:ascii="宋体" w:hAnsi="宋体" w:eastAsia="宋体" w:cs="宋体"/>
          <w:color w:val="auto"/>
          <w:sz w:val="28"/>
          <w:szCs w:val="28"/>
          <w:highlight w:val="none"/>
        </w:rPr>
        <w:t>值守管理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值守管理系统旨在实现各政府部门的综合值班值守管理，同时落实值班表及24小时值班制度，通过密切关注预测预警信息及突发事件的情况并及时上报、果断处置，保证信息联络及时、畅通。</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值守管理系统提供政府部门日常值班所需的功能，主要包括事件接报、值班日志、值班表等，满足城市综合管理日常值班业务的需要，将提高日常值班工作效率、降低日常值班工作复杂度作为主要目标。</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1.1.3.3.4.1.2.1 </w:t>
      </w:r>
      <w:r>
        <w:rPr>
          <w:rFonts w:hint="eastAsia" w:ascii="宋体" w:hAnsi="宋体" w:eastAsia="宋体" w:cs="宋体"/>
          <w:color w:val="auto"/>
          <w:sz w:val="24"/>
          <w:szCs w:val="24"/>
          <w:highlight w:val="none"/>
        </w:rPr>
        <w:t>值班排班管理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实现各级政府部门及单位值班日志信息的记录、办理、查询等功能；提供：</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各部门及单位日常值班信息、值班日志信息查询、打印等功能。</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系统提供手动排班及自动排班功能：</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（1）手动排班</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通过手动来进行排班管理，以及调班管理。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（2）自动排班</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平台提供自动排班功能，管理人员只需录入一些配置信息，便能实现系统的自动排班功能。</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1.1.3.3.4.1.2.2 </w:t>
      </w:r>
      <w:r>
        <w:rPr>
          <w:rFonts w:hint="eastAsia" w:ascii="宋体" w:hAnsi="宋体" w:eastAsia="宋体" w:cs="宋体"/>
          <w:color w:val="auto"/>
          <w:sz w:val="24"/>
          <w:szCs w:val="24"/>
          <w:highlight w:val="none"/>
        </w:rPr>
        <w:t>值班日志管理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实现政府部门及单位值班日志信息的记录、办理、查询等功能；提供日常值班信息特别提醒的功能。主要包括值班日志、值班报告及日常快报等管理功能。</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（1）值班日志</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各部门及单位值班日志信息的记录、办理、查询等功能。系统实现自动生成值班摘要的情况的汇总，每位值班员记录各自的日志，说明当前值班的情况。系统提供日常值班信息特别提醒的功能。主要包括待办事项办理、特别提醒、值班日志信息查询、打印等功能。</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（2）值班报告</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实现各级政府、各个区域、各有关职能部门的日常值班报告编制及维护管理功能。实现各个单位各政府部门日常值班报告的上报管理功能。</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（3）日常快报</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实现气象、防汛、交通等各级各个政府部门的日常快报编制、维护及上报管理功能。实现各类日常快报的上报及查阅管理。</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1.1.3.3.4.1.2.3 </w:t>
      </w:r>
      <w:r>
        <w:rPr>
          <w:rFonts w:hint="eastAsia" w:ascii="宋体" w:hAnsi="宋体" w:eastAsia="宋体" w:cs="宋体"/>
          <w:color w:val="auto"/>
          <w:sz w:val="24"/>
          <w:szCs w:val="24"/>
          <w:highlight w:val="none"/>
        </w:rPr>
        <w:t>待办事项管理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待办事项实现值班人员或管理人员的待办事项管理提醒及办理管理，支持待办事项在个人操作桌面的列表提醒，支持待办事项查询及办理具体的事项。</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醒事项实现当天值班人员事项的提醒。特别提醒事项有三种显示方式包括周、月、列表，用户可根据自己的习惯进行选择。系统提供创建特别提醒事项或者批量生成周期性特别提醒事项管理功能。另外特别提醒事项还提供了日历视图和列表视图两种视图展示方式，用户可以根据需求随时转变展示方式。特别提醒事项实现各个部门及单位对本部门的值班人员安排值班时要处理的特别提醒事项，包括对特别提醒事项的新增、删除、修改和查询功能。特别提醒事项包括以下内容：标题、内容、等级和提醒时间和值班类型，当新增特别提醒事项时，如果开始和结束时间有时间跨度，则按天为周期重复生成。</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1.1.3.3.4.1.2.4 </w:t>
      </w:r>
      <w:r>
        <w:rPr>
          <w:rFonts w:hint="eastAsia" w:ascii="宋体" w:hAnsi="宋体" w:eastAsia="宋体" w:cs="宋体"/>
          <w:color w:val="auto"/>
          <w:sz w:val="24"/>
          <w:szCs w:val="24"/>
          <w:highlight w:val="none"/>
        </w:rPr>
        <w:t>在线值班管理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实现政府部门及单位在线值班人员实时查阅管理功能，支持值班人员语音电话通讯调度及短信消息通知等管理功能，满足日常值班查阅及沟通的需求。</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1.1.3.3.4.1.2.5 </w:t>
      </w:r>
      <w:r>
        <w:rPr>
          <w:rFonts w:hint="eastAsia" w:ascii="宋体" w:hAnsi="宋体" w:eastAsia="宋体" w:cs="宋体"/>
          <w:color w:val="auto"/>
          <w:sz w:val="24"/>
          <w:szCs w:val="24"/>
          <w:highlight w:val="none"/>
        </w:rPr>
        <w:t>文档材料管理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实现各个职能部门相关城市综合管理信息和相关数据文档资料的维护、查询及调用管理功能。</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1.1.3.3.4.1.2.6 </w:t>
      </w:r>
      <w:r>
        <w:rPr>
          <w:rFonts w:hint="eastAsia" w:ascii="宋体" w:hAnsi="宋体" w:eastAsia="宋体" w:cs="宋体"/>
          <w:color w:val="auto"/>
          <w:sz w:val="24"/>
          <w:szCs w:val="24"/>
          <w:highlight w:val="none"/>
        </w:rPr>
        <w:t>值班统计管理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实现排班人员在排班管理界面可以通过选择起始日期条件，值班人员、值班类别生成值班统计表功能，实现统计报告导出功能。</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1.1.3.3.4.1.2.7 </w:t>
      </w:r>
      <w:r>
        <w:rPr>
          <w:rFonts w:hint="eastAsia" w:ascii="宋体" w:hAnsi="宋体" w:eastAsia="宋体" w:cs="宋体"/>
          <w:color w:val="auto"/>
          <w:sz w:val="24"/>
          <w:szCs w:val="24"/>
          <w:highlight w:val="none"/>
        </w:rPr>
        <w:t>通知公告管理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实现城市各协同部门内部的通知公告管理功能，包括公告发布、删除等维护操作。</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系统支持通知公告的短信发送与通知管理功能，实现管理人员可根据通讯录或联系电话直接发送手机短信通知管理功能，满足政府机关日常信息沟通与相关短消息的及时通知管理需求。</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1.1.3.3.4.1.3 </w:t>
      </w:r>
      <w:r>
        <w:rPr>
          <w:rStyle w:val="17"/>
          <w:rFonts w:hint="eastAsia" w:ascii="宋体" w:hAnsi="宋体" w:eastAsia="宋体" w:cs="宋体"/>
          <w:color w:val="auto"/>
          <w:sz w:val="28"/>
          <w:szCs w:val="28"/>
          <w:highlight w:val="none"/>
        </w:rPr>
        <w:t>预防预案</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突发事件预防预案就是用确定性的充分准备来应对不确定性的突发状况，能够在突发事件发生前做到未雨绸缪，谋划在前，应对在前，是变应急管理为日常管理的有效手段，在突发事件的应对过程中起着重要的作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于预防城市突发事件，应急建立相应的应急预案体系，不断完善应急预案首要的是充分认识应急预案的重要性和必要性。同时做到编制预案目的明确，原则正确，符合实际，着重操作。城市突发事件应对工作实行预防为主、预防与应急相结合的原则，把应急预防纳人到应急预案之中，不断完善预案强调应急预案管理的动态性，针对应急预案存在的问题给予持续性关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城市突发事件预防预案系统主要包括预案编制、预案管理、预案审核、预案备案、预案共享等功能。</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1.1.3.3.4.1.3.1 </w:t>
      </w:r>
      <w:r>
        <w:rPr>
          <w:rFonts w:hint="eastAsia" w:ascii="宋体" w:hAnsi="宋体" w:eastAsia="宋体" w:cs="宋体"/>
          <w:color w:val="auto"/>
          <w:sz w:val="24"/>
          <w:szCs w:val="24"/>
          <w:highlight w:val="none"/>
        </w:rPr>
        <w:t>预案编制</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编制服务具备预案模板管理、预案参考材料管理、预案线上编制、预案内容对比分析等功能。其中，预案内容对比分析基于预案数字化功能，比对预案指挥体系和部门职责等内容。预案编制服务旨在提供预案编制参考依据和预案的线上编制功能，有利于提高预案科学性、合理性，实现预案编制的标准化。</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1.1.3.3.4.1.3.2 </w:t>
      </w:r>
      <w:r>
        <w:rPr>
          <w:rFonts w:hint="eastAsia" w:ascii="宋体" w:hAnsi="宋体" w:eastAsia="宋体" w:cs="宋体"/>
          <w:color w:val="auto"/>
          <w:sz w:val="24"/>
          <w:szCs w:val="24"/>
          <w:highlight w:val="none"/>
        </w:rPr>
        <w:t>预案管理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管理包括预案文档导入、预案分类管理、预案体系图、预案链管理、预案统计展示、预案内容检索等功能。实现了按照预案级别、类别（总体、专项、部门、中央企业等）、类型（城市内涝、管网漏水等）、编制单位等，对预案进行维护管理。</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1.1.3.3.4.1.3.3 </w:t>
      </w:r>
      <w:r>
        <w:rPr>
          <w:rFonts w:hint="eastAsia" w:ascii="宋体" w:hAnsi="宋体" w:eastAsia="宋体" w:cs="宋体"/>
          <w:color w:val="auto"/>
          <w:sz w:val="24"/>
          <w:szCs w:val="24"/>
          <w:highlight w:val="none"/>
        </w:rPr>
        <w:t>预案审核</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预案审核包括预案审核管理、预案审核人员管理、预案审核流程管理、预案审核结果统计和审核智能提醒等功能，为预案线上审核工作提供信息化的支撑。</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1.1.3.3.4.1.3.4 </w:t>
      </w:r>
      <w:r>
        <w:rPr>
          <w:rFonts w:hint="eastAsia" w:ascii="宋体" w:hAnsi="宋体" w:eastAsia="宋体" w:cs="宋体"/>
          <w:color w:val="auto"/>
          <w:sz w:val="24"/>
          <w:szCs w:val="24"/>
          <w:highlight w:val="none"/>
        </w:rPr>
        <w:t>预案备案</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预案备案包括预案备案管理、预案备案单位管理、预案备案进度跟踪、预案修订周期管理和备案智能提醒等功能，为预案线上备案工作提供信息化的支撑。</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1.1.3.3.4.1.3.5 </w:t>
      </w:r>
      <w:r>
        <w:rPr>
          <w:rFonts w:hint="eastAsia" w:ascii="宋体" w:hAnsi="宋体" w:eastAsia="宋体" w:cs="宋体"/>
          <w:color w:val="auto"/>
          <w:sz w:val="24"/>
          <w:szCs w:val="24"/>
          <w:highlight w:val="none"/>
        </w:rPr>
        <w:t>预案共享</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预案交流共享通过开放访问权限的方式，为各个行业部门提供预案材料以供参考和学习。同时，用户可对共享的预案材料进行意见反馈，提出建议或需求。</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1.1.3.3.4.1.3.6 </w:t>
      </w:r>
      <w:r>
        <w:rPr>
          <w:rFonts w:hint="eastAsia" w:ascii="宋体" w:hAnsi="宋体" w:eastAsia="宋体" w:cs="宋体"/>
          <w:color w:val="auto"/>
          <w:sz w:val="24"/>
          <w:szCs w:val="24"/>
          <w:highlight w:val="none"/>
        </w:rPr>
        <w:t>预案结构化</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主要完成预案结构化，包括预案的结构化要素以及预案与其涉及的指标体系、专家信息、救援力量、应急响应、应急保障、信息发布、恢复重建等信息的关联。提供数字预案的查询检索、浏览和输出等功能。</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结构化后的数字预案与文本预案相比，内容更加丰富，便于计算机的自动化处理，大大扩展了预案的应用能力。</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1.1.3.3.4.1.4 </w:t>
      </w:r>
      <w:r>
        <w:rPr>
          <w:rStyle w:val="17"/>
          <w:rFonts w:hint="eastAsia" w:ascii="宋体" w:hAnsi="宋体" w:eastAsia="宋体" w:cs="宋体"/>
          <w:color w:val="auto"/>
          <w:sz w:val="28"/>
          <w:szCs w:val="28"/>
          <w:highlight w:val="none"/>
        </w:rPr>
        <w:t>预防演练</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防演练的作用，主要是强化指挥人员和参与人员有针对性的培训，明确各自职责，熟悉城市突发事件应对流程、学习装备的使用方法等等。预防演练可以检验应急预案的实用性、有效性，发现问题，修正错误，为预防预案的修改完善提供可靠的依据，同时，通过预防演练可以从总体上评估预防准备工作，总结经验，提高预防处置体系的反应能力，以及指挥系统的协调作战能力。</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要做好预防演练，首先要提高认识，充分认识做好预防训练演练的必要性，真训真学真练。明确责任，做好应急演练方案的策划、编制和执行工作，积极为演练成功落实必要的物资和经费保障，做好演练评估、分析、总结，并不断对演练方案及应急预案进行修订改进。</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预防演练系统主要包括演练计划管理、演练场景构建、演练总结评估、演练统计分析、演练材料管理、演练共享交流等功能。</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1.1.3.3.4.1.4.1 </w:t>
      </w:r>
      <w:r>
        <w:rPr>
          <w:rFonts w:hint="eastAsia" w:ascii="宋体" w:hAnsi="宋体" w:eastAsia="宋体" w:cs="宋体"/>
          <w:color w:val="auto"/>
          <w:sz w:val="24"/>
          <w:szCs w:val="24"/>
          <w:highlight w:val="none"/>
        </w:rPr>
        <w:t>演练计划管理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计划阶段需要进行演练的需求分析，明确演练的目标和任务，制定演练计划，确定演练参演人员队伍、演练工作经费以及其他需要决定的重要事项，并审核演练工作方案、编制演练脚本。系统支持演练计划和演练脚本的维护、审核以及演练计划发布等相关管理功能。</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1.1.3.3.4.1.4.2 </w:t>
      </w:r>
      <w:r>
        <w:rPr>
          <w:rFonts w:hint="eastAsia" w:ascii="宋体" w:hAnsi="宋体" w:eastAsia="宋体" w:cs="宋体"/>
          <w:color w:val="auto"/>
          <w:sz w:val="24"/>
          <w:szCs w:val="24"/>
          <w:highlight w:val="none"/>
        </w:rPr>
        <w:t>模拟演练场景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可依托“城市管理一张图”功能，结合预防预案系统，在线构建模拟演练场景，支持根据多种城市突发事件类型构建涉及多队伍，跨区域的在线演练场景，能够检验预防预案的操作性、科学性和队伍的应急响应能力。同时系统可根据队伍在演练中的实际表现进行评分，综合考评队伍培训演练的实际效果。</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1.1.3.3.4.1.4.3 </w:t>
      </w:r>
      <w:r>
        <w:rPr>
          <w:rFonts w:hint="eastAsia" w:ascii="宋体" w:hAnsi="宋体" w:eastAsia="宋体" w:cs="宋体"/>
          <w:color w:val="auto"/>
          <w:sz w:val="24"/>
          <w:szCs w:val="24"/>
          <w:highlight w:val="none"/>
        </w:rPr>
        <w:t>协同会商演练</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会商包括定期会商、应急会商和重大情况会商，以事件以驱动，以预案为主线，建设本项目协同会商功能，包括防汛会商、防风会商、防旱会商。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灾害事件的处理流程包括：事件发生、监视预报、协同会商、协同指挥、抢险救灾、灾后重建、统计上报等步骤。</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1.1.3.3.4.1.4.4 </w:t>
      </w:r>
      <w:r>
        <w:rPr>
          <w:rFonts w:hint="eastAsia" w:ascii="宋体" w:hAnsi="宋体" w:eastAsia="宋体" w:cs="宋体"/>
          <w:color w:val="auto"/>
          <w:sz w:val="24"/>
          <w:szCs w:val="24"/>
          <w:highlight w:val="none"/>
        </w:rPr>
        <w:t>演练总结评估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参演队伍及人员的表现、演练中暴露的问题、解决问题的办法进行总结，内容包括：演练目的、时间和地点、参演单位和人员、演练方案概要、演练的执行情况、预案的合理性与可操作性、应急力量的响应时间、参演人员的处置能力、演练目标的实现情况、发现的问题与原因、经验和教训以及改进建议等。</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1.1.3.3.4.1.4.5 </w:t>
      </w:r>
      <w:r>
        <w:rPr>
          <w:rFonts w:hint="eastAsia" w:ascii="宋体" w:hAnsi="宋体" w:eastAsia="宋体" w:cs="宋体"/>
          <w:color w:val="auto"/>
          <w:sz w:val="24"/>
          <w:szCs w:val="24"/>
          <w:highlight w:val="none"/>
        </w:rPr>
        <w:t>演练统计分析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可按照演练类型、参演单位、演练次数、行政区划等方式对演练进行统计分析，以柱状图、饼状图、统计表等形式展现统计结果，支持对统计结果的导出。通过对预防演练进行统计分析，能够反映出哪些单位或哪种预防演练存在欠缺和不足，需要加强，为预防演练工作优化提升提供数据依据。</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1.1.3.3.4.1.4.6 </w:t>
      </w:r>
      <w:r>
        <w:rPr>
          <w:rFonts w:hint="eastAsia" w:ascii="宋体" w:hAnsi="宋体" w:eastAsia="宋体" w:cs="宋体"/>
          <w:color w:val="auto"/>
          <w:sz w:val="24"/>
          <w:szCs w:val="24"/>
          <w:highlight w:val="none"/>
        </w:rPr>
        <w:t>演练材料管理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演练材料管理对演练计划、演练脚本、演练总结报告等文字资料以及记录演练实施过程中的相关图片、视频、音频等资料进行分类管理，并支持通过关键字、演练主题、参演单位、演练时间等条件进行检索查询。</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1.1.3.3.4.1.4.7 </w:t>
      </w:r>
      <w:r>
        <w:rPr>
          <w:rFonts w:hint="eastAsia" w:ascii="宋体" w:hAnsi="宋体" w:eastAsia="宋体" w:cs="宋体"/>
          <w:color w:val="auto"/>
          <w:sz w:val="24"/>
          <w:szCs w:val="24"/>
          <w:highlight w:val="none"/>
        </w:rPr>
        <w:t>演练交流共享</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演练交流共享通过开放访问权限的方式，为各级应急管理部门以及相关企业提供演练材料以供参考和学习。同时，用户可对共享的演练材料进行意见反馈，提出建议或需求，旨在提高预防演练效果，防止演练流于形式。</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1.1.3.3.4.2 </w:t>
      </w:r>
      <w:r>
        <w:rPr>
          <w:rFonts w:hint="eastAsia" w:ascii="宋体" w:hAnsi="宋体" w:eastAsia="宋体" w:cs="宋体"/>
          <w:color w:val="auto"/>
          <w:sz w:val="28"/>
          <w:szCs w:val="28"/>
          <w:highlight w:val="none"/>
        </w:rPr>
        <w:t>风险评估</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城市管理突发事件的风险评估是城市管理应急处置工作的重要内容。通过科学的监测手段获得的详实数据，经过风险评估系统的加工与处理，为决策者提供辅助决策依据。</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本系统提供包括监控目标管理、信息查询、风险研判分析、风险评估模型、风险报告管理等功能。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1.1.3.3.4.2.1 </w:t>
      </w:r>
      <w:r>
        <w:rPr>
          <w:rStyle w:val="17"/>
          <w:rFonts w:hint="eastAsia" w:ascii="宋体" w:hAnsi="宋体" w:eastAsia="宋体" w:cs="宋体"/>
          <w:color w:val="auto"/>
          <w:sz w:val="28"/>
          <w:szCs w:val="28"/>
          <w:highlight w:val="none"/>
        </w:rPr>
        <w:t>监控目标管理</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1.1.3.3.4.2.1.1 </w:t>
      </w:r>
      <w:r>
        <w:rPr>
          <w:rFonts w:hint="eastAsia" w:ascii="宋体" w:hAnsi="宋体" w:eastAsia="宋体" w:cs="宋体"/>
          <w:color w:val="auto"/>
          <w:sz w:val="24"/>
          <w:szCs w:val="24"/>
          <w:highlight w:val="none"/>
        </w:rPr>
        <w:t>防护目标管理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依据城市综合管理信息资源分类编码标准，按分级分类的原则将重点防护目标等信息进行集中管理，平台提供重点防护目标信息的检索、查看、定位等功能。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（1）重点防护目标信息管理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提供重点防护目标的信息管理功能。重点防护目标的信息包括属性信息和地理位置信息、扩展信息等部分。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属性信息主要指名称、类型、所属行政区划、所属单位、详细地址、等级、负责人、联系方式等基本信息；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地理位置信息主要指重点防护目标所在地的具体经、纬度，一般以地理信息图层形式存储。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重点防护目标扩展信息指不同类型的重点防护目标特有的信息。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（2）重点防护目标查询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对重点防护目标查询的功能。重点防护目标查询通过重点防护目标属性信息查询和地理信息查询两种方式实现。属性信息查询：通过重点防护目标名称、类型、所属部门、所属行政区划进行复合查询；地理信息查询：在二维、三维地图上，通过缓冲区查询特定范围内的重点防护目标，并进行查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（3）重点防护目标地图定位</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针对特定重点防护目标，可迅速进行精确定位。</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1.1.3.3.4.2.1.2 </w:t>
      </w:r>
      <w:r>
        <w:rPr>
          <w:rFonts w:hint="eastAsia" w:ascii="宋体" w:hAnsi="宋体" w:eastAsia="宋体" w:cs="宋体"/>
          <w:color w:val="auto"/>
          <w:sz w:val="24"/>
          <w:szCs w:val="24"/>
          <w:highlight w:val="none"/>
        </w:rPr>
        <w:t>危险源管理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对涉及城市安全危险源（含风险隐患）进行管理。主要包括重大灾害风险区、运输危险源（石油、危化品等）、生产安全危险源、社会安全隐患等。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危险源信息的更新和维护均由重大危险源主管部门定期进行；各单位之间重大危险源信息的共享由系统统一进行资源授权。</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（1）重大危险源信息管理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提供重大危险源的信息管理功能。重大危险源的信息包括属性信息和地理位置信息、扩展信息等部分。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属性信息主要指名称、类型、所属行政区划、所属单位、详细地址、等级、负责人、联系方式等基本信息；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地理位置信息主要指重大危险源所在地的具体经、纬度，一般以地理图层形式存储。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重大危险源扩展信息指不同类型的重大危险源特有的信息。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（2）重大危险源查询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对重大危险源查询的功能。重大危险源查询通过重大危险源属性信息查询和地理信息查询两种方式实现。属性信息查询：通过重大危险源名称、类型、所属部门、所属行政区划进行复合查询；地理信息查询：在二维、三维地图上，通过缓冲区查询特定范围内的重大危险源，并进行查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（3）重大危险源地图定位</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针对特定重大危险源，可迅速进行精确定位。</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1.1.3.3.4.2.2 </w:t>
      </w:r>
      <w:r>
        <w:rPr>
          <w:rStyle w:val="17"/>
          <w:rFonts w:hint="eastAsia" w:ascii="宋体" w:hAnsi="宋体" w:eastAsia="宋体" w:cs="宋体"/>
          <w:color w:val="auto"/>
          <w:sz w:val="28"/>
          <w:szCs w:val="28"/>
          <w:highlight w:val="none"/>
        </w:rPr>
        <w:t>风险信息查询</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1.1.3.3.4.2.2.1 </w:t>
      </w:r>
      <w:r>
        <w:rPr>
          <w:rFonts w:hint="eastAsia" w:ascii="宋体" w:hAnsi="宋体" w:eastAsia="宋体" w:cs="宋体"/>
          <w:color w:val="auto"/>
          <w:sz w:val="24"/>
          <w:szCs w:val="24"/>
          <w:highlight w:val="none"/>
        </w:rPr>
        <w:t>风险区划查询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实现现有的风险区划成果数字化处理，实现本地各类城市突发事件风险区划信息化展示，接入气象、应急、水利等部门数据信息，实现GIS动态跟踪及预警提示。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不同需求背景下的风险空间分布情况，并针对每类风险给出防御措施与针对性的建议，规避隐患风险。城市内涝风险评估：在GIS地图上标注易积涝区（点），直观展示当前最新积涝分布图，以热力图形式展现主干道积水范围与积水深度，达到阈值时进行报警提醒。</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1.1.3.3.4.2.2.2 </w:t>
      </w:r>
      <w:r>
        <w:rPr>
          <w:rFonts w:hint="eastAsia" w:ascii="宋体" w:hAnsi="宋体" w:eastAsia="宋体" w:cs="宋体"/>
          <w:color w:val="auto"/>
          <w:sz w:val="24"/>
          <w:szCs w:val="24"/>
          <w:highlight w:val="none"/>
        </w:rPr>
        <w:t>避灾点查询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利用关键字、周边搜索、方搜、圆搜等多种查询、搜索和空间分析方式对避灾点进行查询和空间定位，可查看避灾点的面积、容纳人数以及配套的应急救助设施、储备应急物资等。</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1.1.3.3.4.2.2.3 </w:t>
      </w:r>
      <w:r>
        <w:rPr>
          <w:rFonts w:hint="eastAsia" w:ascii="宋体" w:hAnsi="宋体" w:eastAsia="宋体" w:cs="宋体"/>
          <w:color w:val="auto"/>
          <w:sz w:val="24"/>
          <w:szCs w:val="24"/>
          <w:highlight w:val="none"/>
        </w:rPr>
        <w:t>撤离路线分析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撤离路线分析功能，即在灾害的应急状态下，可通过该分析功能得到最佳撤离路线。将分析的结果标绘在地图上，并配以路线行走的文字描述，如，哪里转弯、沿某条路行走多长距离。若灾害比较严重，发生道路淹没、阻断等情况，系统提供相应的设置功能，则系统根据堵塞情况自动更新撤离路线。该功能的后台路径数据库基于导航路径，数据精度、时效性有保障。</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1.1.3.3.4.2.3 </w:t>
      </w:r>
      <w:r>
        <w:rPr>
          <w:rStyle w:val="17"/>
          <w:rFonts w:hint="eastAsia" w:ascii="宋体" w:hAnsi="宋体" w:eastAsia="宋体" w:cs="宋体"/>
          <w:color w:val="auto"/>
          <w:sz w:val="28"/>
          <w:szCs w:val="28"/>
          <w:highlight w:val="none"/>
        </w:rPr>
        <w:t>风险研判分析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建立集收集、直报、汇总、分析等功能的风险研判分析，实现城市突发事件风险的视频、图片以及文字收集。</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1.1.3.3.4.2.3.1 </w:t>
      </w:r>
      <w:r>
        <w:rPr>
          <w:rFonts w:hint="eastAsia" w:ascii="宋体" w:hAnsi="宋体" w:eastAsia="宋体" w:cs="宋体"/>
          <w:color w:val="auto"/>
          <w:sz w:val="24"/>
          <w:szCs w:val="24"/>
          <w:highlight w:val="none"/>
        </w:rPr>
        <w:t>风险信息录入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系统提供后台风险信息录入功能，包括易发区信息、事故隐患点信息、危险源风险信息等内容。可支持对录入的风险信息进行编辑、删除等操作。</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1.1.3.3.4.2.3.2 </w:t>
      </w:r>
      <w:r>
        <w:rPr>
          <w:rFonts w:hint="eastAsia" w:ascii="宋体" w:hAnsi="宋体" w:eastAsia="宋体" w:cs="宋体"/>
          <w:color w:val="auto"/>
          <w:sz w:val="24"/>
          <w:szCs w:val="24"/>
          <w:highlight w:val="none"/>
        </w:rPr>
        <w:t>风险态势标绘</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调用通用地理信息相关软件标绘工具，对风险分析结果进行可视化展示，通过二维或三维符号化功能，动态数据展现等技术，直观生动地表达风险分析结果。</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1.1.3.3.4.2.3.3 </w:t>
      </w:r>
      <w:r>
        <w:rPr>
          <w:rFonts w:hint="eastAsia" w:ascii="宋体" w:hAnsi="宋体" w:eastAsia="宋体" w:cs="宋体"/>
          <w:color w:val="auto"/>
          <w:sz w:val="24"/>
          <w:szCs w:val="24"/>
          <w:highlight w:val="none"/>
        </w:rPr>
        <w:t>风险研判</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为各级授权用户共享基于行政地图、卫星影像、地形图等多种形式，对地理信息、灾害易发区信息、灾害隐患点信息、危险源风险信息、基础设施信息、社会经济基础信息以及共享的监测信息、预报预警信息数据的叠加显示和查询功能。</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1.1.3.3.4.2.3.4 </w:t>
      </w:r>
      <w:r>
        <w:rPr>
          <w:rFonts w:hint="eastAsia" w:ascii="宋体" w:hAnsi="宋体" w:eastAsia="宋体" w:cs="宋体"/>
          <w:color w:val="auto"/>
          <w:sz w:val="24"/>
          <w:szCs w:val="24"/>
          <w:highlight w:val="none"/>
        </w:rPr>
        <w:t>风险分析统计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为各市县级授权用户提供突发公共事件风险落区内共享信息的查询统计及汇总分析功能，实现根据用户筛选数据种类包括风险类型、风险等级、发布区域、信息来源等进行查询、统计汇总以及生成查询统计报表并提供导出、打印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1.1.3.3.4.2.4 </w:t>
      </w:r>
      <w:r>
        <w:rPr>
          <w:rStyle w:val="17"/>
          <w:rFonts w:hint="eastAsia" w:ascii="宋体" w:hAnsi="宋体" w:eastAsia="宋体" w:cs="宋体"/>
          <w:color w:val="auto"/>
          <w:sz w:val="28"/>
          <w:szCs w:val="28"/>
          <w:highlight w:val="none"/>
        </w:rPr>
        <w:t>风险评估模型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建立城市突发事件风险隐患评估模型，从城市突发事件危险性和脆弱性两个维度构建城市突发事件风险评估指标体系。实现对高风险区域、高风险隐患点原生风险可能造成的次生衍生风险及其造成影响的分析。测算发生次生衍生风险，造成的影响范围、持续事件、未来发展态势等信息。针对城市突发事件高风险隐患点周边情况可进行快速分析，依托系统内置模型，运用次生衍生事件链技术，依据多灾种和高风险点周边及高风险区域内的基础资源、突发事件次生多因素的耦合规律、承载体的脆弱性，分析事故灾害可能引发的次生衍生灾害。并制作成次生衍生事件风险服务信息，为相关部门应对城市突发事件风险防御提供信息支撑服务。</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1.1.3.3.4.2.4.1 </w:t>
      </w:r>
      <w:r>
        <w:rPr>
          <w:rFonts w:hint="eastAsia" w:ascii="宋体" w:hAnsi="宋体" w:eastAsia="宋体" w:cs="宋体"/>
          <w:color w:val="auto"/>
          <w:sz w:val="24"/>
          <w:szCs w:val="24"/>
          <w:highlight w:val="none"/>
        </w:rPr>
        <w:t>突发事件风险评估指标</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城市各类突发事件的历史资料和现有的相关数据为依据，运用科学预测和统计分析等技术和方法，对城市各类突发事件发生的可能性和突发事件发生后承灾体可能遭受的损失进行的科学估算。为有效的预防和积极的应对突发事件提供辅助参考。城市突发事件风险评估由城市突发事件危险性评估和承灾体脆弱性评估两部分构成，因此，评估指标体系也围绕这两部分进行构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（1）危险性评估指标</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突发事件危险性指的是一个地区因其特殊的自然环境、人文环境以及以往突发事件发生状况所决定的各种突发事件发生的可能性。自然灾害类突发事件的发生可能性由孕灾环境稳定性和突发事件历史灾情两部分构成，而其他三类突发事件的发生可能性主要由突发事件历史灾情决定</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孕灾环境稳定性评估指标包括地形、地貌、水文、气候、植被、土壤、动植物等内容。</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突发事件历史灾情是指各类突发事件的历史发生状况。包括事件强度和发生频次。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（2）承灾体脆弱性评估指标</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包括承灾体物理暴露性和承灾体区域防抗突发事件风险的基础应灾能力两方面设计承灾体的脆弱性评估指标体系。</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承灾体物理暴露性评估指标包括人口密度、经济密度、建筑密度、矿藏种类、森林覆盖率、人均供应煤气总量、人均供水总量和人均城市道路面积等。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承灾体区域基础应灾能力评估指标包括人力资源、财力资源、物资基础。</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其中人力资源具体指的是人口年龄指数、各类专业技术人员数、每千人医生数；财力资源具体指的是人均可支配收入；物资基础具体指的是城市区域内应急抢险能力或灾害信息预警发布能力，包括每千人病床数、每百户居民移动电话数、警力密度。</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1.1.3.3.4.2.4.2 </w:t>
      </w:r>
      <w:r>
        <w:rPr>
          <w:rFonts w:hint="eastAsia" w:ascii="宋体" w:hAnsi="宋体" w:eastAsia="宋体" w:cs="宋体"/>
          <w:color w:val="auto"/>
          <w:sz w:val="24"/>
          <w:szCs w:val="24"/>
          <w:highlight w:val="none"/>
        </w:rPr>
        <w:t>评估指标管理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（1）指标修改</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可以对导入到系统中的评估指标，按照条件查询出，然后进行相应的指标修改，并保存回系统中。</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（2）指标删除</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可以对导入到系统中的评估指标，按照条件查询出，然后进行相应的指标删除操作。</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（3）指标恢复</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可以对删除的指标进行回收，以便于日后恢复。</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（4）指标导出</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可以对导入到系统中的指标，按照条件查询出，然后进行相应的指标导出操作。</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1.1.3.3.4.2.4.3 </w:t>
      </w:r>
      <w:r>
        <w:rPr>
          <w:rFonts w:hint="eastAsia" w:ascii="宋体" w:hAnsi="宋体" w:eastAsia="宋体" w:cs="宋体"/>
          <w:color w:val="auto"/>
          <w:sz w:val="24"/>
          <w:szCs w:val="24"/>
          <w:highlight w:val="none"/>
        </w:rPr>
        <w:t>评估公式管理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通过公式编辑器实现对公式新建、删除、查询、修改的灵活编辑。公式包括基础算术公式、高级运算公式、逻辑运算公式以及对这些公式的多重组合。</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1.1.3.3.4.2.4.4 </w:t>
      </w:r>
      <w:r>
        <w:rPr>
          <w:rFonts w:hint="eastAsia" w:ascii="宋体" w:hAnsi="宋体" w:eastAsia="宋体" w:cs="宋体"/>
          <w:color w:val="auto"/>
          <w:sz w:val="24"/>
          <w:szCs w:val="24"/>
          <w:highlight w:val="none"/>
        </w:rPr>
        <w:t>评估方法管理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通过评估方法定制界面实现评价方法的灵活定制，包括评价方法的新建、删除、查询、修改。</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1.1.3.3.4.2.5 </w:t>
      </w:r>
      <w:r>
        <w:rPr>
          <w:rStyle w:val="17"/>
          <w:rFonts w:hint="eastAsia" w:ascii="宋体" w:hAnsi="宋体" w:eastAsia="宋体" w:cs="宋体"/>
          <w:color w:val="auto"/>
          <w:sz w:val="28"/>
          <w:szCs w:val="28"/>
          <w:highlight w:val="none"/>
        </w:rPr>
        <w:t>风险报告管理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风险报告管理包含局属单位上报的风险报告和风险隐患监测防控系统产生的风险报告，进行编辑和输出。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1.1.3.3.4.3 </w:t>
      </w:r>
      <w:r>
        <w:rPr>
          <w:rFonts w:hint="eastAsia" w:ascii="宋体" w:hAnsi="宋体" w:eastAsia="宋体" w:cs="宋体"/>
          <w:color w:val="auto"/>
          <w:sz w:val="28"/>
          <w:szCs w:val="28"/>
          <w:highlight w:val="none"/>
        </w:rPr>
        <w:t>指挥联动</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现有e福州综合指挥平台的基础上拓展提升，完善横向联动“市政、园林、环卫、城管”等多部门、纵向贯穿“市、区县、街镇、社区、网格”五级的事件处置体系，完成城市管理事件的统一预防准备与指挥联动处置。</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系统主要实现指挥体系联动、资源调度联动、指挥处置联动、督查督办联动等方面的提升建设，切实推进共建共治共享的城市治理体系，提升城市突发事件部门联动反应能力，确保先期处置快速高效。</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1.1.3.3.4.3.1 </w:t>
      </w:r>
      <w:r>
        <w:rPr>
          <w:rStyle w:val="17"/>
          <w:rFonts w:hint="eastAsia" w:ascii="宋体" w:hAnsi="宋体" w:eastAsia="宋体" w:cs="宋体"/>
          <w:color w:val="auto"/>
          <w:sz w:val="28"/>
          <w:szCs w:val="28"/>
          <w:highlight w:val="none"/>
        </w:rPr>
        <w:t>指挥体系联动</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现有e福州综合指挥平台基础上，升级建立指挥联动体系。全面整合社会各种服务资源，将公安交管、城乡建设、交通运输、自然资源、生态环境等众多政府管理部门全面纳入统一的城市应急指挥调度系统当中，为民众应急求助和应急管理提高服务，形成集公安、消防、交通、医疗卫生、公共事业等多个部门为一体的社会紧急救助保障系统。城市应急联动指挥体系的建立能够切实加强各政府职能部门之间的协调合作和协同作战，能够形成纵向指挥得当、横向相互配合的应急管理格局，能够对城市突发事件和紧急事态做出有序、快速高效的应对措施。</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突发事件指挥联动需要规范指挥体系和指挥调度联动，形成横向沟通、上下一体的指挥关系，将尽可能多的救援与保障单元纳入同一个信息层次，缩短信息流程，实现信息共享，以满足救援实时决策、实时指挥、实时反馈的要求。建设现代化的突发事件指挥联动体系，有利于实现应急预案的科学性、应急物资的准确性、应急通信的便捷性、应急队伍的合理性、应急专家的全面性和应急信息的权威性。</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城市突发事件指挥联动体系包括组织体系管理、信息自动关联、信息快速检索、指挥保障体系和指挥管理体系。</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1.1.3.3.4.3.1.1 </w:t>
      </w:r>
      <w:r>
        <w:rPr>
          <w:rFonts w:hint="eastAsia" w:ascii="宋体" w:hAnsi="宋体" w:eastAsia="宋体" w:cs="宋体"/>
          <w:color w:val="auto"/>
          <w:sz w:val="24"/>
          <w:szCs w:val="24"/>
          <w:highlight w:val="none"/>
        </w:rPr>
        <w:t>组织体系管理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各联动单位要建立指挥联动组织体系，明确组织机构、指挥力量、救援力量、调度流程等信息。实现根据各级各类应急预案抽取应急处置及应急指挥的相关人员、所属机构、联系方式等信息。需明确指挥城市突发事件管理工作的领导机构，在领导的指挥下，由相关的行业部门指挥力量参与城市突发的事件的指挥联动工作。包括机构名称、机构人员、机构编码、机构职责等信息。</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1.1.3.3.4.3.1.2 </w:t>
      </w:r>
      <w:r>
        <w:rPr>
          <w:rFonts w:hint="eastAsia" w:ascii="宋体" w:hAnsi="宋体" w:eastAsia="宋体" w:cs="宋体"/>
          <w:color w:val="auto"/>
          <w:sz w:val="24"/>
          <w:szCs w:val="24"/>
          <w:highlight w:val="none"/>
        </w:rPr>
        <w:t>信息自动关联</w:t>
      </w:r>
    </w:p>
    <w:p>
      <w:pPr>
        <w:pStyle w:val="14"/>
        <w:keepNext w:val="0"/>
        <w:keepLines w:val="0"/>
        <w:widowControl/>
        <w:suppressLineNumbers w:val="0"/>
        <w:spacing w:before="240" w:beforeAutospacing="0" w:after="15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能依据预案和响应级别自动关联城市内涝、井盖缺失、树木倒伏等不同类型突发事件的所需应急处置专业人员及指挥人员信息。</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1.1.3.3.4.3.1.3 </w:t>
      </w:r>
      <w:r>
        <w:rPr>
          <w:rFonts w:hint="eastAsia" w:ascii="宋体" w:hAnsi="宋体" w:eastAsia="宋体" w:cs="宋体"/>
          <w:color w:val="auto"/>
          <w:sz w:val="24"/>
          <w:szCs w:val="24"/>
          <w:highlight w:val="none"/>
        </w:rPr>
        <w:t>信息快速检索</w:t>
      </w:r>
    </w:p>
    <w:p>
      <w:pPr>
        <w:pStyle w:val="14"/>
        <w:keepNext w:val="0"/>
        <w:keepLines w:val="0"/>
        <w:widowControl/>
        <w:suppressLineNumbers w:val="0"/>
        <w:spacing w:before="240" w:beforeAutospacing="0" w:after="15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能够实现按人员姓名、机构名称、事件类型、级别、事发地等检索条件进行查询。</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1.1.3.3.4.3.1.4 </w:t>
      </w:r>
      <w:r>
        <w:rPr>
          <w:rFonts w:hint="eastAsia" w:ascii="宋体" w:hAnsi="宋体" w:eastAsia="宋体" w:cs="宋体"/>
          <w:color w:val="auto"/>
          <w:sz w:val="24"/>
          <w:szCs w:val="24"/>
          <w:highlight w:val="none"/>
        </w:rPr>
        <w:t>指挥保障体系</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构建指挥体联动系专有通讯录。包含成员的职位信息、电话信息等信息。同时可实现息的添加、编辑、删除等操作，辅助全市指挥体系的快速构建。</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1.1.3.3.4.3.1.5 </w:t>
      </w:r>
      <w:r>
        <w:rPr>
          <w:rFonts w:hint="eastAsia" w:ascii="宋体" w:hAnsi="宋体" w:eastAsia="宋体" w:cs="宋体"/>
          <w:color w:val="auto"/>
          <w:sz w:val="24"/>
          <w:szCs w:val="24"/>
          <w:highlight w:val="none"/>
        </w:rPr>
        <w:t>指挥管理体系</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（1）系培训教育管理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培训教育管理功能主要提供各行业部门进行应急法律法规和预防、避险等常识的培训，增强员工的忧患意识、社会责任意识和自救、互救能力。对应急救援和管理人员进行专业培训，提高其应急专业技能。包括培训计划、培训内容、培训记录、统计分析等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（2）责任奖惩管理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责任与奖惩管理功能主要是对城市突发事件处置工作实行责任追究制。对城市突发事件管理工作中做出突出贡献的先进集体和个人要给予表彰和奖励，对迟报、谎报和瞒报突发事故重要情况或者应急管理工作中有其他失职、渎职行为而丧失应急的最佳机会造成人员伤亡或重大经济损失的，对有关责任人给予处罚或行政处分。包括责任奖惩制度、责任奖惩周期、责任奖惩综合查询、责任奖惩统计分析等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1.1.3.3.4.3.2 </w:t>
      </w:r>
      <w:r>
        <w:rPr>
          <w:rStyle w:val="17"/>
          <w:rFonts w:hint="eastAsia" w:ascii="宋体" w:hAnsi="宋体" w:eastAsia="宋体" w:cs="宋体"/>
          <w:color w:val="auto"/>
          <w:sz w:val="28"/>
          <w:szCs w:val="28"/>
          <w:highlight w:val="none"/>
        </w:rPr>
        <w:t>资源调度联动</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资源调度联动主要实现包括视频资源调度、应急力量调度、物资资源调度、交通运输调度、人员防护管理、医疗保障管理和通讯资源调度等内容。</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1.1.3.3.4.3.2.1 </w:t>
      </w:r>
      <w:r>
        <w:rPr>
          <w:rFonts w:hint="eastAsia" w:ascii="宋体" w:hAnsi="宋体" w:eastAsia="宋体" w:cs="宋体"/>
          <w:color w:val="auto"/>
          <w:sz w:val="24"/>
          <w:szCs w:val="24"/>
          <w:highlight w:val="none"/>
        </w:rPr>
        <w:t>视频资源调度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视频资源调度主要实现对视频资源的调取、查看、云台控制等功能。在城市突发事件应急处置过程中，通过对视频资源的调度，为指挥中心的指挥决策的有效支撑。视频监控作为案件的内容来源，也是案件处置过程中指挥中心的眼睛，是可视化指挥的基础，贯穿整个案件处理过程。因此如何在指挥中用好视频监控，对提高案件处置效率和手段都是极大的帮助。</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实际指挥中心业务中视频监控资源主是直击现场的重要手段，在多级会商决策或者指挥中，监控、视频会议从协议层融合，可以直接实现在会议中调用现场视频。共享到各级单位，实现协同指挥。指挥中心情况考虑多来源分析，在指挥中心独立构建智能分析平台，用于各种来源监控视频线索分析，辅助决策。</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1.1.3.3.4.3.2.2 </w:t>
      </w:r>
      <w:r>
        <w:rPr>
          <w:rFonts w:hint="eastAsia" w:ascii="宋体" w:hAnsi="宋体" w:eastAsia="宋体" w:cs="宋体"/>
          <w:color w:val="auto"/>
          <w:sz w:val="24"/>
          <w:szCs w:val="24"/>
          <w:highlight w:val="none"/>
        </w:rPr>
        <w:t>应急力量调度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完成对应急人力资源的基础信息维护，工作组织结构的维护，人员队伍模块化，人员分类管理、后备力量管理等多项功能。通过汇总各个部门的人力，对可调用人员能力和数量进行管理。依据组织结构，对城市管理突发事件中应急处置部门、协助处置部门、应急救援专业部门、保障部门等职责予以明确。同时对各个时段整体人力资源的工作、调休情况进行管理，确保突发事件发生时的人员调动需求和足够的后备人力补充，实现应急队伍保障。</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将城市突发事件应对人力资源力量建设信息进行集中管理，提供人力资源力量建设信息的检索、查看、定位、导入、导出及审核等功能。主要包括人力资源力量数据登记、人力资源力量信息审核、人力资源力量分类管理、多维统计、空间分析等功能。建立联动协调机制，提高装备水平，动员全员有组织的参与应急救援工作。</w:t>
      </w:r>
    </w:p>
    <w:p>
      <w:pPr>
        <w:pStyle w:val="14"/>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  （1）人力资源力量登记</w:t>
      </w:r>
    </w:p>
    <w:p>
      <w:pPr>
        <w:pStyle w:val="14"/>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依据指挥联动体系人力信息资源标准配置要求，可按照城市突发事件人力资源力量信息填报模版对市突发事件人力资源力量进行内容添加，并在地图上进行定位，支持EXCEL数据批量导入。</w:t>
      </w:r>
    </w:p>
    <w:p>
      <w:pPr>
        <w:pStyle w:val="14"/>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  （2）人力资源力量备案</w:t>
      </w:r>
    </w:p>
    <w:p>
      <w:pPr>
        <w:pStyle w:val="14"/>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可根据城市突发事件业务需求对下级政府和单位报送的人力资源力量信息进行备案。可批量审核做出通过与不通过的不同操作，并给予不通过原因批示。下级政府和有关部门可对审核不通过的人力资源力量数据进行修改，系统对更新操作提供提醒和二次审核功能。</w:t>
      </w:r>
    </w:p>
    <w:p>
      <w:pPr>
        <w:pStyle w:val="14"/>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  （3）人力资源力量综合查询</w:t>
      </w:r>
    </w:p>
    <w:p>
      <w:pPr>
        <w:pStyle w:val="14"/>
        <w:keepNext w:val="0"/>
        <w:keepLines w:val="0"/>
        <w:widowControl/>
        <w:suppressLineNumbers w:val="0"/>
        <w:jc w:val="left"/>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以信息列表形式对地方及社会应急救援力量的不同分类、管辖单位等进行维护管理，支持数据批量更新；对地方及社会应急救援力量信息按名称、地址、更新时间进行过滤检索，并支持模糊查询。</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  （4）人力资源力量统计分析</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按照人力资源力量类型、行政区划等方式对人力资源力量根据人力资源力量数量、人力资源力量人数等进行统计分析，以柱状图、饼状图、统计表等多种形式展现统计结果，支持对统计结果的导出。</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1.1.3.3.4.3.2.3 </w:t>
      </w:r>
      <w:r>
        <w:rPr>
          <w:rFonts w:hint="eastAsia" w:ascii="宋体" w:hAnsi="宋体" w:eastAsia="宋体" w:cs="宋体"/>
          <w:color w:val="auto"/>
          <w:sz w:val="24"/>
          <w:szCs w:val="24"/>
          <w:highlight w:val="none"/>
        </w:rPr>
        <w:t>通讯资源调度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城市突发公共事件的有关通讯保障、通讯录等备案信息进行分类管理。实现多语音网络、多终端的语音、多视频系统的全联接，实现固定电话、移动电话、各种集群终端、智真会议等不同通信设备之间的互联互通，通过多种网络融合的语音通信，实现对城市突发事件应急处置的统一指挥调度和应急决策信息的快速传达。包括</w:t>
      </w:r>
      <w:r>
        <w:rPr>
          <w:rFonts w:hint="eastAsia" w:ascii="宋体" w:hAnsi="宋体" w:eastAsia="宋体" w:cs="宋体"/>
          <w:color w:val="auto"/>
          <w:spacing w:val="15"/>
          <w:sz w:val="24"/>
          <w:szCs w:val="24"/>
          <w:highlight w:val="none"/>
        </w:rPr>
        <w:t>通讯资源登记、通讯资源分类、通讯资源多维统计、通讯资源一张图等功能。</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（1）通讯资源登记</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支持对接已有系统获取通讯保障数据和数据导入等方式获得通讯保障数据。并在地图上进行定位，支持EXCEL数据批量导入。</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（2）通讯资源分类</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以信息列表形式对应急通信保障机构数据、各级基础电信运营商数据和行业专用通信保障机构数据等进行维护管理，支持数据批量更新；对通讯保障信息按名称、地址、更新时间进行过滤检索，并支持模糊查询。</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（3）通讯资源多维统计</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按照通讯保障类型、行政区划等方式对通讯保障进行统计分析，以柱状图、饼状图、统计表等形式展现统计结果，支持对统计结果的导出。</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（4）通讯资源一张图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按照通讯保障类型、行政区划、主管单位等多种方式查询通讯保障基于地图的空间分布，及可显示详细信息，并支持地图输出。</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1.1.3.3.4.3.2.4 </w:t>
      </w:r>
      <w:r>
        <w:rPr>
          <w:rFonts w:hint="eastAsia" w:ascii="宋体" w:hAnsi="宋体" w:eastAsia="宋体" w:cs="宋体"/>
          <w:color w:val="auto"/>
          <w:sz w:val="24"/>
          <w:szCs w:val="24"/>
          <w:highlight w:val="none"/>
        </w:rPr>
        <w:t>物资资源调度</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物资保障管理功能主要是要建立健全应急物资监测网络、预警体系和应急物资生产、储备、调拨及紧急配送体系，完善应急工作程序，确保应急所需物资和生活用品的及时供应，并加强对物资储备的监督管理，及时予以补充和更新。主要包括物资登记、物资多维度统计、物资管控一张图等功能。</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（1）物资登记</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以在线填报的方式依据信息资源分类编码标准配置指挥物资填报模版，按照应物资信息填报模版对物资进行添加，并在地图上进行定位；支持EXCEL数据批量导入。</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（2）物资多维度统计</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按照物资类型、数量、分布情况、储备场所等对物资进行统计分析，以柱状图、饼状图、统计表等多种形式展现统计结果，支持对统计结果的导出。</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（3）物资管控一张图</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实现物资类型、数量、储备点等多种方式查询及物资基于地图的空间分布，以及物资的数量、主管单位、物资分布情况等详细信息，系统提供整体查看和单个类型查看功能，根据物资类型、数量、分布情况、储备场所等不同维度划分，物资资源分布一张图物资储备场所一张图等，并支持地图输出。</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1.1.3.3.4.3.2.5 </w:t>
      </w:r>
      <w:r>
        <w:rPr>
          <w:rFonts w:hint="eastAsia" w:ascii="宋体" w:hAnsi="宋体" w:eastAsia="宋体" w:cs="宋体"/>
          <w:color w:val="auto"/>
          <w:sz w:val="24"/>
          <w:szCs w:val="24"/>
          <w:highlight w:val="none"/>
        </w:rPr>
        <w:t>交通运输调度</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交通运输保障管理功能是要保证紧急情况下应急交通工具的优先安排、优先调度，确保运输安全畅通；要建立紧急情况交通运输工具的调用程序，确保抢险救灾物资和人员能够及时、安全送达。提供运输资源信息的检索、查看、定位、导入、导出等功能。运输资源信息的更新和维护均由运输资源主管部门定期进行。主要包括运输资源数据登记、运输资源分类管理、多维统计、空间分析等功能。</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（1）运输资源登记</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支持对接已有系统获取运输资源数据和数据导入等方式获得运输资源数据。并在地图上进行定位，支持EXCEL数据批量导入。</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（2）运输资源分类</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以信息列表形式对运输保障服务的航空企业、航运企业、铁路运输企业、汽车运输企业进行维护管理，支持数据批量更新；对运输资源按名称、类型、更新时间进行过滤检索，并支持模糊查询。</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（3）运输资源多维度统计</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按照运输资源类型、行政区划、携带物资等方式对运输资源进行统计分析，以柱状图、饼状图、统计表等形式展现统计结果，支持对统计结果的导出。</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（4）运输资源一张图</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按照运输资源类型、行政区划、主管单位等多种方式查询运输资源基于地图的空间分布，及可显示详细信息，并支持地图输出。</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1.1.3.3.4.3.2.6 </w:t>
      </w:r>
      <w:r>
        <w:rPr>
          <w:rFonts w:hint="eastAsia" w:ascii="宋体" w:hAnsi="宋体" w:eastAsia="宋体" w:cs="宋体"/>
          <w:color w:val="auto"/>
          <w:sz w:val="24"/>
          <w:szCs w:val="24"/>
          <w:highlight w:val="none"/>
        </w:rPr>
        <w:t>人员防护管理</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人员防护保障管理功能是要指定或建立与人员相适应的应急避险场所，完善紧急疏散管理办法，明确各级责任人，确保在紧急情况下员工安全、有序的疏散。要采取必要的防护措施，严格按照程序开展应急救援工作，确保作业人员和应急救援人员的安全。提供人员防护信息的检索、查看、导入、导出等功能。</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（1）人员防护信息检索</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实现对人员防护信息的多维度、级联模糊查询检索。</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（2）人员防护信息查看</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  实现人员防护信息的详情页面查看功能。</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（3）人员防护信息导入</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  提供人员防护信息导入模板，实现人员防护信息一键导入功能。</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（4）人员防护信息导出</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支持人员防护信息Excel一键导出。</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1.1.3.3.4.3.2.7 </w:t>
      </w:r>
      <w:r>
        <w:rPr>
          <w:rFonts w:hint="eastAsia" w:ascii="宋体" w:hAnsi="宋体" w:eastAsia="宋体" w:cs="宋体"/>
          <w:color w:val="auto"/>
          <w:sz w:val="24"/>
          <w:szCs w:val="24"/>
          <w:highlight w:val="none"/>
        </w:rPr>
        <w:t>医疗保障管理</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医疗保障管理功能实现医疗卫生信息进行集中管理，提供医疗卫生信息的检索、查看、定位、导入、导出等功能。医疗卫生信息的更新和维护均由医疗卫生主管部门定期进行。主要包括医疗卫生数据登记、医疗卫生分类管理、多维统计和空间分析等功能。</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（1）医疗卫生数据登记</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支持对接已有系统获取医疗卫生数据和数据导入等方式获得医疗卫生数据。并在地图上进行定位，支持EXCEL数据批量导入。</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（2）医疗卫生分类管理</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以信息列表形式对医疗机构、疾病预防控制中心、卫生监督所（局）、医学科学研究机构数据进行维护管理，支持数据批量更新；对医疗卫生信息按名称、地址、更新时间进行过滤检索，并支持模糊查询。</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（3）医疗卫生多维统计</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按照医疗卫生信息类型、行政区划、主管单位、更新状态等方式对医疗卫生进行统计分析，以柱状图、饼状图、统计表等形式展现统计结果，支持对统计结果的导出。</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（4）医疗卫生一张图</w:t>
      </w:r>
    </w:p>
    <w:p>
      <w:pPr>
        <w:pStyle w:val="14"/>
        <w:keepNext w:val="0"/>
        <w:keepLines w:val="0"/>
        <w:widowControl/>
        <w:suppressLineNumbers w:val="0"/>
        <w:spacing w:before="165" w:beforeAutospacing="0" w:after="165" w:afterAutospacing="0"/>
        <w:ind w:left="0" w:firstLine="510"/>
        <w:outlineLvl w:val="9"/>
        <w:rPr>
          <w:rFonts w:hint="eastAsia" w:ascii="宋体" w:hAnsi="宋体" w:eastAsia="宋体" w:cs="宋体"/>
          <w:color w:val="auto"/>
          <w:highlight w:val="none"/>
        </w:rPr>
      </w:pPr>
      <w:r>
        <w:rPr>
          <w:rFonts w:hint="eastAsia" w:ascii="宋体" w:hAnsi="宋体" w:eastAsia="宋体" w:cs="宋体"/>
          <w:color w:val="auto"/>
          <w:spacing w:val="15"/>
          <w:sz w:val="24"/>
          <w:szCs w:val="24"/>
          <w:highlight w:val="none"/>
        </w:rPr>
        <w:t>按照医疗卫生资源类型、行政区划、主管单位等多种方式查询医疗卫生资源基于地图的空间分布，及可显示详细信息，并支持地图输出。</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1.1.3.3.4.3.3 </w:t>
      </w:r>
      <w:r>
        <w:rPr>
          <w:rStyle w:val="17"/>
          <w:rFonts w:hint="eastAsia" w:ascii="宋体" w:hAnsi="宋体" w:eastAsia="宋体" w:cs="宋体"/>
          <w:color w:val="auto"/>
          <w:sz w:val="28"/>
          <w:szCs w:val="28"/>
          <w:highlight w:val="none"/>
        </w:rPr>
        <w:t>消息服务联动</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建立消息服务联动管理系统，实现指挥中心与各个行业部门的消息通知联动管理，实现指挥中心与各个行业部门的消息通知联动管理，包括通知公告、指令下达、短信服务及文件管理等。</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1.1.3.3.4.3.3.1 </w:t>
      </w:r>
      <w:r>
        <w:rPr>
          <w:rFonts w:hint="eastAsia" w:ascii="宋体" w:hAnsi="宋体" w:eastAsia="宋体" w:cs="宋体"/>
          <w:color w:val="auto"/>
          <w:sz w:val="24"/>
          <w:szCs w:val="24"/>
          <w:highlight w:val="none"/>
        </w:rPr>
        <w:t>通知公告</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通知公告信息发布管理系统，实现信息的填报发布。支持发布信息内容及调度命令的模板化管理，支持根据信息发布的类别、细类和所属单位自动配置对应信息的发布策略，选择信息发布的流程和信息发布的不同对象和手段；结合系统给出的辅助方案和应急资源的调度情况，向应急体系内部联动部门发布信息和相关调度命令，满足应急事件信息和相关调度命令的快速、准确地填报发布管理需求。信息发布包括信息标题、信息类型、信息细类、影响范围、预发生时间、发布单位、发布人、接收单位、发布单位联系方式、发布内容、附件、发布手段、发布信息内容。</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1.1.3.3.4.3.3.2 </w:t>
      </w:r>
      <w:r>
        <w:rPr>
          <w:rFonts w:hint="eastAsia" w:ascii="宋体" w:hAnsi="宋体" w:eastAsia="宋体" w:cs="宋体"/>
          <w:color w:val="auto"/>
          <w:sz w:val="24"/>
          <w:szCs w:val="24"/>
          <w:highlight w:val="none"/>
        </w:rPr>
        <w:t>指令下达</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任务、消息两种方式实现指令下达、现场反馈、时效限制、定时提醒等功能。指令下达后，系统可以自动提醒相关用户检查完成情况，或其他需提醒的内容。系统用户能够根据重大事件信息优先级别处理信息。</w:t>
      </w:r>
    </w:p>
    <w:p>
      <w:pPr>
        <w:pStyle w:val="14"/>
        <w:keepNext w:val="0"/>
        <w:keepLines w:val="0"/>
        <w:widowControl/>
        <w:suppressLineNumbers w:val="0"/>
        <w:spacing w:before="165" w:beforeAutospacing="0" w:after="165" w:afterAutospacing="0"/>
        <w:ind w:left="0" w:firstLine="480"/>
        <w:rPr>
          <w:rFonts w:hint="eastAsia" w:ascii="宋体" w:hAnsi="宋体" w:eastAsia="宋体" w:cs="宋体"/>
          <w:color w:val="auto"/>
          <w:highlight w:val="none"/>
        </w:rPr>
      </w:pPr>
      <w:r>
        <w:rPr>
          <w:rFonts w:ascii="Wingdings" w:hAnsi="Wingdings" w:cs="Wingdings"/>
          <w:color w:val="auto"/>
          <w:sz w:val="24"/>
          <w:szCs w:val="24"/>
          <w:highlight w:val="none"/>
        </w:rPr>
        <w:t>l</w:t>
      </w:r>
      <w:r>
        <w:rPr>
          <w:rFonts w:hint="eastAsia" w:ascii="宋体" w:hAnsi="宋体" w:eastAsia="宋体" w:cs="宋体"/>
          <w:color w:val="auto"/>
          <w:sz w:val="24"/>
          <w:szCs w:val="24"/>
          <w:highlight w:val="none"/>
        </w:rPr>
        <w:t> 每件信息都有特定的信息编号，同时用户可根据信息状态、编号等实现信息即时检索；</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ascii="Wingdings" w:hAnsi="Wingdings" w:cs="Wingdings"/>
          <w:color w:val="auto"/>
          <w:sz w:val="24"/>
          <w:szCs w:val="24"/>
          <w:highlight w:val="none"/>
        </w:rPr>
        <w:t>l</w:t>
      </w:r>
      <w:r>
        <w:rPr>
          <w:rFonts w:hint="eastAsia" w:ascii="宋体" w:hAnsi="宋体" w:eastAsia="宋体" w:cs="宋体"/>
          <w:color w:val="auto"/>
          <w:sz w:val="24"/>
          <w:szCs w:val="24"/>
          <w:highlight w:val="none"/>
        </w:rPr>
        <w:t> 授权用户应该可以及时更新信息状态，并且直接根据所得信息派发相应任务；</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ascii="Wingdings" w:hAnsi="Wingdings" w:cs="Wingdings"/>
          <w:color w:val="auto"/>
          <w:sz w:val="24"/>
          <w:szCs w:val="24"/>
          <w:highlight w:val="none"/>
        </w:rPr>
        <w:t>l</w:t>
      </w:r>
      <w:r>
        <w:rPr>
          <w:rFonts w:hint="eastAsia" w:ascii="宋体" w:hAnsi="宋体" w:eastAsia="宋体" w:cs="宋体"/>
          <w:color w:val="auto"/>
          <w:sz w:val="24"/>
          <w:szCs w:val="24"/>
          <w:highlight w:val="none"/>
        </w:rPr>
        <w:t>  满足信息交互的同时，用户能够通过系统平台实现即时通讯。</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1.1.3.3.4.3.3.3 </w:t>
      </w:r>
      <w:r>
        <w:rPr>
          <w:rFonts w:hint="eastAsia" w:ascii="宋体" w:hAnsi="宋体" w:eastAsia="宋体" w:cs="宋体"/>
          <w:color w:val="auto"/>
          <w:sz w:val="24"/>
          <w:szCs w:val="24"/>
          <w:highlight w:val="none"/>
        </w:rPr>
        <w:t>短信服务</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通讯服务提供短信服务，用于接收使用手机发送短信信息，同时提供发送短信消息服务。短信是值班员向各领导通知请示的常用即时通讯手段，短信管理实现短信的接收、发送、发送状态监控等功能。同时提供短信发送审核、校验、发送的审批流程，并详细记录审批各环节的工作日志，规范约束短信处理流程。</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1.1.3.3.4.3.3.4 </w:t>
      </w:r>
      <w:r>
        <w:rPr>
          <w:rFonts w:hint="eastAsia" w:ascii="宋体" w:hAnsi="宋体" w:eastAsia="宋体" w:cs="宋体"/>
          <w:color w:val="auto"/>
          <w:sz w:val="24"/>
          <w:szCs w:val="24"/>
          <w:highlight w:val="none"/>
        </w:rPr>
        <w:t>文件管理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文件管理主要具有统一文件入口、文件预览及处理、传真黑名单管理、文件报送模板管理、文件处理跟踪提醒等功能。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（1）统一文件入口</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一传真文件与网络文件的入口，解决一份文件在多个系统之间的频繁操作问题，统一在文件管理模块内实现文件的创建、上报、拟办、审批、分发等文件处理的所有环节。系统内部统一采用网络文件，与外部单位统一采用传真文件。</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（2）文件预览及处理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文件预览及处理主要实现传真文字提取、文件关联信息、文件审批处理和文件分发等。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（3）传真黑名单管理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对于传真接收到的广告等来源的传真号码，可一键将号码加入到黑名单，此后传真模块将屏蔽此类传真文件。同时支持对传真黑名单号码的添加、移除等灵活管理功能。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（4）文件报送模板管理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文件报送模板管理模块规范了信息报送内容，各单位信息上报时，只需选择信息类型，将呈现此类信息所要录入的所有数据项。系统对录入内容严格校验，确保信息上报内容规范性、有效性及完整性。文件报送模板管理支持用户定制文件上报的模板格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（5）文件处理跟踪提醒</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文件处理跟踪提醒模块提供文件处理的跟踪督办机制，具有文件签收、核实反馈、审批等重要处理环节的督办提供功能。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1.1.3.3.4.3.4 </w:t>
      </w:r>
      <w:r>
        <w:rPr>
          <w:rStyle w:val="17"/>
          <w:rFonts w:hint="eastAsia" w:ascii="宋体" w:hAnsi="宋体" w:eastAsia="宋体" w:cs="宋体"/>
          <w:color w:val="auto"/>
          <w:sz w:val="28"/>
          <w:szCs w:val="28"/>
          <w:highlight w:val="none"/>
        </w:rPr>
        <w:t>指挥处置联动</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实现城市管理各类事件派发到行业部门后事件处置反馈管理，包括事件接收、事件回退、事件办理反馈等管理功能。</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1.1.3.3.4.3.4.1 </w:t>
      </w:r>
      <w:r>
        <w:rPr>
          <w:rFonts w:hint="eastAsia" w:ascii="宋体" w:hAnsi="宋体" w:eastAsia="宋体" w:cs="宋体"/>
          <w:color w:val="auto"/>
          <w:sz w:val="24"/>
          <w:szCs w:val="24"/>
          <w:highlight w:val="none"/>
        </w:rPr>
        <w:t>融合受理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融合受理功能，受理完各种途经上报的事件后（包括网格员采集、市民上报、监控视频分析等），由系统采用统一表单的方式进行事件问题登记，通过自动分拨调度系统根据事件的调拨规则将事件派发给相应的行业处置部门系统，在行业部门处置系统就会生成一条任务待办单，由行业部门处置系统进行接收处理。包括统一受理门户、统一表单管理、事件标识管理等功能。</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（1）统一受理门户</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对事件的规整，制定事件分类清单，提供统一的事件受理门户实现对事件的统一受理功能。通过各个事件接收渠道获取到事件后，在界面上进行展示，显示收到的事件信息，并进行自动拍单，分拨给各分拨部门，分拨部门可对事件进行统一的处理。对已生成工单，受理中等信息的提示。</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通过统一受理门户，实现对整个城市范围内所有信息的统一受理，实现信息报送、案件建立、任务预派遣等功能。</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（2）统一表单管理</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建立统一的表单规范，统一多渠道来源事件表单，从全渠道受理上来的待办件，进行统一的数据规范。自定义事件属性字段和扩展表单，设定不同角色对不同字段的查看、编辑权限。自定义事件模板，规范事件填写和提升流转效率。提供统一的标准事件接口，供第三方系统调用，生成符合规范的工单数据。</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（3）事件标识管理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事件自定义标识功能，派遣员可对受理事件进行级别标识，默认事件为普通级别，支持自定义标识，对影响范围大的进行紧急事件标识或重要事件标识，被标识事件会自动推送到主管人员进行处理。主管人员可以对被标识为同一事件指定固定的人员进行受理，提高受理效率。</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实现对标识的统一管理。管理员可以删除多余的标识，支持对同类标识的自动识别，管理员可以依据识别结果进行标识合并管理。</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1.1.3.3.4.3.4.2 </w:t>
      </w:r>
      <w:r>
        <w:rPr>
          <w:rFonts w:hint="eastAsia" w:ascii="宋体" w:hAnsi="宋体" w:eastAsia="宋体" w:cs="宋体"/>
          <w:color w:val="auto"/>
          <w:sz w:val="24"/>
          <w:szCs w:val="24"/>
          <w:highlight w:val="none"/>
        </w:rPr>
        <w:t>指挥调度</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系统提供指挥调度功能，实现对城市突发事件的指挥协同调度，在指挥调度一张图基础上可以进行战略标会、协同会商。包括预案响应、一键调度、现场指挥调度、任务跟踪与反馈等功能。</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（1）预案响应</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启动响应后对突发事件预案的结构化应用。通过对各类突发事件不同响应级别对应基本信息、总指挥部、现场指挥部等内容的配置和预案要求，基于事件情况，快速成立突发事件处置的总指挥部和现场指挥部，可根据情况建立突发事件群组人员。</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（2）一键调度</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可根据情况建立突发事件应急群组并确定群组人员，根据事故基本信息及相关研判分析结果，通过应急通信调度手段、信息交互手段为指挥人员提供指挥调度、任务分配的手段。实现一键拨打电话、电话会议，一键短信（支持群发）、一键传真（支持群发），并管理通信记录。实现突发事件处置情况的汇总，通过一键调度通知相关单位和人员进行处置。</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（3）现场指挥调度</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现场任务接收与反馈、现场战术图和标绘、联网检索、现场处置、实战资料、通信联络、现场资源配置和调度、现场救援队伍报到管理、救援情况管理等功能，为监督指挥中心协调现场指挥，协助和指导现场工作提供支撑。</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（4）任务跟踪与反馈</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支持按照不同部门、不同阶段管理任务信息，实现任务的快速部署，跟踪任务执行、反馈情况，动态掌握资源的需求、供给、部署及到位情况。主要包括资源协调与跟踪、任务管理域跟踪。</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1.1.3.3.4.3.4.3 </w:t>
      </w:r>
      <w:r>
        <w:rPr>
          <w:rFonts w:hint="eastAsia" w:ascii="宋体" w:hAnsi="宋体" w:eastAsia="宋体" w:cs="宋体"/>
          <w:color w:val="auto"/>
          <w:sz w:val="24"/>
          <w:szCs w:val="24"/>
          <w:highlight w:val="none"/>
        </w:rPr>
        <w:t>联动处置</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联动处置功能，任务下发到行业处置部门后，由相关部门对问题进行处理。需要多部门联动处置时，由指挥中心统一协调处理，行业处置部门任务处理完成，并核查通过后，将处理结果反馈至指挥中心进行结案操作。包括联动任务退回、联动处置反馈、任务审核结案等功能。</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（1）联动任务退回</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系统提供任务回退功能，当自动分拨系统或人工派发不准确时，行业部门处置系统可以将任务回退给监督指挥中心，中心可以进行转派或二次派发。</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（2）联动处置反馈</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任务下发到行业处置部门后，由相关部门对问题进行处理。需要多部门联动处置时，由指挥中心统一协调处理，行业处置部门任务处理完成，并核查通过后，将处理结果反馈至指挥中心进行结案操作。</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（3）任务审核结案</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各个部门对联动任务处理完成后，统一反馈各自处置结果，由监督指挥中心对联动任务的处置完成情况进行审核结案，审核包括审核通过、审核不通过、重新办理等操作。</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1.1.3.3.4.3.5 </w:t>
      </w:r>
      <w:r>
        <w:rPr>
          <w:rStyle w:val="17"/>
          <w:rFonts w:hint="eastAsia" w:ascii="宋体" w:hAnsi="宋体" w:eastAsia="宋体" w:cs="宋体"/>
          <w:color w:val="auto"/>
          <w:sz w:val="28"/>
          <w:szCs w:val="28"/>
          <w:highlight w:val="none"/>
        </w:rPr>
        <w:t>督查督办联动</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建立督查督办联动系统，实现指挥中心可以对行业部门进行任务督办，包括督办任务登记、任务交办派发、催办督办、考核评价、查询监控等功能；各类督查督办任务下达到行业部门后，行业部门可以实现对督查督办任务签收落实、联动交流、过程反馈等功能。</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建立事件办理效率满意度不高、相关服务难点、痛点问题、社会媒体监督、重要工作交办及考核评估不理想等情况的全过程督查督办管理流程。实现对督查任务的精准定位、跟踪分析、融通应用，从而精准到部门、落实到事、管控到时点、具体到过程。</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1.1.3.3.4.3.5.1 </w:t>
      </w:r>
      <w:r>
        <w:rPr>
          <w:rFonts w:hint="eastAsia" w:ascii="宋体" w:hAnsi="宋体" w:eastAsia="宋体" w:cs="宋体"/>
          <w:color w:val="auto"/>
          <w:sz w:val="24"/>
          <w:szCs w:val="24"/>
          <w:highlight w:val="none"/>
        </w:rPr>
        <w:t>任务登记</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当任务即将出现超时，或者事件问题重复发生等情况，指挥中心可以建立督办单，对相关处置部门进行督办。登记督查督办件的事项名称、事项类别、事项编号、事项内容、事项时限、责任部门等信息。</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1.1.3.3.4.3.5.2 </w:t>
      </w:r>
      <w:r>
        <w:rPr>
          <w:rFonts w:hint="eastAsia" w:ascii="宋体" w:hAnsi="宋体" w:eastAsia="宋体" w:cs="宋体"/>
          <w:color w:val="auto"/>
          <w:sz w:val="24"/>
          <w:szCs w:val="24"/>
          <w:highlight w:val="none"/>
        </w:rPr>
        <w:t>交办派发</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系统实现任务交办派发功能，选择相应的承办、协办单位和分管领导后，可以通过系统进行交办派发，派发后系统实现通过手机短信、站内短信、工作台提醒等多种方式告知相关人员。</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1.1.3.3.4.3.5.3 </w:t>
      </w:r>
      <w:r>
        <w:rPr>
          <w:rFonts w:hint="eastAsia" w:ascii="宋体" w:hAnsi="宋体" w:eastAsia="宋体" w:cs="宋体"/>
          <w:color w:val="auto"/>
          <w:sz w:val="24"/>
          <w:szCs w:val="24"/>
          <w:highlight w:val="none"/>
        </w:rPr>
        <w:t>签收落实</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相关行业处置部门收到交办的督查督办件后进行签收，并指定相应的责任人、承办人及联系方式。</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1.1.3.3.4.3.5.4 </w:t>
      </w:r>
      <w:r>
        <w:rPr>
          <w:rFonts w:hint="eastAsia" w:ascii="宋体" w:hAnsi="宋体" w:eastAsia="宋体" w:cs="宋体"/>
          <w:color w:val="auto"/>
          <w:sz w:val="24"/>
          <w:szCs w:val="24"/>
          <w:highlight w:val="none"/>
        </w:rPr>
        <w:t>联动交流</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联动交流是指相关行业处置部门在执行工作任务过程中，与工作派发者、分管领导、承办、协办单位/科室等之间的信息互动，类似论坛功能，可以是工作指示、工作建议与意见、也可以是提醒等。</w:t>
      </w:r>
    </w:p>
    <w:p>
      <w:pPr>
        <w:pStyle w:val="14"/>
        <w:keepNext w:val="0"/>
        <w:keepLines w:val="0"/>
        <w:widowControl/>
        <w:suppressLineNumbers w:val="0"/>
        <w:spacing w:before="240" w:beforeAutospacing="0" w:after="60" w:afterAutospacing="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1.1.3.3.4.3.5.5 </w:t>
      </w:r>
      <w:r>
        <w:rPr>
          <w:rFonts w:hint="eastAsia" w:ascii="宋体" w:hAnsi="宋体" w:eastAsia="宋体" w:cs="宋体"/>
          <w:color w:val="auto"/>
          <w:sz w:val="24"/>
          <w:szCs w:val="24"/>
          <w:highlight w:val="none"/>
        </w:rPr>
        <w:t>催办督办</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实现对事件的催办、督办及协调会议的功能。为及时了解督查事项的运行情况和办理情况，督办部门可采取发《催办单》 或直接到承办单位/科室催办等形式，适时加以催办查办，系统记录催办记录。</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督查督办部门可以通过电话、函件、约谈、走访等多种方式对任务承办人进行督办，系统记录每次督办工作记录。实现对督办任务召开协调会议功能，记录围绕任务开展召开的督办工作会议信息，包括会议时间、会议内容、召集人、参与人、记录内容等信息。</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line="288" w:lineRule="atLeast"/>
        <w:ind w:left="0" w:firstLine="0"/>
        <w:outlineLvl w:val="1"/>
        <w:rPr>
          <w:rFonts w:hint="eastAsia" w:ascii="宋体" w:hAnsi="宋体" w:eastAsia="宋体" w:cs="宋体"/>
          <w:color w:val="auto"/>
          <w:highlight w:val="none"/>
        </w:rPr>
      </w:pPr>
      <w:r>
        <w:rPr>
          <w:rFonts w:hint="eastAsia" w:ascii="宋体" w:hAnsi="宋体" w:eastAsia="宋体" w:cs="宋体"/>
          <w:color w:val="auto"/>
          <w:spacing w:val="0"/>
          <w:sz w:val="31"/>
          <w:szCs w:val="31"/>
          <w:highlight w:val="none"/>
        </w:rPr>
        <w:t>1.1.4 </w:t>
      </w:r>
      <w:r>
        <w:rPr>
          <w:rFonts w:hint="eastAsia" w:ascii="宋体" w:hAnsi="宋体" w:eastAsia="宋体" w:cs="宋体"/>
          <w:color w:val="auto"/>
          <w:sz w:val="28"/>
          <w:szCs w:val="28"/>
          <w:highlight w:val="none"/>
        </w:rPr>
        <w:t>城市事件分类与标准</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城市事件分类与标准是城市综合管理服务平台的业务范围，涉及了城市城市综合管理服务方方面面的事项，涉及党政工团类、公安政法类、科教文卫类、经济综合类、建设规划类、社会管理类等多个纬度。</w:t>
      </w:r>
    </w:p>
    <w:p>
      <w:pPr>
        <w:keepNext w:val="0"/>
        <w:keepLines w:val="0"/>
        <w:widowControl/>
        <w:suppressLineNumbers w:val="0"/>
        <w:spacing w:line="288" w:lineRule="atLeast"/>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1.1.4.1 </w:t>
      </w:r>
      <w:r>
        <w:rPr>
          <w:rFonts w:hint="eastAsia" w:ascii="宋体" w:hAnsi="宋体" w:eastAsia="宋体" w:cs="宋体"/>
          <w:color w:val="auto"/>
          <w:sz w:val="28"/>
          <w:szCs w:val="28"/>
          <w:highlight w:val="none"/>
        </w:rPr>
        <w:t>事件管理模块</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以可视化图形方式进行事件的管理，包括分类、所属部门、管辖依据等等，实现事件的增加、修改等维护管理，可以通过事件查询归属的部门，可以通过部门查询部门处置的事件。</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1.1.4.1.1 </w:t>
      </w:r>
      <w:r>
        <w:rPr>
          <w:rFonts w:hint="eastAsia" w:ascii="宋体" w:hAnsi="宋体" w:eastAsia="宋体" w:cs="宋体"/>
          <w:color w:val="auto"/>
          <w:sz w:val="28"/>
          <w:szCs w:val="28"/>
          <w:highlight w:val="none"/>
        </w:rPr>
        <w:t>事件项查询</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事件项查询主要用于查询城市综合管理服务的事件项。</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1.1.4.1.2 </w:t>
      </w:r>
      <w:r>
        <w:rPr>
          <w:rFonts w:hint="eastAsia" w:ascii="宋体" w:hAnsi="宋体" w:eastAsia="宋体" w:cs="宋体"/>
          <w:color w:val="auto"/>
          <w:sz w:val="28"/>
          <w:szCs w:val="28"/>
          <w:highlight w:val="none"/>
        </w:rPr>
        <w:t>事件树管理</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事件树管理模块主要将城市管理事件生成树状接口，方便查询。</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1.1.4.1.3 </w:t>
      </w:r>
      <w:r>
        <w:rPr>
          <w:rFonts w:hint="eastAsia" w:ascii="宋体" w:hAnsi="宋体" w:eastAsia="宋体" w:cs="宋体"/>
          <w:color w:val="auto"/>
          <w:sz w:val="28"/>
          <w:szCs w:val="28"/>
          <w:highlight w:val="none"/>
        </w:rPr>
        <w:t>部门查询</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通过部门查询模块，可以快速查询出部门所属的事件项。</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1.1.4.1.4 </w:t>
      </w:r>
      <w:r>
        <w:rPr>
          <w:rFonts w:hint="eastAsia" w:ascii="宋体" w:hAnsi="宋体" w:eastAsia="宋体" w:cs="宋体"/>
          <w:color w:val="auto"/>
          <w:sz w:val="28"/>
          <w:szCs w:val="28"/>
          <w:highlight w:val="none"/>
        </w:rPr>
        <w:t>详情查看</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快速查看事件的描述、部门等详细信息。</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1.1.4.1.5 </w:t>
      </w:r>
      <w:r>
        <w:rPr>
          <w:rFonts w:hint="eastAsia" w:ascii="宋体" w:hAnsi="宋体" w:eastAsia="宋体" w:cs="宋体"/>
          <w:color w:val="auto"/>
          <w:sz w:val="28"/>
          <w:szCs w:val="28"/>
          <w:highlight w:val="none"/>
        </w:rPr>
        <w:t>节点查询</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节点查询可以快速查询出事件的上级节点；</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1.1.4.1.6 </w:t>
      </w:r>
      <w:r>
        <w:rPr>
          <w:rFonts w:hint="eastAsia" w:ascii="宋体" w:hAnsi="宋体" w:eastAsia="宋体" w:cs="宋体"/>
          <w:color w:val="auto"/>
          <w:sz w:val="28"/>
          <w:szCs w:val="28"/>
          <w:highlight w:val="none"/>
        </w:rPr>
        <w:t>管理模块工具</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管理模块工具主要包含放大、缩小、旋转等功能；</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1.1.4.1.7 </w:t>
      </w:r>
      <w:r>
        <w:rPr>
          <w:rFonts w:hint="eastAsia" w:ascii="宋体" w:hAnsi="宋体" w:eastAsia="宋体" w:cs="宋体"/>
          <w:color w:val="auto"/>
          <w:sz w:val="28"/>
          <w:szCs w:val="28"/>
          <w:highlight w:val="none"/>
        </w:rPr>
        <w:t>事件下钻</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事件下钻模块主要通过下钻的方式进行大小类往下查询。</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1.1.4.1.8 </w:t>
      </w:r>
      <w:r>
        <w:rPr>
          <w:rFonts w:hint="eastAsia" w:ascii="宋体" w:hAnsi="宋体" w:eastAsia="宋体" w:cs="宋体"/>
          <w:color w:val="auto"/>
          <w:sz w:val="28"/>
          <w:szCs w:val="28"/>
          <w:highlight w:val="none"/>
        </w:rPr>
        <w:t>事件树数据</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事件数据主要包含城市综合管理服务的所有事件项。</w:t>
      </w:r>
    </w:p>
    <w:p>
      <w:pPr>
        <w:keepNext w:val="0"/>
        <w:keepLines w:val="0"/>
        <w:widowControl/>
        <w:suppressLineNumbers w:val="0"/>
        <w:spacing w:line="288" w:lineRule="atLeast"/>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1.1.4.2 </w:t>
      </w:r>
      <w:r>
        <w:rPr>
          <w:rFonts w:hint="eastAsia" w:ascii="宋体" w:hAnsi="宋体" w:eastAsia="宋体" w:cs="宋体"/>
          <w:color w:val="auto"/>
          <w:sz w:val="28"/>
          <w:szCs w:val="28"/>
          <w:highlight w:val="none"/>
        </w:rPr>
        <w:t>事件清单梳理</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基于目前整理的情况，输出福州市事件清单一张表，包含一级分类、二级分类、三级分类、四级分类、五级分类、事件名称、事件定义、处置部门、法律依据等等。</w:t>
      </w:r>
    </w:p>
    <w:p>
      <w:pPr>
        <w:keepNext w:val="0"/>
        <w:keepLines w:val="0"/>
        <w:widowControl/>
        <w:suppressLineNumbers w:val="0"/>
        <w:spacing w:line="288" w:lineRule="atLeast"/>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1.1.4.3 </w:t>
      </w:r>
      <w:r>
        <w:rPr>
          <w:rFonts w:hint="eastAsia" w:ascii="宋体" w:hAnsi="宋体" w:eastAsia="宋体" w:cs="宋体"/>
          <w:color w:val="auto"/>
          <w:sz w:val="28"/>
          <w:szCs w:val="28"/>
          <w:highlight w:val="none"/>
        </w:rPr>
        <w:t>事件标准制定</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研究并组织编制文件征求意见稿，征求相关委办局等单位的意见和建议；修改完善文件，形成送审稿，完成专家评审，并最终形成福建省城市管理事件分类标准。</w:t>
      </w:r>
    </w:p>
    <w:p>
      <w:pPr>
        <w:pStyle w:val="14"/>
        <w:keepNext w:val="0"/>
        <w:keepLines w:val="0"/>
        <w:widowControl/>
        <w:suppressLineNumbers w:val="0"/>
        <w:spacing w:line="288" w:lineRule="atLeast"/>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line="288" w:lineRule="atLeast"/>
        <w:ind w:left="0" w:firstLine="0"/>
        <w:outlineLvl w:val="1"/>
        <w:rPr>
          <w:rFonts w:hint="eastAsia" w:ascii="宋体" w:hAnsi="宋体" w:eastAsia="宋体" w:cs="宋体"/>
          <w:color w:val="auto"/>
          <w:highlight w:val="none"/>
        </w:rPr>
      </w:pPr>
      <w:r>
        <w:rPr>
          <w:rFonts w:hint="eastAsia" w:ascii="宋体" w:hAnsi="宋体" w:eastAsia="宋体" w:cs="宋体"/>
          <w:color w:val="auto"/>
          <w:spacing w:val="0"/>
          <w:sz w:val="31"/>
          <w:szCs w:val="31"/>
          <w:highlight w:val="none"/>
        </w:rPr>
        <w:t>1.1.5 </w:t>
      </w:r>
      <w:r>
        <w:rPr>
          <w:rFonts w:hint="eastAsia" w:ascii="宋体" w:hAnsi="宋体" w:eastAsia="宋体" w:cs="宋体"/>
          <w:color w:val="auto"/>
          <w:sz w:val="28"/>
          <w:szCs w:val="28"/>
          <w:highlight w:val="none"/>
        </w:rPr>
        <w:t>网格微服务系统</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网格微服务系统建设目标是通过建立容器化、微服务的城市统一网格数据底座，为综合管理平台的各类应用系统提供统一的网格数据与应用共享服务，支撑城市综合管理平台业务，提升城市精细化管理效率与网格化服务水平。</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系统采用先进的微服务架构，数据与功能基于微服务管理的规范要求开发为微服务形式接口，并注册至微服务管理中集成应用。系统还需基于容器化平台的规范要求，采用容器化方式进行构建与部署集成。</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系统建设内容主要包括网格数据微服务、网格查询应用微服务以及平台接口对接三项。</w:t>
      </w:r>
    </w:p>
    <w:p>
      <w:pPr>
        <w:keepNext w:val="0"/>
        <w:keepLines w:val="0"/>
        <w:widowControl/>
        <w:suppressLineNumbers w:val="0"/>
        <w:spacing w:line="288" w:lineRule="atLeast"/>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1.1.5.1 </w:t>
      </w:r>
      <w:r>
        <w:rPr>
          <w:rFonts w:hint="eastAsia" w:ascii="宋体" w:hAnsi="宋体" w:eastAsia="宋体" w:cs="宋体"/>
          <w:color w:val="auto"/>
          <w:sz w:val="28"/>
          <w:szCs w:val="28"/>
          <w:highlight w:val="none"/>
        </w:rPr>
        <w:t>网格数据微服务</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按照容器化与微服务的规范要求，构建容器化的网格数据库，提供数据集成入库能力将基础网格与各类管理网格数据合理有序地导入数据库中，并提供网格数据更新管理能力实现网格数据的更新维护。在此基础上，构建容器化的GIS服务支撑平台，提供空间数据服务发布能力将数据库中的网格数据发布为地图服务，向各应用系统提供网格地图数据服务。</w:t>
      </w:r>
    </w:p>
    <w:p>
      <w:pPr>
        <w:pStyle w:val="14"/>
        <w:keepNext w:val="0"/>
        <w:keepLines w:val="0"/>
        <w:widowControl/>
        <w:suppressLineNumbers w:val="0"/>
        <w:spacing w:line="288" w:lineRule="atLeast"/>
        <w:ind w:left="90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网格空间数据库管理</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采用容器化方式构建空间数据库docker镜像，支撑网格空间数据的入库与管理，并提供数据更新管理能力实现数据的动态更新管理。</w:t>
      </w:r>
    </w:p>
    <w:p>
      <w:pPr>
        <w:pStyle w:val="14"/>
        <w:keepNext w:val="0"/>
        <w:keepLines w:val="0"/>
        <w:widowControl/>
        <w:suppressLineNumbers w:val="0"/>
        <w:spacing w:line="288" w:lineRule="atLeast"/>
        <w:ind w:left="90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网格数据共享服务</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采用容器化方式构建GIS服务支撑平台docker镜像，提供地图服务的发布与管理能力，将网格数据发布为网格地图数据服务，向各应用系统共享提供。</w:t>
      </w:r>
    </w:p>
    <w:p>
      <w:pPr>
        <w:pStyle w:val="14"/>
        <w:keepNext w:val="0"/>
        <w:keepLines w:val="0"/>
        <w:widowControl/>
        <w:suppressLineNumbers w:val="0"/>
        <w:spacing w:line="288" w:lineRule="atLeast"/>
        <w:ind w:left="90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网格数据缓存同步服务</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实现网格数据缓存同步至redis或elasticsearch数据缓存服务集群中，提高网格数据检索服务性能，避免直查数据库导致崩库，支撑互联网高并发访问。</w:t>
      </w:r>
    </w:p>
    <w:p>
      <w:pPr>
        <w:keepNext w:val="0"/>
        <w:keepLines w:val="0"/>
        <w:widowControl/>
        <w:suppressLineNumbers w:val="0"/>
        <w:spacing w:line="288" w:lineRule="atLeast"/>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1.1.5.2 </w:t>
      </w:r>
      <w:r>
        <w:rPr>
          <w:rFonts w:hint="eastAsia" w:ascii="宋体" w:hAnsi="宋体" w:eastAsia="宋体" w:cs="宋体"/>
          <w:color w:val="auto"/>
          <w:highlight w:val="none"/>
        </w:rPr>
        <w:t> </w:t>
      </w:r>
      <w:r>
        <w:rPr>
          <w:rFonts w:hint="eastAsia" w:ascii="宋体" w:hAnsi="宋体" w:eastAsia="宋体" w:cs="宋体"/>
          <w:color w:val="auto"/>
          <w:sz w:val="28"/>
          <w:szCs w:val="28"/>
          <w:highlight w:val="none"/>
        </w:rPr>
        <w:t>网格查询应用微服务</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以微服务的方式开发实现网格数据查询应用的微服务接口，包含国家大地2000与互联网地图坐标系两类地图坐标系下的网格查询接口，支撑不同应用系统地图对于网格信息的查询需求。</w:t>
      </w:r>
    </w:p>
    <w:p>
      <w:pPr>
        <w:pStyle w:val="14"/>
        <w:keepNext w:val="0"/>
        <w:keepLines w:val="0"/>
        <w:widowControl/>
        <w:suppressLineNumbers w:val="0"/>
        <w:spacing w:line="288" w:lineRule="atLeast"/>
        <w:ind w:left="90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网格数据查询服务</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实现网格数据的空间与属性查询接口，包含网格编码查询、空间查询、属性查询、级联查询等接口。</w:t>
      </w:r>
    </w:p>
    <w:p>
      <w:pPr>
        <w:pStyle w:val="14"/>
        <w:keepNext w:val="0"/>
        <w:keepLines w:val="0"/>
        <w:widowControl/>
        <w:suppressLineNumbers w:val="0"/>
        <w:spacing w:line="288" w:lineRule="atLeast"/>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highlight w:val="none"/>
        </w:rPr>
        <w:t> </w:t>
      </w:r>
      <w:r>
        <w:rPr>
          <w:rFonts w:hint="eastAsia" w:ascii="宋体" w:hAnsi="宋体" w:eastAsia="宋体" w:cs="宋体"/>
          <w:color w:val="auto"/>
          <w:sz w:val="24"/>
          <w:szCs w:val="24"/>
          <w:highlight w:val="none"/>
        </w:rPr>
        <w:t>网格编码查询</w:t>
      </w:r>
    </w:p>
    <w:p>
      <w:pPr>
        <w:pStyle w:val="14"/>
        <w:keepNext w:val="0"/>
        <w:keepLines w:val="0"/>
        <w:widowControl/>
        <w:suppressLineNumbers w:val="0"/>
        <w:spacing w:line="288" w:lineRule="atLeast"/>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通过网格编码查询网格的图斑与属性信息。</w:t>
      </w:r>
    </w:p>
    <w:p>
      <w:pPr>
        <w:pStyle w:val="14"/>
        <w:keepNext w:val="0"/>
        <w:keepLines w:val="0"/>
        <w:widowControl/>
        <w:suppressLineNumbers w:val="0"/>
        <w:spacing w:line="288" w:lineRule="atLeast"/>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highlight w:val="none"/>
        </w:rPr>
        <w:t> </w:t>
      </w:r>
      <w:r>
        <w:rPr>
          <w:rFonts w:hint="eastAsia" w:ascii="宋体" w:hAnsi="宋体" w:eastAsia="宋体" w:cs="宋体"/>
          <w:color w:val="auto"/>
          <w:sz w:val="24"/>
          <w:szCs w:val="24"/>
          <w:highlight w:val="none"/>
        </w:rPr>
        <w:t>空间查询</w:t>
      </w:r>
    </w:p>
    <w:p>
      <w:pPr>
        <w:pStyle w:val="14"/>
        <w:keepNext w:val="0"/>
        <w:keepLines w:val="0"/>
        <w:widowControl/>
        <w:suppressLineNumbers w:val="0"/>
        <w:spacing w:line="288" w:lineRule="atLeast"/>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通过空间范围查询网格详细信息，支持点选、框选、多边形范围的空间查询。</w:t>
      </w:r>
    </w:p>
    <w:p>
      <w:pPr>
        <w:pStyle w:val="14"/>
        <w:keepNext w:val="0"/>
        <w:keepLines w:val="0"/>
        <w:widowControl/>
        <w:suppressLineNumbers w:val="0"/>
        <w:spacing w:line="288" w:lineRule="atLeast"/>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highlight w:val="none"/>
        </w:rPr>
        <w:t> </w:t>
      </w:r>
      <w:r>
        <w:rPr>
          <w:rFonts w:hint="eastAsia" w:ascii="宋体" w:hAnsi="宋体" w:eastAsia="宋体" w:cs="宋体"/>
          <w:color w:val="auto"/>
          <w:sz w:val="24"/>
          <w:szCs w:val="24"/>
          <w:highlight w:val="none"/>
        </w:rPr>
        <w:t>属性查询</w:t>
      </w:r>
    </w:p>
    <w:p>
      <w:pPr>
        <w:pStyle w:val="14"/>
        <w:keepNext w:val="0"/>
        <w:keepLines w:val="0"/>
        <w:widowControl/>
        <w:suppressLineNumbers w:val="0"/>
        <w:spacing w:line="288" w:lineRule="atLeast"/>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通过网格的属性（如名称、网格员等）多条件组合的网格信息查询。</w:t>
      </w:r>
    </w:p>
    <w:p>
      <w:pPr>
        <w:pStyle w:val="14"/>
        <w:keepNext w:val="0"/>
        <w:keepLines w:val="0"/>
        <w:widowControl/>
        <w:suppressLineNumbers w:val="0"/>
        <w:spacing w:line="288" w:lineRule="atLeast"/>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highlight w:val="none"/>
        </w:rPr>
        <w:t> </w:t>
      </w:r>
      <w:r>
        <w:rPr>
          <w:rFonts w:hint="eastAsia" w:ascii="宋体" w:hAnsi="宋体" w:eastAsia="宋体" w:cs="宋体"/>
          <w:color w:val="auto"/>
          <w:sz w:val="24"/>
          <w:szCs w:val="24"/>
          <w:highlight w:val="none"/>
        </w:rPr>
        <w:t>级联查询</w:t>
      </w:r>
    </w:p>
    <w:p>
      <w:pPr>
        <w:pStyle w:val="14"/>
        <w:keepNext w:val="0"/>
        <w:keepLines w:val="0"/>
        <w:widowControl/>
        <w:suppressLineNumbers w:val="0"/>
        <w:spacing w:line="288" w:lineRule="atLeast"/>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上下级关联网格的级联查询，如查询下级网格列表、查询所属上级网格等。</w:t>
      </w:r>
    </w:p>
    <w:p>
      <w:pPr>
        <w:pStyle w:val="14"/>
        <w:keepNext w:val="0"/>
        <w:keepLines w:val="0"/>
        <w:widowControl/>
        <w:suppressLineNumbers w:val="0"/>
        <w:spacing w:line="288" w:lineRule="atLeast"/>
        <w:ind w:left="90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互联网地图坐标转换服务</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实现互联网地图坐标与国家大地2000坐标之间的坐标相互转换的接口，支撑实现互联网地图调用网格数据与查询网格信息。</w:t>
      </w:r>
    </w:p>
    <w:p>
      <w:pPr>
        <w:pStyle w:val="14"/>
        <w:keepNext w:val="0"/>
        <w:keepLines w:val="0"/>
        <w:widowControl/>
        <w:suppressLineNumbers w:val="0"/>
        <w:spacing w:line="288" w:lineRule="atLeast"/>
        <w:ind w:left="90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互联网地图的网格查询服务</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实现基于互联网地图坐标的网格空间与属性查询服务接口，通过互联网地图坐标查询网格数据，查询结果返回互联网地图坐标系的网格图斑坐标。</w:t>
      </w:r>
    </w:p>
    <w:p>
      <w:pPr>
        <w:keepNext w:val="0"/>
        <w:keepLines w:val="0"/>
        <w:widowControl/>
        <w:suppressLineNumbers w:val="0"/>
        <w:spacing w:line="288" w:lineRule="atLeast"/>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1.1.5.3 </w:t>
      </w:r>
      <w:r>
        <w:rPr>
          <w:rFonts w:hint="eastAsia" w:ascii="宋体" w:hAnsi="宋体" w:eastAsia="宋体" w:cs="宋体"/>
          <w:color w:val="auto"/>
          <w:sz w:val="28"/>
          <w:szCs w:val="28"/>
          <w:highlight w:val="none"/>
        </w:rPr>
        <w:t>平台接口对接</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与微服务管理及容器化云平台进行接口对接，实现系统在容器化云平台的部署运行以及在微服务管理的能力服务集成，统一服务调用入口与鉴权。</w:t>
      </w:r>
    </w:p>
    <w:p>
      <w:pPr>
        <w:pStyle w:val="14"/>
        <w:keepNext w:val="0"/>
        <w:keepLines w:val="0"/>
        <w:widowControl/>
        <w:suppressLineNumbers w:val="0"/>
        <w:spacing w:line="288" w:lineRule="atLeast"/>
        <w:ind w:left="90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微服务管理接入对接</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微服务管理的接入规范，与微服务管理进行接口对接，在网格微服务接口开发时添加相关基础包依赖及注册中心配置，实现将网格微服务接口接入微服务平台的注册中心，并完成对接联调，通过微服务管理提供其它应用系统调用。</w:t>
      </w:r>
    </w:p>
    <w:p>
      <w:pPr>
        <w:pStyle w:val="14"/>
        <w:keepNext w:val="0"/>
        <w:keepLines w:val="0"/>
        <w:widowControl/>
        <w:suppressLineNumbers w:val="0"/>
        <w:spacing w:line="288" w:lineRule="atLeast"/>
        <w:ind w:left="90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容器化云平台接入对接</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根据容器化云平台的接入规范要求，完成网格空间数据库、数据共享GIS服务平台及网格应用微服务在容器化云平台中的部署集成，并完成对接联调。</w:t>
      </w:r>
    </w:p>
    <w:p>
      <w:pPr>
        <w:pStyle w:val="14"/>
        <w:keepNext w:val="0"/>
        <w:keepLines w:val="0"/>
        <w:widowControl/>
        <w:suppressLineNumbers w:val="0"/>
        <w:spacing w:line="288" w:lineRule="atLeast"/>
        <w:ind w:left="90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与福州时空系统对接</w:t>
      </w:r>
    </w:p>
    <w:p>
      <w:pPr>
        <w:pStyle w:val="14"/>
        <w:keepNext w:val="0"/>
        <w:keepLines w:val="0"/>
        <w:widowControl/>
        <w:suppressLineNumbers w:val="0"/>
        <w:spacing w:line="288" w:lineRule="atLeast"/>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根据时空平台的接入规范，与时空平台进行接口对接，将网格员日常采集到的部件变更数据推送至福州市时空信息公共服务平台，由其进行核实校准发布，建立部件动态更新机制。</w:t>
      </w:r>
    </w:p>
    <w:p>
      <w:pPr>
        <w:pStyle w:val="14"/>
        <w:keepNext w:val="0"/>
        <w:keepLines w:val="0"/>
        <w:widowControl/>
        <w:suppressLineNumbers w:val="0"/>
        <w:spacing w:line="288" w:lineRule="atLeast"/>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line="288" w:lineRule="atLeast"/>
        <w:ind w:left="0" w:firstLine="0"/>
        <w:outlineLvl w:val="1"/>
        <w:rPr>
          <w:rFonts w:hint="eastAsia" w:ascii="宋体" w:hAnsi="宋体" w:eastAsia="宋体" w:cs="宋体"/>
          <w:color w:val="auto"/>
          <w:highlight w:val="none"/>
        </w:rPr>
      </w:pPr>
      <w:r>
        <w:rPr>
          <w:rFonts w:hint="eastAsia" w:ascii="宋体" w:hAnsi="宋体" w:eastAsia="宋体" w:cs="宋体"/>
          <w:color w:val="auto"/>
          <w:spacing w:val="0"/>
          <w:sz w:val="31"/>
          <w:szCs w:val="31"/>
          <w:highlight w:val="none"/>
        </w:rPr>
        <w:t>1.1.6 </w:t>
      </w:r>
      <w:r>
        <w:rPr>
          <w:rFonts w:hint="eastAsia" w:ascii="宋体" w:hAnsi="宋体" w:eastAsia="宋体" w:cs="宋体"/>
          <w:color w:val="auto"/>
          <w:sz w:val="28"/>
          <w:szCs w:val="28"/>
          <w:highlight w:val="none"/>
        </w:rPr>
        <w:t>舆情监测系统</w:t>
      </w:r>
    </w:p>
    <w:p>
      <w:pPr>
        <w:pStyle w:val="14"/>
        <w:keepNext w:val="0"/>
        <w:keepLines w:val="0"/>
        <w:widowControl/>
        <w:suppressLineNumbers w:val="0"/>
        <w:spacing w:line="288" w:lineRule="atLeast"/>
        <w:ind w:left="21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舆情监测系统用于采集本市范围内的城市运行管理服务相 关舆情监测数据，实时掌握本市城市管理工作舆情、重大负面 舆情，转相关部门办理并跟踪督办。与省级平台舆情监测系统 功能一致，市级平台舆情监测系统应包括舆情采集、舆情督办、 舆情分析和舆情报告等功能模块。</w:t>
      </w:r>
    </w:p>
    <w:p>
      <w:pPr>
        <w:keepNext w:val="0"/>
        <w:keepLines w:val="0"/>
        <w:widowControl/>
        <w:suppressLineNumbers w:val="0"/>
        <w:spacing w:line="288" w:lineRule="atLeast"/>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1.1.6.1 </w:t>
      </w:r>
      <w:r>
        <w:rPr>
          <w:rFonts w:hint="eastAsia" w:ascii="宋体" w:hAnsi="宋体" w:eastAsia="宋体" w:cs="宋体"/>
          <w:color w:val="auto"/>
          <w:sz w:val="28"/>
          <w:szCs w:val="28"/>
          <w:highlight w:val="none"/>
        </w:rPr>
        <w:t>信息采集</w:t>
      </w:r>
    </w:p>
    <w:p>
      <w:pPr>
        <w:pStyle w:val="14"/>
        <w:keepNext w:val="0"/>
        <w:keepLines w:val="0"/>
        <w:widowControl/>
        <w:suppressLineNumbers w:val="0"/>
        <w:spacing w:line="288" w:lineRule="atLeast"/>
        <w:ind w:left="21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自动采集系统是舆情监测系统的核心与基础，因此评价一个舆情监测系统是否优秀的重要指标就是自动采集子系统能否将目标信息及时全面地采集到系统中。信息采集子系统的职责是对全部网站进行自动采集。系统内置重点网站有：新华网、人民网等网络平台获取我市城市管理相关的舆情数据。</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1.1.6.1.1 </w:t>
      </w:r>
      <w:r>
        <w:rPr>
          <w:rFonts w:hint="eastAsia" w:ascii="宋体" w:hAnsi="宋体" w:eastAsia="宋体" w:cs="宋体"/>
          <w:color w:val="auto"/>
          <w:sz w:val="28"/>
          <w:szCs w:val="28"/>
          <w:highlight w:val="none"/>
        </w:rPr>
        <w:t>定向爬虫服务</w:t>
      </w:r>
    </w:p>
    <w:p>
      <w:pPr>
        <w:pStyle w:val="14"/>
        <w:keepNext w:val="0"/>
        <w:keepLines w:val="0"/>
        <w:widowControl/>
        <w:suppressLineNumbers w:val="0"/>
        <w:spacing w:line="288" w:lineRule="atLeast"/>
        <w:ind w:left="21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舆情系统的智能网络爬虫系统，可以实现高质量和快速的抓取，支持对新华网、人民网等主要平台信息的实时抓取。</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1.1.6.1.2 </w:t>
      </w:r>
      <w:r>
        <w:rPr>
          <w:rFonts w:hint="eastAsia" w:ascii="宋体" w:hAnsi="宋体" w:eastAsia="宋体" w:cs="宋体"/>
          <w:color w:val="auto"/>
          <w:sz w:val="28"/>
          <w:szCs w:val="28"/>
          <w:highlight w:val="none"/>
        </w:rPr>
        <w:t>多采集线程并行处理</w:t>
      </w:r>
    </w:p>
    <w:p>
      <w:pPr>
        <w:pStyle w:val="14"/>
        <w:keepNext w:val="0"/>
        <w:keepLines w:val="0"/>
        <w:widowControl/>
        <w:suppressLineNumbers w:val="0"/>
        <w:spacing w:line="288" w:lineRule="atLeast"/>
        <w:ind w:left="21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本子系统可以部署在多台计算机上，实现高效的多线程同时并行处理，减少单一服务器采集压力。</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1.1.6.1.3 </w:t>
      </w:r>
      <w:r>
        <w:rPr>
          <w:rFonts w:hint="eastAsia" w:ascii="宋体" w:hAnsi="宋体" w:eastAsia="宋体" w:cs="宋体"/>
          <w:color w:val="auto"/>
          <w:sz w:val="28"/>
          <w:szCs w:val="28"/>
          <w:highlight w:val="none"/>
        </w:rPr>
        <w:t>无人值守全天候自动采集</w:t>
      </w:r>
    </w:p>
    <w:p>
      <w:pPr>
        <w:pStyle w:val="14"/>
        <w:keepNext w:val="0"/>
        <w:keepLines w:val="0"/>
        <w:widowControl/>
        <w:suppressLineNumbers w:val="0"/>
        <w:spacing w:line="288" w:lineRule="atLeast"/>
        <w:ind w:left="21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可定时运行，也可7x24小时运行，可设置采集时间间隔。</w:t>
      </w:r>
    </w:p>
    <w:p>
      <w:pPr>
        <w:keepNext w:val="0"/>
        <w:keepLines w:val="0"/>
        <w:widowControl/>
        <w:suppressLineNumbers w:val="0"/>
        <w:spacing w:line="288" w:lineRule="atLeast"/>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1.1.6.2 </w:t>
      </w:r>
      <w:r>
        <w:rPr>
          <w:rFonts w:hint="eastAsia" w:ascii="宋体" w:hAnsi="宋体" w:eastAsia="宋体" w:cs="宋体"/>
          <w:color w:val="auto"/>
          <w:sz w:val="28"/>
          <w:szCs w:val="28"/>
          <w:highlight w:val="none"/>
        </w:rPr>
        <w:t>信息处理</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1.1.6.2.1 </w:t>
      </w:r>
      <w:r>
        <w:rPr>
          <w:rFonts w:hint="eastAsia" w:ascii="宋体" w:hAnsi="宋体" w:eastAsia="宋体" w:cs="宋体"/>
          <w:color w:val="auto"/>
          <w:sz w:val="28"/>
          <w:szCs w:val="28"/>
          <w:highlight w:val="none"/>
        </w:rPr>
        <w:t>垃圾信息过滤</w:t>
      </w:r>
    </w:p>
    <w:p>
      <w:pPr>
        <w:pStyle w:val="14"/>
        <w:keepNext w:val="0"/>
        <w:keepLines w:val="0"/>
        <w:widowControl/>
        <w:suppressLineNumbers w:val="0"/>
        <w:spacing w:line="288" w:lineRule="atLeast"/>
        <w:ind w:left="21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基于机器学习的垃圾过滤机制可以自动过滤广告、水贴等无效垃圾信息。</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1.1.6.2.2 </w:t>
      </w:r>
      <w:r>
        <w:rPr>
          <w:rFonts w:hint="eastAsia" w:ascii="宋体" w:hAnsi="宋体" w:eastAsia="宋体" w:cs="宋体"/>
          <w:color w:val="auto"/>
          <w:sz w:val="28"/>
          <w:szCs w:val="28"/>
          <w:highlight w:val="none"/>
        </w:rPr>
        <w:t>智能去重</w:t>
      </w:r>
    </w:p>
    <w:p>
      <w:pPr>
        <w:pStyle w:val="14"/>
        <w:keepNext w:val="0"/>
        <w:keepLines w:val="0"/>
        <w:widowControl/>
        <w:suppressLineNumbers w:val="0"/>
        <w:spacing w:line="288" w:lineRule="atLeast"/>
        <w:ind w:left="21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采用"文章相似性技术"，根据文档内容的匹配程度确定是否重复．去重的级别；根据不同的需要特点分为：URL去重、标题去重、正文去重三个级别。</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1.1.6.2.3 </w:t>
      </w:r>
      <w:r>
        <w:rPr>
          <w:rFonts w:hint="eastAsia" w:ascii="宋体" w:hAnsi="宋体" w:eastAsia="宋体" w:cs="宋体"/>
          <w:color w:val="auto"/>
          <w:sz w:val="28"/>
          <w:szCs w:val="28"/>
          <w:highlight w:val="none"/>
        </w:rPr>
        <w:t>HTML内容提取</w:t>
      </w:r>
    </w:p>
    <w:p>
      <w:pPr>
        <w:pStyle w:val="14"/>
        <w:keepNext w:val="0"/>
        <w:keepLines w:val="0"/>
        <w:widowControl/>
        <w:suppressLineNumbers w:val="0"/>
        <w:spacing w:line="288" w:lineRule="atLeast"/>
        <w:ind w:left="21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采用自主知识产权的HTML网页文本萃取技术自动提取任意复杂网页中的标题、内容、作者、发布时间等信息，自动跟踪文章分页；对于论坛信息自动分析主贴、回帖以及作者等信息．</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1.1.6.2.4 </w:t>
      </w:r>
      <w:r>
        <w:rPr>
          <w:rFonts w:hint="eastAsia" w:ascii="宋体" w:hAnsi="宋体" w:eastAsia="宋体" w:cs="宋体"/>
          <w:color w:val="auto"/>
          <w:sz w:val="28"/>
          <w:szCs w:val="28"/>
          <w:highlight w:val="none"/>
        </w:rPr>
        <w:t>快照保存</w:t>
      </w:r>
    </w:p>
    <w:p>
      <w:pPr>
        <w:pStyle w:val="14"/>
        <w:keepNext w:val="0"/>
        <w:keepLines w:val="0"/>
        <w:widowControl/>
        <w:suppressLineNumbers w:val="0"/>
        <w:spacing w:line="288" w:lineRule="atLeast"/>
        <w:ind w:left="21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对于每个经过抓取和处理的网页，系统都存有一个纯文本的备份，方便用户快速浏览，也方便用户查看被删除的文章或帖子。</w:t>
      </w:r>
    </w:p>
    <w:p>
      <w:pPr>
        <w:keepNext w:val="0"/>
        <w:keepLines w:val="0"/>
        <w:widowControl/>
        <w:suppressLineNumbers w:val="0"/>
        <w:spacing w:line="288" w:lineRule="atLeast"/>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1.1.6.3 </w:t>
      </w:r>
      <w:r>
        <w:rPr>
          <w:rFonts w:hint="eastAsia" w:ascii="宋体" w:hAnsi="宋体" w:eastAsia="宋体" w:cs="宋体"/>
          <w:color w:val="auto"/>
          <w:sz w:val="28"/>
          <w:szCs w:val="28"/>
          <w:highlight w:val="none"/>
        </w:rPr>
        <w:t>舆情展示</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1.1.6.3.1 </w:t>
      </w:r>
      <w:r>
        <w:rPr>
          <w:rFonts w:hint="eastAsia" w:ascii="宋体" w:hAnsi="宋体" w:eastAsia="宋体" w:cs="宋体"/>
          <w:color w:val="auto"/>
          <w:sz w:val="28"/>
          <w:szCs w:val="28"/>
          <w:highlight w:val="none"/>
        </w:rPr>
        <w:t> WEB客户界面</w:t>
      </w:r>
    </w:p>
    <w:p>
      <w:pPr>
        <w:pStyle w:val="14"/>
        <w:keepNext w:val="0"/>
        <w:keepLines w:val="0"/>
        <w:widowControl/>
        <w:suppressLineNumbers w:val="0"/>
        <w:spacing w:line="288" w:lineRule="atLeast"/>
        <w:ind w:left="21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基于云计算模式，用户可以使用WEB浏览器随时登陆系统，在客户界面对舆情状况进行全面的了解。</w:t>
      </w:r>
    </w:p>
    <w:p>
      <w:pPr>
        <w:pStyle w:val="14"/>
        <w:keepNext w:val="0"/>
        <w:keepLines w:val="0"/>
        <w:widowControl/>
        <w:suppressLineNumbers w:val="0"/>
        <w:spacing w:line="288" w:lineRule="atLeast"/>
        <w:ind w:left="21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客户界面包含了如舆情走势、舆情详细信息、最新信息等主要内容，并以列表以及图表展示等可视化方式呈现。</w:t>
      </w:r>
    </w:p>
    <w:p>
      <w:pPr>
        <w:pStyle w:val="14"/>
        <w:keepNext w:val="0"/>
        <w:keepLines w:val="0"/>
        <w:widowControl/>
        <w:suppressLineNumbers w:val="0"/>
        <w:spacing w:line="288" w:lineRule="atLeast"/>
        <w:ind w:left="21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实时搜索功能，用户可以自定义搜索条件查看系统内抓取的最新监测信息。</w:t>
      </w:r>
    </w:p>
    <w:p>
      <w:pPr>
        <w:keepNext w:val="0"/>
        <w:keepLines w:val="0"/>
        <w:widowControl/>
        <w:suppressLineNumbers w:val="0"/>
        <w:spacing w:line="239" w:lineRule="atLeast"/>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1.1.6.3.2 </w:t>
      </w:r>
      <w:r>
        <w:rPr>
          <w:rFonts w:hint="eastAsia" w:ascii="宋体" w:hAnsi="宋体" w:eastAsia="宋体" w:cs="宋体"/>
          <w:color w:val="auto"/>
          <w:sz w:val="28"/>
          <w:szCs w:val="28"/>
          <w:highlight w:val="none"/>
        </w:rPr>
        <w:t>舆情分析报告</w:t>
      </w:r>
    </w:p>
    <w:p>
      <w:pPr>
        <w:pStyle w:val="14"/>
        <w:keepNext w:val="0"/>
        <w:keepLines w:val="0"/>
        <w:widowControl/>
        <w:suppressLineNumbers w:val="0"/>
        <w:spacing w:line="288" w:lineRule="atLeast"/>
        <w:ind w:left="21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根据舆情分析引擎处理后的结果库生成报告，用户可通过浏览器浏览，并且可以到处生成为PDF等格式的本地文档。</w:t>
      </w:r>
    </w:p>
    <w:p>
      <w:pPr>
        <w:pStyle w:val="14"/>
        <w:keepNext w:val="0"/>
        <w:keepLines w:val="0"/>
        <w:widowControl/>
        <w:suppressLineNumbers w:val="0"/>
        <w:spacing w:line="288" w:lineRule="atLeast"/>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ind w:left="0" w:firstLine="0"/>
        <w:outlineLvl w:val="1"/>
        <w:rPr>
          <w:rFonts w:hint="eastAsia" w:ascii="宋体" w:hAnsi="宋体" w:eastAsia="宋体" w:cs="宋体"/>
          <w:color w:val="auto"/>
          <w:highlight w:val="none"/>
        </w:rPr>
      </w:pPr>
      <w:r>
        <w:rPr>
          <w:rFonts w:hint="eastAsia" w:ascii="宋体" w:hAnsi="宋体" w:eastAsia="宋体" w:cs="宋体"/>
          <w:color w:val="auto"/>
          <w:spacing w:val="0"/>
          <w:sz w:val="31"/>
          <w:szCs w:val="31"/>
          <w:highlight w:val="none"/>
        </w:rPr>
        <w:t>1.1.7 </w:t>
      </w:r>
      <w:r>
        <w:rPr>
          <w:rFonts w:hint="eastAsia" w:ascii="宋体" w:hAnsi="宋体" w:eastAsia="宋体" w:cs="宋体"/>
          <w:color w:val="auto"/>
          <w:sz w:val="28"/>
          <w:szCs w:val="28"/>
          <w:highlight w:val="none"/>
        </w:rPr>
        <w:t>城市自评价系统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自评价系统是市级平台的核心系统，根据城市综合管理服务评价工作要求，围绕“干净、整洁、有序、安全、群众满意”等核心指标，开展综合评价工作。市级平台可在城市综合管理服务评价指标体系的基础上，结合实际增加特色型指标。系统提供评价指标管理、评价配置管理、评价指标填报、评价任务管理、评价数据审核、评价结果生成等功能模块。</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1.1.7.1 </w:t>
      </w:r>
      <w:r>
        <w:rPr>
          <w:rFonts w:hint="eastAsia" w:ascii="宋体" w:hAnsi="宋体" w:eastAsia="宋体" w:cs="宋体"/>
          <w:color w:val="auto"/>
          <w:sz w:val="28"/>
          <w:szCs w:val="28"/>
          <w:highlight w:val="none"/>
        </w:rPr>
        <w:t>评价指标管理</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评价考评包括填报核查和现场检查两种考核形式。</w:t>
      </w:r>
      <w:r>
        <w:rPr>
          <w:rStyle w:val="17"/>
          <w:rFonts w:hint="eastAsia" w:ascii="宋体" w:hAnsi="宋体" w:eastAsia="宋体" w:cs="宋体"/>
          <w:color w:val="auto"/>
          <w:sz w:val="24"/>
          <w:szCs w:val="24"/>
          <w:highlight w:val="none"/>
        </w:rPr>
        <w:t>考评指标分为一级指标、二级指标、三级指标和四级指标，每类考核指标下细分检查项。</w:t>
      </w:r>
      <w:r>
        <w:rPr>
          <w:rFonts w:hint="eastAsia" w:ascii="宋体" w:hAnsi="宋体" w:eastAsia="宋体" w:cs="宋体"/>
          <w:color w:val="auto"/>
          <w:sz w:val="24"/>
          <w:szCs w:val="24"/>
          <w:highlight w:val="none"/>
        </w:rPr>
        <w:t>核查类指标主要是通过各个被考评城市主动填报各类指标的相关数据；检查类指标主要通过考评专家成员到达被考评城市现场，进行现场检查打分；检查项属于具体的考评细则，对应于填报核查指标中的填报细项和现场检查指标中的检查细项。</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1.1.7.1.1 </w:t>
      </w:r>
      <w:r>
        <w:rPr>
          <w:rFonts w:hint="eastAsia" w:ascii="宋体" w:hAnsi="宋体" w:eastAsia="宋体" w:cs="宋体"/>
          <w:color w:val="auto"/>
          <w:sz w:val="28"/>
          <w:szCs w:val="28"/>
          <w:highlight w:val="none"/>
        </w:rPr>
        <w:t>评价指标定义</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考评指标管理支持四级考核指标体系的定义功能，包括定义、指标编号、指标解释、指标名称、考评要求、评价标准、考评方式（填报核查、现场检查）、检查项、计分方法等。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1.1.7.1.2 </w:t>
      </w:r>
      <w:r>
        <w:rPr>
          <w:rFonts w:hint="eastAsia" w:ascii="宋体" w:hAnsi="宋体" w:eastAsia="宋体" w:cs="宋体"/>
          <w:color w:val="auto"/>
          <w:sz w:val="28"/>
          <w:szCs w:val="28"/>
          <w:highlight w:val="none"/>
        </w:rPr>
        <w:t>考核项定义</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支持指标体系下的考核项（填报项、检查项）定义。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1.1.7.1.3 </w:t>
      </w:r>
      <w:r>
        <w:rPr>
          <w:rFonts w:hint="eastAsia" w:ascii="宋体" w:hAnsi="宋体" w:eastAsia="宋体" w:cs="宋体"/>
          <w:color w:val="auto"/>
          <w:sz w:val="28"/>
          <w:szCs w:val="28"/>
          <w:highlight w:val="none"/>
        </w:rPr>
        <w:t>指标计算规则定义</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支持指标计算规则定义，通过指标中的考核项进行定义最终的指标计算规则。</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1.1.7.1.4 </w:t>
      </w:r>
      <w:r>
        <w:rPr>
          <w:rFonts w:hint="eastAsia" w:ascii="宋体" w:hAnsi="宋体" w:eastAsia="宋体" w:cs="宋体"/>
          <w:color w:val="auto"/>
          <w:sz w:val="28"/>
          <w:szCs w:val="28"/>
          <w:highlight w:val="none"/>
        </w:rPr>
        <w:t>评价规则维护</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评价规则维护，支持规则配置，基于指标计算后，能直接计算该指标的评价得分。一种是按照指标结果分段给出等级和相应的得分；另外一种是指标包含多个填报项，每项都有一个达标值，最终按照达标几项计算相应的得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1.1.7.2 </w:t>
      </w:r>
      <w:r>
        <w:rPr>
          <w:rFonts w:hint="eastAsia" w:ascii="宋体" w:hAnsi="宋体" w:eastAsia="宋体" w:cs="宋体"/>
          <w:color w:val="auto"/>
          <w:sz w:val="28"/>
          <w:szCs w:val="28"/>
          <w:highlight w:val="none"/>
        </w:rPr>
        <w:t>评价配置管理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1.1.7.2.1 </w:t>
      </w:r>
      <w:r>
        <w:rPr>
          <w:rFonts w:hint="eastAsia" w:ascii="宋体" w:hAnsi="宋体" w:eastAsia="宋体" w:cs="宋体"/>
          <w:color w:val="auto"/>
          <w:sz w:val="28"/>
          <w:szCs w:val="28"/>
          <w:highlight w:val="none"/>
        </w:rPr>
        <w:t>评价样本点管理</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用于设定和管理城市现场检查考核的地点和场所，包括：（1）道路：主干道、次干道、支路；（2）公共场所：公园广场、交通枢纽、市场、景区；（3）环卫设施：垃圾收集站、垃圾转运站、公共厕所；（4）水体：河道、湖泊。</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①新增分组：按照样本库的类别进行分组，如道路、公共场所等。</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②样本库类型管理：在分组下新增样本库类型，编辑和删除样本库。属性包括：样本库名称、关联的属性，绑定的检查项。</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③样本点管理：支持导入样本点，支持新增、编辑、删除样本点。</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④属性管理：新增和编辑属性字段名称、字段内容。通用属性包括：样本类型、所属城市等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1.1.7.2.2 </w:t>
      </w:r>
      <w:r>
        <w:rPr>
          <w:rFonts w:hint="eastAsia" w:ascii="宋体" w:hAnsi="宋体" w:eastAsia="宋体" w:cs="宋体"/>
          <w:color w:val="auto"/>
          <w:sz w:val="28"/>
          <w:szCs w:val="28"/>
          <w:highlight w:val="none"/>
        </w:rPr>
        <w:t>评价对象管理</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实现对被考评的城市的维护管理，考评对象的维护管理，包括新增、修改等，支持考评对象按照区域分组管理，主要指各个地级城市。用于支撑后续的考评任务抽取。</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1.1.7.2.3 </w:t>
      </w:r>
      <w:r>
        <w:rPr>
          <w:rFonts w:hint="eastAsia" w:ascii="宋体" w:hAnsi="宋体" w:eastAsia="宋体" w:cs="宋体"/>
          <w:color w:val="auto"/>
          <w:sz w:val="28"/>
          <w:szCs w:val="28"/>
          <w:highlight w:val="none"/>
        </w:rPr>
        <w:t>评价人员管理</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考评人员指的是参与实际现场考评的人员，一般是专家组成员。考评人员一般是分组工作，分为多个组，在一个城市同时进行考核，该模块具备以下功能：</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（1）考评人员分组管理，增加、删除、修改。</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（2）考评人员管理：增加、删除、修改，主要属性包括姓名、工作编号、手机等。</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（3）考评人员绑定样本点，便于考评人员分组安排。</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1.1.7.3 </w:t>
      </w:r>
      <w:r>
        <w:rPr>
          <w:rFonts w:hint="eastAsia" w:ascii="宋体" w:hAnsi="宋体" w:eastAsia="宋体" w:cs="宋体"/>
          <w:color w:val="auto"/>
          <w:sz w:val="28"/>
          <w:szCs w:val="28"/>
          <w:highlight w:val="none"/>
        </w:rPr>
        <w:t>评价指标填报</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1.1.7.3.1 </w:t>
      </w:r>
      <w:r>
        <w:rPr>
          <w:rFonts w:hint="eastAsia" w:ascii="宋体" w:hAnsi="宋体" w:eastAsia="宋体" w:cs="宋体"/>
          <w:color w:val="auto"/>
          <w:sz w:val="28"/>
          <w:szCs w:val="28"/>
          <w:highlight w:val="none"/>
        </w:rPr>
        <w:t>评价指标填报</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根据考评分类体系，该部分填报城市管理的各类运行指标数据，包括城市基础数据和各个相关行业的管理数据，用于评价</w:t>
      </w:r>
      <w:r>
        <w:rPr>
          <w:rStyle w:val="17"/>
          <w:rFonts w:hint="eastAsia" w:ascii="宋体" w:hAnsi="宋体" w:eastAsia="宋体" w:cs="宋体"/>
          <w:color w:val="auto"/>
          <w:sz w:val="24"/>
          <w:szCs w:val="24"/>
          <w:highlight w:val="none"/>
        </w:rPr>
        <w:t>城市综合管理服务水平</w:t>
      </w:r>
      <w:r>
        <w:rPr>
          <w:rFonts w:hint="eastAsia" w:ascii="宋体" w:hAnsi="宋体" w:eastAsia="宋体" w:cs="宋体"/>
          <w:color w:val="auto"/>
          <w:sz w:val="24"/>
          <w:szCs w:val="24"/>
          <w:highlight w:val="none"/>
        </w:rPr>
        <w:t>。</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（1）支持填报时段，填报内容、填报提交等填报规则设定。</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（2）支持</w:t>
      </w:r>
      <w:r>
        <w:rPr>
          <w:rFonts w:hint="eastAsia" w:ascii="宋体" w:hAnsi="宋体" w:eastAsia="宋体" w:cs="宋体"/>
          <w:color w:val="auto"/>
          <w:sz w:val="24"/>
          <w:szCs w:val="24"/>
          <w:highlight w:val="none"/>
        </w:rPr>
        <w:t>填报人信息、城市基础信息、城市运行指标填报内容管理。</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（3）填报人信息：</w:t>
      </w:r>
      <w:r>
        <w:rPr>
          <w:rFonts w:hint="eastAsia" w:ascii="宋体" w:hAnsi="宋体" w:eastAsia="宋体" w:cs="宋体"/>
          <w:color w:val="auto"/>
          <w:sz w:val="24"/>
          <w:szCs w:val="24"/>
          <w:highlight w:val="none"/>
        </w:rPr>
        <w:t>填报单位、联系人、联系方式，一般为各地城管局承担填报任务。</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（4）城市基础信息，包括面积：</w:t>
      </w:r>
      <w:r>
        <w:rPr>
          <w:rFonts w:hint="eastAsia" w:ascii="宋体" w:hAnsi="宋体" w:eastAsia="宋体" w:cs="宋体"/>
          <w:color w:val="auto"/>
          <w:sz w:val="24"/>
          <w:szCs w:val="24"/>
          <w:highlight w:val="none"/>
        </w:rPr>
        <w:t>①建成区面积，②中心区建设用地面积，③建成区道路总面积</w:t>
      </w:r>
      <w:r>
        <w:rPr>
          <w:rStyle w:val="17"/>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④建成区内小区总数</w:t>
      </w:r>
      <w:r>
        <w:rPr>
          <w:rStyle w:val="17"/>
          <w:rFonts w:hint="eastAsia" w:ascii="宋体" w:hAnsi="宋体" w:eastAsia="宋体" w:cs="宋体"/>
          <w:color w:val="auto"/>
          <w:sz w:val="24"/>
          <w:szCs w:val="24"/>
          <w:highlight w:val="none"/>
        </w:rPr>
        <w:t>。</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（5）人口：</w:t>
      </w:r>
      <w:r>
        <w:rPr>
          <w:rFonts w:hint="eastAsia" w:ascii="宋体" w:hAnsi="宋体" w:eastAsia="宋体" w:cs="宋体"/>
          <w:color w:val="auto"/>
          <w:sz w:val="24"/>
          <w:szCs w:val="24"/>
          <w:highlight w:val="none"/>
        </w:rPr>
        <w:t>①城市常住人口数</w:t>
      </w:r>
      <w:r>
        <w:rPr>
          <w:rStyle w:val="17"/>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②建成区人口，③建城区内居民总户数。</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（6）基础数据：</w:t>
      </w:r>
      <w:r>
        <w:rPr>
          <w:rFonts w:hint="eastAsia" w:ascii="宋体" w:hAnsi="宋体" w:eastAsia="宋体" w:cs="宋体"/>
          <w:color w:val="auto"/>
          <w:sz w:val="24"/>
          <w:szCs w:val="24"/>
          <w:highlight w:val="none"/>
        </w:rPr>
        <w:t>在后台统一维护，初始化数据从统计年鉴中获取。</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（7）城市运行指标：</w:t>
      </w:r>
      <w:r>
        <w:rPr>
          <w:rFonts w:hint="eastAsia" w:ascii="宋体" w:hAnsi="宋体" w:eastAsia="宋体" w:cs="宋体"/>
          <w:color w:val="auto"/>
          <w:sz w:val="24"/>
          <w:szCs w:val="24"/>
          <w:highlight w:val="none"/>
        </w:rPr>
        <w:t>指标填报项，部分指标数据从基础项加载，不可修改。每项指标后面填写数值、数据来源、提供人、联系方式。数据来源、提供人、联系方式。</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1.1.7.3.2 </w:t>
      </w:r>
      <w:r>
        <w:rPr>
          <w:rFonts w:hint="eastAsia" w:ascii="宋体" w:hAnsi="宋体" w:eastAsia="宋体" w:cs="宋体"/>
          <w:color w:val="auto"/>
          <w:sz w:val="28"/>
          <w:szCs w:val="28"/>
          <w:highlight w:val="none"/>
        </w:rPr>
        <w:t>评价指标报送</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被考核对象，在考核填报周期内，按照要求完成所有指标的填报项，然后上报审核，系统可在已报送栏，查看其填报任务状态、报送详情及进度情况，支持时间和填报部门筛选。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1.1.7.4 </w:t>
      </w:r>
      <w:r>
        <w:rPr>
          <w:rFonts w:hint="eastAsia" w:ascii="宋体" w:hAnsi="宋体" w:eastAsia="宋体" w:cs="宋体"/>
          <w:color w:val="auto"/>
          <w:sz w:val="28"/>
          <w:szCs w:val="28"/>
          <w:highlight w:val="none"/>
        </w:rPr>
        <w:t>评价数据来源</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评价数据来源表</w:t>
      </w:r>
    </w:p>
    <w:tbl>
      <w:tblPr>
        <w:tblStyle w:val="15"/>
        <w:tblW w:w="10290"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72"/>
        <w:gridCol w:w="3234"/>
        <w:gridCol w:w="3217"/>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FEF2CC"/>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序号</w:t>
            </w:r>
          </w:p>
        </w:tc>
        <w:tc>
          <w:tcPr>
            <w:tcW w:w="3204" w:type="dxa"/>
            <w:shd w:val="clear" w:color="auto" w:fill="FEF2CC"/>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指标名称</w:t>
            </w:r>
          </w:p>
        </w:tc>
        <w:tc>
          <w:tcPr>
            <w:tcW w:w="3187" w:type="dxa"/>
            <w:shd w:val="clear" w:color="auto" w:fill="FEF2CC"/>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数据需求</w:t>
            </w:r>
          </w:p>
        </w:tc>
        <w:tc>
          <w:tcPr>
            <w:tcW w:w="3022" w:type="dxa"/>
            <w:shd w:val="clear" w:color="auto" w:fill="FEF2CC"/>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建成区公厕设置密度（座/平方公里）</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公厕数据</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生活垃圾处理能力与清运量的比例</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生活垃圾日处理能力（吨/日）</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生活垃圾处理能力与清运量的比例</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生活垃圾日清运量（吨/日）</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4</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生活垃圾分类覆盖率（%）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城市建成区内已建成小区中实施垃圾分类的数量</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生活垃圾分类覆盖率（%）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城市已建成小区的数量</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6</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道路清扫覆盖率（%）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城市道路中实行清扫保洁的道路面积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7</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道路清扫覆盖率（%）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城市道路总面积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各级道路巡回保洁时间（小时/日）</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各级道路巡回保洁时间</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机械化清扫覆盖率（%）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采用环卫机械化清扫作业，并达到作业规范和质量要求的道路面积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10</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机械化清扫覆盖率（%）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城市清扫保洁道路总面积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11</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渣土全流程监管达标率（%）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单位达标率</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12</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渣土全流程监管达标率（%）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车辆合格率</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13</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渣土全流程监管达标率（%）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处置核准达标率</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14</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渣土全流程监管达标率（%）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消纳场所达标率</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15</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渣土消纳能力与清运量的比例</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城市渣土清运总量（吨/日）</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16</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渣土消纳能力与清运量的比例</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城市渣土消纳能力（吨/日）</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17</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门前责任区制度履约率（%）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现场抽查评分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18</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道路干净</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现场抽查评分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19</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建构筑物立面干净</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现场抽查评分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20</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公共场所干净</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现场抽查评分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福州市商务局、福州市交通局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21</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水体干净（不黑不臭）</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现场抽查评分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福州市城乡建设局、福州市城市管理委员会、福州市生态环境局、福州市市场监督局、福州市住房保障和房产管理局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22</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建成区公园绿地服务半径覆盖率（%）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公园绿地服务半径覆盖的居住用地面积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福州市园林中心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23</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建成区绿地率（%）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公园绿地面积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福州市园林中心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24</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建成区绿地率（%）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防护绿地面积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福州市园林中心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25</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建成区绿地率（%）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广场用地中的绿地面积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福州市园林中心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26</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建成区绿地率（%）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附属绿地面积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福州市园林中心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27</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建成区绿化覆盖率（%）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建成区绿化覆盖面积（万平方米）</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福州市园林中心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28</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人均公园绿地面积（平方米/人）</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公园绿地面积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福州市园林中心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29</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一等养护城镇道路占比（%）</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建成区内实施一等养护城镇道路长度（公里）</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30</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一等养护城镇道路占比（%）</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建成区内城镇道路总长度（公里）</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31</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城市照明亮灯率（%）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建成区内功能性照明亮灯数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32</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城市照明亮灯率（%）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建成区功能性照明全部灯数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33</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建成区街道绿视率（%）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照片中绿色植物所占面积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福州市园林中心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34</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建成区街道绿视率（%）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照片视野面积</w:t>
            </w:r>
          </w:p>
        </w:tc>
        <w:tc>
          <w:tcPr>
            <w:tcW w:w="3022" w:type="dxa"/>
            <w:shd w:val="clear" w:color="auto" w:fill="auto"/>
            <w:tcMar>
              <w:bottom w:w="0"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35</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各类站亭设置规范</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3个公共服务设施评分（公交候车亭、治安亭、交通亭）</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福州市交通局、福州市公安局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36</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各类站亭设置规范</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5个街景小品评分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福州市园林中心、福州市自然资源与规划局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37</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绿化整洁</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主干道（800米长路段）、次干道（500米长路段）、街巷（300米长路段）评分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福州市园林中心、福州市环境卫生中心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38</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广告招牌设施整洁</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主干道（800米路段）、次干道（500米路段）、街巷（300米路段）评分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39</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立杆、空中线路规整性</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主干道（800米路段）、次干道（500米路段）、街巷（300米路段）评分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福州市城乡建设局、福州市城市管理委员会、福州市公安局交通警察支队、福州市通信发展管理办公室、福州市供电公司、各区民政局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40</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建成区道路网密度（公里/平方公里）</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建成区内的主次支路道路长度（公里）</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41</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建成区内道路面积率（%）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建成区内道路用地总面积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42</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建成区完整居住社区覆盖率（%）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抽查完整社区达标社区数量</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福州市民政局、福州市自然资源规划局、福州市住房保障和房产管理局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43</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社区养老服务设施覆盖率（%）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建成区内有养老服务设施的社区数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44</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建成区慢行道密度（公里/平方公里）</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建成区内人行道长度</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福州市城乡建设局、福州市城市管理委员会、福州市自然资源和规划局、福州市交通局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45</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建成区慢行道密度（公里/平方公里）</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建成区内非机动车道长度</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福州市城乡建设局、福州市城市管理委员会、福州市自然资源和规划局、福州市交通局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46</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人行道步行适宜性</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5条人行道评分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福州市城乡建设局、福州市城市管理委员会、福州市自然资源和规划局、福州市交通局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47</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建成区公交站点（或轨道交通站点）覆盖率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城市建成区公交站点（或轨道交通站点）服务半径覆盖面积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福州市交通局、福州市地铁集团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48</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每万人拥有公共汽（电）车（标台）</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共汽电车辆标台数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49</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小汽车保有量与停车位的比例</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小汽车的数量（一般是指在当地登记的车辆）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福州市公安局交通警察支队、福州市自然资源和规划局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50</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小汽车保有量与停车位的比例</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停车位数量</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福州市公安局交通警察支队、福州市自然资源和规划局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51</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建成区公共空间无障碍设施覆盖率（%）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无障碍设施覆盖公共建筑数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福州市城乡建设局、福州市残联、福州市自然资源和规划局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52</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建成区公共空间无障碍设施覆盖率（%）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总公共建筑数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福州市城乡建设局、福州市残联、福州市自然资源和规划局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53</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建成区公共空间无障碍设施覆盖率（%）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无障碍设施覆盖路段长度</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福州市城乡建设局、福州市残联、福州市自然资源和规划局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54</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建成区公共空间无障碍设施覆盖率（%）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总路段长度</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福州市城乡建设局、福州市残联、福州市自然资源和规划局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55</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建成区高峰时段主干道平均车速（公里/小时）</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建成区高峰时段主干道平均车速</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56</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高峰时段主要交叉口守法率（%）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高峰时段主要交叉口守法通行数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57</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高峰时段主要交叉口守法率（%）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高峰时段主要交叉口总通行数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58</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非机动车道、行人路口守法率（%）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非机动车守法通行数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59</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非机动车道、行人路口守法率（%）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非机动车总通行数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60</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非机动车道、行人路口守法率（%）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行人路口守法通行数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61</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非机动车道、行人路口守法率（%）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行人路口总通行数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62</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建成区人均信息点（POI）数（个/千人）</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建成区信息点数（个）</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高德地图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63</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建成区人均信息点（POI）数（个/千人）</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建成区常住人口（千人）</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64</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便民摊点规范性</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便民摊点规范性评分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65</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无乱搭乱建</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无乱搭乱建评分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福州市城市管理委员会、福州市自然资源和规划局、福州市住房保障和房产管理局、福州市水利局、福州市园林中心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66</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无沿街晾挂</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沿街晾挂评分</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67</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车辆停放有序性</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主干道（800米路段）、次干道（500米路段）、街巷（300米路段）各1条，路段内的机动车、非机动车停放情况评分值</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福州市城市管理委员会、福州市公安局交通警察支队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68</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夜景灯光照明有序评价</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主要街道（500米路段），夜景照明状况评分值</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福州市城乡建设局、福州市城市管理委员会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69</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用户龙头水合格率（%）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检测饮用水末梢水常规指标达标的水样数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70</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用户龙头水合格率（%）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检测饮用水末梢水总水样数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71</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供水管网末梢服务压力达标率（%）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供水管网末梢服务压力达标检验合格次数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72</w:t>
            </w:r>
          </w:p>
        </w:tc>
        <w:tc>
          <w:tcPr>
            <w:tcW w:w="3204" w:type="dxa"/>
            <w:shd w:val="clear" w:color="auto" w:fill="auto"/>
            <w:tcMar>
              <w:bottom w:w="0"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供水管网末梢服务压力达标检验总次数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73</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生活污水集中收集率（%）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向污水处理厂排水的城区人口</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74</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生活污水集中收集率（%）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城区用水总人口</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75</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重要管网监测监控设备安装率（%）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建城区内安装检测监控设备的供电、供水、供热管网数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76</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重要管网监测监控设备安装率（%）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建成区内供电、供水、供热管网总数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77</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建成区人均避难场所面积（平方米/人）</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城市应急避难场所总面积</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福州市防震减灾中心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78</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建成区人均避难场所面积（平方米/人）</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城市常住人口数量</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79</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建成区常见内涝积水点密度（个/平方公里）</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建成区内常见内涝积水点数量（个）</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福州市建设局、福州市水利局、福州市自来水公司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80</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城市空气质量优良率（%）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城市建成区全年空气质量指数（AQI指数）≤100的天数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81</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城市空气质量优良率（%）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城市建成区全年空气质量指数（AQI指数）监测天数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82</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好于Ⅴ类水体比例（%）</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Ⅰ、Ⅱ、Ⅲ、Ⅳ类水体数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福州市生态环境局、福州市水利局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83</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好于Ⅴ类水体比例（%）</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城市建成区水体数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福州市生态环境局、福州市水利局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84</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常住人口万人“八类”暴力案件发案率（%）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年度“八类”暴力案件数（件）</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85</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常住人口万人“八类”暴力案件发案率（%）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福州市常住人口</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86</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亿元国内生产总值生产安全事故死亡率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年度当地生产安全事故死亡总人数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87</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亿元国内生产总值生产安全事故死亡率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年度当地亿元GDP（以亿元为单位）</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88</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万车死亡率（%）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交通事故死亡人数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89</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万车死亡率（%）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机动车拥有量（万车）</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90</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年度“生命线”事故数</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年度因城市“生命线”建设、管理、运行维护方面的问题，导致城市发生内涝、管线泄漏爆炸、路面塌陷等事故数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91</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窨井盖完好率（%）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年度窨井盖问题数量</w:t>
            </w:r>
          </w:p>
        </w:tc>
        <w:tc>
          <w:tcPr>
            <w:tcW w:w="3022" w:type="dxa"/>
            <w:shd w:val="clear" w:color="auto" w:fill="auto"/>
            <w:tcMar>
              <w:bottom w:w="0"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92</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窨井盖完好率（%）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窨井盖总数</w:t>
            </w:r>
          </w:p>
        </w:tc>
        <w:tc>
          <w:tcPr>
            <w:tcW w:w="3022" w:type="dxa"/>
            <w:shd w:val="clear" w:color="auto" w:fill="auto"/>
            <w:tcMar>
              <w:bottom w:w="0" w:type="dxa"/>
            </w:tcMar>
            <w:vAlign w:val="center"/>
          </w:tcPr>
          <w:p>
            <w:pPr>
              <w:keepNext w:val="0"/>
              <w:keepLines w:val="0"/>
              <w:widowControl/>
              <w:suppressLineNumbers w:val="0"/>
              <w:jc w:val="left"/>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93</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120平均到达时间</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120平均到达时间</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福州市卫生健康委员会、福州市消防救援支队、福州市公安局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94</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119平均到达时间</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119平均到达时间</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福州市卫生健康委员会、福州市消防救援支队、福州市公安局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95</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市区消防员占常住人口比例</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市区总消防员数（人）</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96</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市区消防员占常住人口比例</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城市常住人口数（万人）</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97</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每万人医生数、每万人护士数（人/万人），每千人医疗机构床位数（张/千人）</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医生数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98</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每万人医生数、每万人护士数（人/万人），每千人医疗机构床位数（张/千人）</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护士数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99</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每万人医生数、每万人护士数（人/万人），每千人医疗机构床位数（张/千人）</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医疗机构床位数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100</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城市管理信息化平台覆盖率（%）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建成使用城市管理信息化平台的市辖区数量</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福州市智慧福州中心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101</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按期处置率（%）</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按期处置率</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福州市智慧福州中心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102</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群众诉求处置回访满意度</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群众诉求处置回访满意度</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福州市智慧福州中心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103</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志愿者参与度</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注册志愿者人数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中共福州市委精神文明建设办公室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104</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志愿者参与度</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有志愿服务时间记录的志愿者人数</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中共福州市委精神文明建设办公室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105</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规章制度、标准体系、统筹协调机制、年度绩效考核等</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规章制度、标准体系、统筹协调机制、年度绩效考核建立情况</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福州市政府办公室、福州市城市管理委员会、福州市司法局、福州市效能办、福州市应急管理局、福州市财政局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106</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社会媒体大数据分析</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社会媒体大数据结果</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107</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城市综合管理服务满意度测评</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城市综合管理服务满意度测评结果</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福州市“智慧福州”管理服务中心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jc w:val="center"/>
        </w:trPr>
        <w:tc>
          <w:tcPr>
            <w:tcW w:w="727" w:type="dxa"/>
            <w:shd w:val="clear" w:color="auto" w:fill="auto"/>
            <w:tcMar>
              <w:bottom w:w="0" w:type="dxa"/>
            </w:tcMar>
            <w:vAlign w:val="center"/>
          </w:tcPr>
          <w:p>
            <w:pPr>
              <w:pStyle w:val="14"/>
              <w:keepNext w:val="0"/>
              <w:keepLines w:val="0"/>
              <w:widowControl/>
              <w:suppressLineNumbers w:val="0"/>
              <w:jc w:val="center"/>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108</w:t>
            </w:r>
          </w:p>
        </w:tc>
        <w:tc>
          <w:tcPr>
            <w:tcW w:w="3204"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城市人居环境满意度测评</w:t>
            </w:r>
          </w:p>
        </w:tc>
        <w:tc>
          <w:tcPr>
            <w:tcW w:w="3187"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城市人居环境满意度测评结果</w:t>
            </w:r>
          </w:p>
        </w:tc>
        <w:tc>
          <w:tcPr>
            <w:tcW w:w="3022" w:type="dxa"/>
            <w:shd w:val="clear" w:color="auto" w:fill="auto"/>
            <w:tcMar>
              <w:bottom w:w="0" w:type="dxa"/>
            </w:tcMar>
            <w:vAlign w:val="center"/>
          </w:tcPr>
          <w:p>
            <w:pPr>
              <w:pStyle w:val="14"/>
              <w:keepNext w:val="0"/>
              <w:keepLines w:val="0"/>
              <w:widowControl/>
              <w:suppressLineNumbers w:val="0"/>
              <w:textAlignment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福州市“智慧福州”管理服务中心</w:t>
            </w:r>
          </w:p>
        </w:tc>
      </w:tr>
    </w:tbl>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1.1.7.5 </w:t>
      </w:r>
      <w:r>
        <w:rPr>
          <w:rFonts w:hint="eastAsia" w:ascii="宋体" w:hAnsi="宋体" w:eastAsia="宋体" w:cs="宋体"/>
          <w:color w:val="auto"/>
          <w:sz w:val="28"/>
          <w:szCs w:val="28"/>
          <w:highlight w:val="none"/>
        </w:rPr>
        <w:t>评价任务管理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1.1.7.5.1 </w:t>
      </w:r>
      <w:r>
        <w:rPr>
          <w:rFonts w:hint="eastAsia" w:ascii="宋体" w:hAnsi="宋体" w:eastAsia="宋体" w:cs="宋体"/>
          <w:color w:val="auto"/>
          <w:sz w:val="28"/>
          <w:szCs w:val="28"/>
          <w:highlight w:val="none"/>
        </w:rPr>
        <w:t>下发任务</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根据被考核城市和参与考核人员进行相应现场检查任务的下发。</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（1）选择考评对象。</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（2）抽取考核样本点，支持根据不同类型的样本点，</w:t>
      </w:r>
      <w:r>
        <w:rPr>
          <w:rStyle w:val="17"/>
          <w:rFonts w:hint="eastAsia" w:ascii="宋体" w:hAnsi="宋体" w:eastAsia="宋体" w:cs="宋体"/>
          <w:color w:val="auto"/>
          <w:sz w:val="24"/>
          <w:szCs w:val="24"/>
          <w:highlight w:val="none"/>
        </w:rPr>
        <w:t>按照数量比例抽取</w:t>
      </w:r>
      <w:r>
        <w:rPr>
          <w:rFonts w:hint="eastAsia" w:ascii="宋体" w:hAnsi="宋体" w:eastAsia="宋体" w:cs="宋体"/>
          <w:color w:val="auto"/>
          <w:sz w:val="24"/>
          <w:szCs w:val="24"/>
          <w:highlight w:val="none"/>
        </w:rPr>
        <w:t>。支持根据样本点的属性，</w:t>
      </w:r>
      <w:r>
        <w:rPr>
          <w:rStyle w:val="17"/>
          <w:rFonts w:hint="eastAsia" w:ascii="宋体" w:hAnsi="宋体" w:eastAsia="宋体" w:cs="宋体"/>
          <w:color w:val="auto"/>
          <w:sz w:val="24"/>
          <w:szCs w:val="24"/>
          <w:highlight w:val="none"/>
        </w:rPr>
        <w:t>按照属性比例抽取</w:t>
      </w:r>
      <w:r>
        <w:rPr>
          <w:rFonts w:hint="eastAsia" w:ascii="宋体" w:hAnsi="宋体" w:eastAsia="宋体" w:cs="宋体"/>
          <w:color w:val="auto"/>
          <w:sz w:val="24"/>
          <w:szCs w:val="24"/>
          <w:highlight w:val="none"/>
        </w:rPr>
        <w:t>。</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（3）设置考评组及人员。</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（4）设置考评人员和抽取的考评样本点关联。</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1.1.7.5.2 </w:t>
      </w:r>
      <w:r>
        <w:rPr>
          <w:rFonts w:hint="eastAsia" w:ascii="宋体" w:hAnsi="宋体" w:eastAsia="宋体" w:cs="宋体"/>
          <w:color w:val="auto"/>
          <w:sz w:val="28"/>
          <w:szCs w:val="28"/>
          <w:highlight w:val="none"/>
        </w:rPr>
        <w:t>现场考核</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专家组成员到达考评城市现场，根据考评任务中分配的考评样本点和检查项进行现场考核，发现检查项中的问题进行上报。</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（1）选择城市，根据现场定位，自动获取考核城市。</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（2）选择考核点，道路、公共场所、环卫设施、水体等。</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（3）选择现场检查类型，对应考核点的检查类型。</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（4）针对现场检查项上报检查问题，拍照、自动定位上传平台。</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1.1.7.6 </w:t>
      </w:r>
      <w:r>
        <w:rPr>
          <w:rFonts w:hint="eastAsia" w:ascii="宋体" w:hAnsi="宋体" w:eastAsia="宋体" w:cs="宋体"/>
          <w:color w:val="auto"/>
          <w:sz w:val="28"/>
          <w:szCs w:val="28"/>
          <w:highlight w:val="none"/>
        </w:rPr>
        <w:t>评价数据审核</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1.1.7.6.1 </w:t>
      </w:r>
      <w:r>
        <w:rPr>
          <w:rFonts w:hint="eastAsia" w:ascii="宋体" w:hAnsi="宋体" w:eastAsia="宋体" w:cs="宋体"/>
          <w:color w:val="auto"/>
          <w:sz w:val="28"/>
          <w:szCs w:val="28"/>
          <w:highlight w:val="none"/>
        </w:rPr>
        <w:t>填报审核</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对于核查上报的填报项和计算的指标进行审核。发现填报的内容有明显异常的，系统做审核标记，并能查看审核记录；检查无疑义后，列表中和指标上显示通过标记。</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（1）现场考评上报列表：列表展示城市现场考评上报的所有问题。</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（2）考评信息查看：查看考评上报的详细信息。</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（3）考评上报审核：通过或不通过，并给出理由。</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1.1.7.6.2 </w:t>
      </w:r>
      <w:r>
        <w:rPr>
          <w:rFonts w:hint="eastAsia" w:ascii="宋体" w:hAnsi="宋体" w:eastAsia="宋体" w:cs="宋体"/>
          <w:color w:val="auto"/>
          <w:sz w:val="28"/>
          <w:szCs w:val="28"/>
          <w:highlight w:val="none"/>
        </w:rPr>
        <w:t>考评审核</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对于现场考评上报的检查问题，进行审核。现场检查发现有问题的，需要进行扣分，审核是否合适；现场检查发现没问题的，根据现场上报的照片和其他聚到获取的信息，认定是否合理。</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（1）现场考评上报列表：列表展示城市现场考评上报的所有问题。</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（2）考评信息查看：查看考评上报的详细信息。</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（3）考评上报审核：通过或不通过，并给出理由。</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1.1.7.7 </w:t>
      </w:r>
      <w:r>
        <w:rPr>
          <w:rFonts w:hint="eastAsia" w:ascii="宋体" w:hAnsi="宋体" w:eastAsia="宋体" w:cs="宋体"/>
          <w:color w:val="auto"/>
          <w:sz w:val="28"/>
          <w:szCs w:val="28"/>
          <w:highlight w:val="none"/>
        </w:rPr>
        <w:t>评价结果生成</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评价结果生成模块应具备基于评价指标数据和评价任务完成情况，按规定的评价周期生成评价结果的功能，评价结果可采用文字、图表等可视化方式表达。</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1.1.7.7.1 </w:t>
      </w:r>
      <w:r>
        <w:rPr>
          <w:rFonts w:hint="eastAsia" w:ascii="宋体" w:hAnsi="宋体" w:eastAsia="宋体" w:cs="宋体"/>
          <w:color w:val="auto"/>
          <w:sz w:val="28"/>
          <w:szCs w:val="28"/>
          <w:highlight w:val="none"/>
        </w:rPr>
        <w:t>分类评价统计</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围绕“干净、整洁、有序、安全、群众满意”等方面，提供考核时间、参与考核城市、检查类型（填报、现场）等统计条件，按照分类考核展示各个城市的分数，查看各类指标的得分详情；对于填报指标可以查看详细填报信息，对于现场考评可以查看现场上报的扣分详情。</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drawing>
          <wp:inline distT="0" distB="0" distL="114300" distR="114300">
            <wp:extent cx="5581650" cy="857250"/>
            <wp:effectExtent l="0" t="0" r="0" b="0"/>
            <wp:docPr id="4" name="图片 48" descr="1649314471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8" descr="1649314471800.png"/>
                    <pic:cNvPicPr>
                      <a:picLocks noChangeAspect="1"/>
                    </pic:cNvPicPr>
                  </pic:nvPicPr>
                  <pic:blipFill>
                    <a:blip r:embed="rId12"/>
                    <a:stretch>
                      <a:fillRect/>
                    </a:stretch>
                  </pic:blipFill>
                  <pic:spPr>
                    <a:xfrm>
                      <a:off x="0" y="0"/>
                      <a:ext cx="5581650" cy="857250"/>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 现场检查类指标评价结果示意图</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drawing>
          <wp:inline distT="0" distB="0" distL="114300" distR="114300">
            <wp:extent cx="5581650" cy="1428750"/>
            <wp:effectExtent l="0" t="0" r="0" b="0"/>
            <wp:docPr id="31" name="图片 49" descr="1649314484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9" descr="1649314484233.png"/>
                    <pic:cNvPicPr>
                      <a:picLocks noChangeAspect="1"/>
                    </pic:cNvPicPr>
                  </pic:nvPicPr>
                  <pic:blipFill>
                    <a:blip r:embed="rId13"/>
                    <a:stretch>
                      <a:fillRect/>
                    </a:stretch>
                  </pic:blipFill>
                  <pic:spPr>
                    <a:xfrm>
                      <a:off x="0" y="0"/>
                      <a:ext cx="5581650" cy="1428750"/>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  填报类指标评价结果示意图</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1.1.7.7.2 </w:t>
      </w:r>
      <w:r>
        <w:rPr>
          <w:rFonts w:hint="eastAsia" w:ascii="宋体" w:hAnsi="宋体" w:eastAsia="宋体" w:cs="宋体"/>
          <w:color w:val="auto"/>
          <w:sz w:val="28"/>
          <w:szCs w:val="28"/>
          <w:highlight w:val="none"/>
        </w:rPr>
        <w:t>综合评价统计</w:t>
      </w:r>
    </w:p>
    <w:p>
      <w:pPr>
        <w:pStyle w:val="14"/>
        <w:keepNext w:val="0"/>
        <w:keepLines w:val="0"/>
        <w:widowControl/>
        <w:suppressLineNumbers w:val="0"/>
        <w:spacing w:before="120" w:beforeAutospacing="0" w:after="120"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根据城市综合管理服务评价指标体系，选择考核时间、参与考核城市，可提供按照一级、二级、三级、四级指标分类展示各个区县的分数和综合得分。</w:t>
      </w:r>
    </w:p>
    <w:p>
      <w:pPr>
        <w:pStyle w:val="14"/>
        <w:keepNext w:val="0"/>
        <w:keepLines w:val="0"/>
        <w:widowControl/>
        <w:suppressLineNumbers w:val="0"/>
        <w:ind w:left="0" w:firstLine="48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考核综合评价统计表</w:t>
      </w:r>
    </w:p>
    <w:tbl>
      <w:tblPr>
        <w:tblStyle w:val="15"/>
        <w:tblW w:w="8925"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26"/>
        <w:gridCol w:w="1369"/>
        <w:gridCol w:w="1699"/>
        <w:gridCol w:w="1369"/>
        <w:gridCol w:w="1369"/>
        <w:gridCol w:w="1025"/>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1081" w:type="dxa"/>
            <w:shd w:val="clear" w:color="auto" w:fill="FEF2CC"/>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参评区县</w:t>
            </w:r>
          </w:p>
        </w:tc>
        <w:tc>
          <w:tcPr>
            <w:tcW w:w="1339" w:type="dxa"/>
            <w:shd w:val="clear" w:color="auto" w:fill="FEF2CC"/>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城市形象</w:t>
            </w:r>
          </w:p>
        </w:tc>
        <w:tc>
          <w:tcPr>
            <w:tcW w:w="1669" w:type="dxa"/>
            <w:shd w:val="clear" w:color="auto" w:fill="FEF2CC"/>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城市管理保底线</w:t>
            </w:r>
          </w:p>
        </w:tc>
        <w:tc>
          <w:tcPr>
            <w:tcW w:w="1339" w:type="dxa"/>
            <w:shd w:val="clear" w:color="auto" w:fill="FEF2CC"/>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群众满意</w:t>
            </w:r>
          </w:p>
        </w:tc>
        <w:tc>
          <w:tcPr>
            <w:tcW w:w="1339" w:type="dxa"/>
            <w:shd w:val="clear" w:color="auto" w:fill="FEF2CC"/>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综合得分</w:t>
            </w:r>
          </w:p>
        </w:tc>
        <w:tc>
          <w:tcPr>
            <w:tcW w:w="995" w:type="dxa"/>
            <w:shd w:val="clear" w:color="auto" w:fill="FEF2CC"/>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排名</w:t>
            </w:r>
          </w:p>
        </w:tc>
        <w:tc>
          <w:tcPr>
            <w:tcW w:w="923" w:type="dxa"/>
            <w:shd w:val="clear" w:color="auto" w:fill="FEF2CC"/>
            <w:tcMar>
              <w:top w:w="0" w:type="dxa"/>
              <w:left w:w="105" w:type="dxa"/>
              <w:bottom w:w="0" w:type="dxa"/>
              <w:right w:w="105" w:type="dxa"/>
            </w:tcMar>
            <w:vAlign w:val="top"/>
          </w:tcPr>
          <w:p>
            <w:pPr>
              <w:pStyle w:val="14"/>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15" w:hRule="atLeast"/>
          <w:tblCellSpacing w:w="15" w:type="dxa"/>
          <w:jc w:val="center"/>
        </w:trPr>
        <w:tc>
          <w:tcPr>
            <w:tcW w:w="1081"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鼓楼</w:t>
            </w:r>
          </w:p>
        </w:tc>
        <w:tc>
          <w:tcPr>
            <w:tcW w:w="1339"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58</w:t>
            </w:r>
          </w:p>
        </w:tc>
        <w:tc>
          <w:tcPr>
            <w:tcW w:w="1669"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18</w:t>
            </w:r>
          </w:p>
        </w:tc>
        <w:tc>
          <w:tcPr>
            <w:tcW w:w="1339"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18</w:t>
            </w:r>
          </w:p>
        </w:tc>
        <w:tc>
          <w:tcPr>
            <w:tcW w:w="1339"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94</w:t>
            </w:r>
          </w:p>
        </w:tc>
        <w:tc>
          <w:tcPr>
            <w:tcW w:w="995"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923"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1081"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长乐</w:t>
            </w:r>
          </w:p>
        </w:tc>
        <w:tc>
          <w:tcPr>
            <w:tcW w:w="1339"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57</w:t>
            </w:r>
          </w:p>
        </w:tc>
        <w:tc>
          <w:tcPr>
            <w:tcW w:w="1669"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17</w:t>
            </w:r>
          </w:p>
        </w:tc>
        <w:tc>
          <w:tcPr>
            <w:tcW w:w="1339"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16</w:t>
            </w:r>
          </w:p>
        </w:tc>
        <w:tc>
          <w:tcPr>
            <w:tcW w:w="1339"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90</w:t>
            </w:r>
          </w:p>
        </w:tc>
        <w:tc>
          <w:tcPr>
            <w:tcW w:w="995"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p>
        </w:tc>
        <w:tc>
          <w:tcPr>
            <w:tcW w:w="923"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1081"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仓山</w:t>
            </w:r>
          </w:p>
        </w:tc>
        <w:tc>
          <w:tcPr>
            <w:tcW w:w="1339"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55</w:t>
            </w:r>
          </w:p>
        </w:tc>
        <w:tc>
          <w:tcPr>
            <w:tcW w:w="1669"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17</w:t>
            </w:r>
          </w:p>
        </w:tc>
        <w:tc>
          <w:tcPr>
            <w:tcW w:w="1339"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17</w:t>
            </w:r>
          </w:p>
        </w:tc>
        <w:tc>
          <w:tcPr>
            <w:tcW w:w="1339"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89</w:t>
            </w:r>
          </w:p>
        </w:tc>
        <w:tc>
          <w:tcPr>
            <w:tcW w:w="995"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w:t>
            </w:r>
          </w:p>
        </w:tc>
        <w:tc>
          <w:tcPr>
            <w:tcW w:w="923"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B</w:t>
            </w:r>
          </w:p>
        </w:tc>
      </w:tr>
    </w:tbl>
    <w:p>
      <w:pPr>
        <w:outlineLvl w:val="9"/>
        <w:rPr>
          <w:rFonts w:hint="eastAsia" w:ascii="宋体" w:hAnsi="宋体" w:eastAsia="宋体" w:cs="宋体"/>
          <w:vanish/>
          <w:color w:val="auto"/>
          <w:sz w:val="24"/>
          <w:szCs w:val="24"/>
          <w:highlight w:val="none"/>
        </w:rPr>
      </w:pPr>
    </w:p>
    <w:tbl>
      <w:tblPr>
        <w:tblStyle w:val="15"/>
        <w:tblW w:w="8925"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96"/>
        <w:gridCol w:w="887"/>
        <w:gridCol w:w="901"/>
        <w:gridCol w:w="845"/>
        <w:gridCol w:w="1084"/>
        <w:gridCol w:w="1027"/>
        <w:gridCol w:w="1210"/>
        <w:gridCol w:w="915"/>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1151" w:type="dxa"/>
            <w:shd w:val="clear" w:color="auto" w:fill="FEF2CC"/>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参评区县</w:t>
            </w:r>
          </w:p>
        </w:tc>
        <w:tc>
          <w:tcPr>
            <w:tcW w:w="857" w:type="dxa"/>
            <w:shd w:val="clear" w:color="auto" w:fill="FEF2CC"/>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干净</w:t>
            </w:r>
          </w:p>
        </w:tc>
        <w:tc>
          <w:tcPr>
            <w:tcW w:w="871" w:type="dxa"/>
            <w:shd w:val="clear" w:color="auto" w:fill="FEF2CC"/>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整洁</w:t>
            </w:r>
          </w:p>
        </w:tc>
        <w:tc>
          <w:tcPr>
            <w:tcW w:w="815" w:type="dxa"/>
            <w:shd w:val="clear" w:color="auto" w:fill="FEF2CC"/>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有序</w:t>
            </w:r>
          </w:p>
        </w:tc>
        <w:tc>
          <w:tcPr>
            <w:tcW w:w="1054" w:type="dxa"/>
            <w:shd w:val="clear" w:color="auto" w:fill="FEF2CC"/>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安全</w:t>
            </w:r>
          </w:p>
        </w:tc>
        <w:tc>
          <w:tcPr>
            <w:tcW w:w="997" w:type="dxa"/>
            <w:shd w:val="clear" w:color="auto" w:fill="FEF2CC"/>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满意</w:t>
            </w:r>
          </w:p>
        </w:tc>
        <w:tc>
          <w:tcPr>
            <w:tcW w:w="1180" w:type="dxa"/>
            <w:shd w:val="clear" w:color="auto" w:fill="FEF2CC"/>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综合得分</w:t>
            </w:r>
          </w:p>
        </w:tc>
        <w:tc>
          <w:tcPr>
            <w:tcW w:w="885" w:type="dxa"/>
            <w:shd w:val="clear" w:color="auto" w:fill="FEF2CC"/>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排名</w:t>
            </w:r>
          </w:p>
        </w:tc>
        <w:tc>
          <w:tcPr>
            <w:tcW w:w="815" w:type="dxa"/>
            <w:shd w:val="clear" w:color="auto" w:fill="FEF2CC"/>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CellSpacing w:w="15" w:type="dxa"/>
          <w:jc w:val="center"/>
        </w:trPr>
        <w:tc>
          <w:tcPr>
            <w:tcW w:w="1151"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鼓楼</w:t>
            </w:r>
          </w:p>
        </w:tc>
        <w:tc>
          <w:tcPr>
            <w:tcW w:w="857"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19</w:t>
            </w:r>
          </w:p>
        </w:tc>
        <w:tc>
          <w:tcPr>
            <w:tcW w:w="871"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19</w:t>
            </w:r>
          </w:p>
        </w:tc>
        <w:tc>
          <w:tcPr>
            <w:tcW w:w="815"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20</w:t>
            </w:r>
          </w:p>
        </w:tc>
        <w:tc>
          <w:tcPr>
            <w:tcW w:w="1054"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18</w:t>
            </w:r>
          </w:p>
        </w:tc>
        <w:tc>
          <w:tcPr>
            <w:tcW w:w="997"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18</w:t>
            </w:r>
          </w:p>
        </w:tc>
        <w:tc>
          <w:tcPr>
            <w:tcW w:w="1180"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94</w:t>
            </w:r>
          </w:p>
        </w:tc>
        <w:tc>
          <w:tcPr>
            <w:tcW w:w="885"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815"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151"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长乐</w:t>
            </w:r>
          </w:p>
        </w:tc>
        <w:tc>
          <w:tcPr>
            <w:tcW w:w="857"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19</w:t>
            </w:r>
          </w:p>
        </w:tc>
        <w:tc>
          <w:tcPr>
            <w:tcW w:w="871"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19</w:t>
            </w:r>
          </w:p>
        </w:tc>
        <w:tc>
          <w:tcPr>
            <w:tcW w:w="815"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19</w:t>
            </w:r>
          </w:p>
        </w:tc>
        <w:tc>
          <w:tcPr>
            <w:tcW w:w="1054"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17</w:t>
            </w:r>
          </w:p>
        </w:tc>
        <w:tc>
          <w:tcPr>
            <w:tcW w:w="997"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16</w:t>
            </w:r>
          </w:p>
        </w:tc>
        <w:tc>
          <w:tcPr>
            <w:tcW w:w="1180"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90</w:t>
            </w:r>
          </w:p>
        </w:tc>
        <w:tc>
          <w:tcPr>
            <w:tcW w:w="885"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p>
        </w:tc>
        <w:tc>
          <w:tcPr>
            <w:tcW w:w="815"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151"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仓山</w:t>
            </w:r>
          </w:p>
        </w:tc>
        <w:tc>
          <w:tcPr>
            <w:tcW w:w="857"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18</w:t>
            </w:r>
          </w:p>
        </w:tc>
        <w:tc>
          <w:tcPr>
            <w:tcW w:w="871"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18</w:t>
            </w:r>
          </w:p>
        </w:tc>
        <w:tc>
          <w:tcPr>
            <w:tcW w:w="815"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19</w:t>
            </w:r>
          </w:p>
        </w:tc>
        <w:tc>
          <w:tcPr>
            <w:tcW w:w="1054"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17</w:t>
            </w:r>
          </w:p>
        </w:tc>
        <w:tc>
          <w:tcPr>
            <w:tcW w:w="997"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17</w:t>
            </w:r>
          </w:p>
        </w:tc>
        <w:tc>
          <w:tcPr>
            <w:tcW w:w="1180"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89</w:t>
            </w:r>
          </w:p>
        </w:tc>
        <w:tc>
          <w:tcPr>
            <w:tcW w:w="885"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w:t>
            </w:r>
          </w:p>
        </w:tc>
        <w:tc>
          <w:tcPr>
            <w:tcW w:w="815" w:type="dxa"/>
            <w:shd w:val="clear" w:color="auto" w:fill="auto"/>
            <w:tcMar>
              <w:top w:w="0" w:type="dxa"/>
              <w:left w:w="105" w:type="dxa"/>
              <w:bottom w:w="0" w:type="dxa"/>
              <w:right w:w="105" w:type="dxa"/>
            </w:tcMar>
            <w:vAlign w:val="top"/>
          </w:tcPr>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B</w:t>
            </w:r>
          </w:p>
        </w:tc>
      </w:tr>
    </w:tbl>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4"/>
        <w:keepNext w:val="0"/>
        <w:keepLines w:val="0"/>
        <w:widowControl/>
        <w:suppressLineNumbers w:val="0"/>
        <w:ind w:left="0" w:firstLine="0"/>
        <w:outlineLvl w:val="1"/>
        <w:rPr>
          <w:rFonts w:hint="eastAsia" w:ascii="宋体" w:hAnsi="宋体" w:eastAsia="宋体" w:cs="宋体"/>
          <w:color w:val="auto"/>
          <w:highlight w:val="none"/>
        </w:rPr>
      </w:pPr>
      <w:r>
        <w:rPr>
          <w:rFonts w:hint="eastAsia" w:ascii="宋体" w:hAnsi="宋体" w:eastAsia="宋体" w:cs="宋体"/>
          <w:color w:val="auto"/>
          <w:spacing w:val="0"/>
          <w:sz w:val="31"/>
          <w:szCs w:val="31"/>
          <w:highlight w:val="none"/>
        </w:rPr>
        <w:t>1.1.8 </w:t>
      </w:r>
      <w:r>
        <w:rPr>
          <w:rFonts w:hint="eastAsia" w:ascii="宋体" w:hAnsi="宋体" w:eastAsia="宋体" w:cs="宋体"/>
          <w:color w:val="auto"/>
          <w:sz w:val="28"/>
          <w:szCs w:val="28"/>
          <w:highlight w:val="none"/>
        </w:rPr>
        <w:t>辅助决策中心</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为了让城市管理者、企业、个人方便快速地找到自身想要的城市运行信息，为个体决策提供数据支撑。城市管理驾驶舱基于市政公用、市容环卫、园林绿化、城市执法等城市管理行业领域的建设，感知更全面的城市运行态势，目标是让区领导及管理人员方便快速地掌握城市运行信息，为各级领导提供统揽全局的数据支撑。</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城市管理驾驶舱作为城市综合管理服务平台项目的一部分，充分利用现有的平台和技术能力，在现有的平台基础之上定制开发驾驶舱应用，并实现与现有平台的集成和数据融合。</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驾驶舱的建设要综合考虑以下几个核心目标：</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一、全区域</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管理驾驶舱的使用用户针对市、区、街道办及社区等部门领导，便于领导随时随地掌控全区运行态势，洞悉全区安全隐患，了解区内发生的重大事件，随时随地利用领导驾驶舱进行沟通协调、指挥调度。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二、宏观指标</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领导驾驶舱重点呈现领导关注的宏观层面的指标数据。根据现有建设专题的业务指标，通过提取与抽象再设计，派生形成领导关注的指标，整理并形成领导关注的指标体系清单，作为本期指挥驾驶舱的建设内容和范围。系统设计中考虑业务深度交互的支撑能力，满足指标数据关联查询、挖掘查询、钻取查询、业务穿透查询等。指标数据采用丰富的图形化方式直观呈现数值特点，可以通过行政区划体现数据的组织属性，实现宏观指标数据钻取分析微观数据，满足多维度关联查询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三、随需而变</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领导在使用领导驾驶舱的过程中，关注的指标需求会随着城市综合管理数据中心的数据持续积累与专题应用建设的发展而不断改变，因此本领导驾驶舱的指标建设需要根据领导需求的变化，而实时的进行变化。</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四、丰富直观的数值展现</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领导驾驶舱必须满足指标数据采用丰富的图形方式直观呈现数值特点，可以通过行政区划体现数据的组织属性。通过宏观指标数据可以钻取分析微观指标数据构成。通过指标数据可以进行多个维度的关联查询。</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具备城市运行管理服务决策支持子系统功能，满足城市安全运行态势的综合分析、历史统计数据的同比环比分析和生产综合运行态势分析报告等业务需求。</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1.1.8.1 </w:t>
      </w:r>
      <w:r>
        <w:rPr>
          <w:rFonts w:hint="eastAsia" w:ascii="宋体" w:hAnsi="宋体" w:eastAsia="宋体" w:cs="宋体"/>
          <w:color w:val="auto"/>
          <w:sz w:val="28"/>
          <w:szCs w:val="28"/>
          <w:highlight w:val="none"/>
        </w:rPr>
        <w:t>城市体征专题</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城市运行管理“一张图”，整合城市日常市管理相关数据，对城市日常管理状态进行全方位的监控，并进行可视化管理和展示。通过城市体征专题（日常管理），为城市运行提供前瞻分析，方便城市管理者可以一目了然的掌控城市运行的总体运行状态。</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城市体征专题包含的专题卡片如下：管理体系、城市运行体征、智能发现告警情况、智能发现全流程管理、市民热线问题情况、紧急突发问题、重点管控区域情况、视频一键轮训等。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1.1.8.1.1 </w:t>
      </w:r>
      <w:r>
        <w:rPr>
          <w:rFonts w:hint="eastAsia" w:ascii="宋体" w:hAnsi="宋体" w:eastAsia="宋体" w:cs="宋体"/>
          <w:color w:val="auto"/>
          <w:sz w:val="28"/>
          <w:szCs w:val="28"/>
          <w:highlight w:val="none"/>
        </w:rPr>
        <w:t>管理体系</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直观展示支撑全市城市大脑建设和运行的多级管理体系，支持根据管理重点动态调整更新管理体系相关数据。管理体系专题卡片建设内容主要包括市中心、区分中心、接入的市属部门、街道分中心、村居工作站等多级管理体系。</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1.1.8.1.1.1 </w:t>
      </w:r>
      <w:r>
        <w:rPr>
          <w:rFonts w:hint="eastAsia" w:ascii="宋体" w:hAnsi="宋体" w:eastAsia="宋体" w:cs="宋体"/>
          <w:color w:val="auto"/>
          <w:sz w:val="28"/>
          <w:szCs w:val="28"/>
          <w:highlight w:val="none"/>
        </w:rPr>
        <w:t>市中心</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展示市级城市大脑主体机构（市级监督指挥中心）核心管理体系，包括中心主任、科室负责人、在岗坐席人员在岗情况、市级监督员数量等。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1.1.8.1.1.2 </w:t>
      </w:r>
      <w:r>
        <w:rPr>
          <w:rFonts w:hint="eastAsia" w:ascii="宋体" w:hAnsi="宋体" w:eastAsia="宋体" w:cs="宋体"/>
          <w:color w:val="auto"/>
          <w:sz w:val="28"/>
          <w:szCs w:val="28"/>
          <w:highlight w:val="none"/>
        </w:rPr>
        <w:t>区分中心</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展示各区区级监督指挥中心核心管理体系，包括区指挥中心主任、值班长、区级监督员数量、监督员在岗数量、区分中心案件发现数量、区分中心案件处置数量等。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1.1.8.1.1.3 </w:t>
      </w:r>
      <w:r>
        <w:rPr>
          <w:rFonts w:hint="eastAsia" w:ascii="宋体" w:hAnsi="宋体" w:eastAsia="宋体" w:cs="宋体"/>
          <w:color w:val="auto"/>
          <w:sz w:val="28"/>
          <w:szCs w:val="28"/>
          <w:highlight w:val="none"/>
        </w:rPr>
        <w:t>接入的市属部门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展示城市大脑接入的市属管理部门情况，包括接入的市属管理部门数量、接入的市属管理部门名称、市属管理部门当月案件处置数等。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1.1.8.1.1.4 </w:t>
      </w:r>
      <w:r>
        <w:rPr>
          <w:rFonts w:hint="eastAsia" w:ascii="宋体" w:hAnsi="宋体" w:eastAsia="宋体" w:cs="宋体"/>
          <w:color w:val="auto"/>
          <w:sz w:val="28"/>
          <w:szCs w:val="28"/>
          <w:highlight w:val="none"/>
        </w:rPr>
        <w:t>街道分中心</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展示城市大脑接入的街道分中心情况，包括接入的街道分中心数量、街道分中心名称、街道驻派机构数量、街道驻派执法人员数量等。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1.1.8.1.1.5 </w:t>
      </w:r>
      <w:r>
        <w:rPr>
          <w:rFonts w:hint="eastAsia" w:ascii="宋体" w:hAnsi="宋体" w:eastAsia="宋体" w:cs="宋体"/>
          <w:color w:val="auto"/>
          <w:sz w:val="28"/>
          <w:szCs w:val="28"/>
          <w:highlight w:val="none"/>
        </w:rPr>
        <w:t>村居工作站</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展示城市大脑接入的村居工作站情况，包括接入的村居工作站数量、村居工作站名称等。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1.1.8.1.2 </w:t>
      </w:r>
      <w:r>
        <w:rPr>
          <w:rFonts w:hint="eastAsia" w:ascii="宋体" w:hAnsi="宋体" w:eastAsia="宋体" w:cs="宋体"/>
          <w:color w:val="auto"/>
          <w:sz w:val="28"/>
          <w:szCs w:val="28"/>
          <w:highlight w:val="none"/>
        </w:rPr>
        <w:t>城市运行体征</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城市管理运行基本数据情况，支持根据城市管理重点以及城市日常运行数据的变化情况，动态调整更新城市运行体征相关数据。城市运行体征专题卡片建设内容主要包括城市基础数据、城市家具、案件来源情况、案件处置情况、案件结案情况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1.1.8.1.2.1 </w:t>
      </w:r>
      <w:r>
        <w:rPr>
          <w:rFonts w:hint="eastAsia" w:ascii="宋体" w:hAnsi="宋体" w:eastAsia="宋体" w:cs="宋体"/>
          <w:color w:val="auto"/>
          <w:sz w:val="28"/>
          <w:szCs w:val="28"/>
          <w:highlight w:val="none"/>
        </w:rPr>
        <w:t>城市基础数据</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展示城市基础数据情况，包括城市建成区面积情况、城市实有人口数量、城市流动人口数量、城镇化率、城市基本经济数据、城市社区数量、城市重点场所数量等。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1.1.8.1.2.2 </w:t>
      </w:r>
      <w:r>
        <w:rPr>
          <w:rFonts w:hint="eastAsia" w:ascii="宋体" w:hAnsi="宋体" w:eastAsia="宋体" w:cs="宋体"/>
          <w:color w:val="auto"/>
          <w:sz w:val="28"/>
          <w:szCs w:val="28"/>
          <w:highlight w:val="none"/>
        </w:rPr>
        <w:t>城市家具（部件）</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展示城市家具（部件），即城市管理公共区域内的各项市政工程设施与市政公用设施的基本情况，包括城市家具数量、城市家具类型、城市家具完好率、城市家具易损坏类型等，展示数据支持实时动态更新。</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1.1.8.1.2.3 </w:t>
      </w:r>
      <w:r>
        <w:rPr>
          <w:rFonts w:hint="eastAsia" w:ascii="宋体" w:hAnsi="宋体" w:eastAsia="宋体" w:cs="宋体"/>
          <w:color w:val="auto"/>
          <w:sz w:val="28"/>
          <w:szCs w:val="28"/>
          <w:highlight w:val="none"/>
        </w:rPr>
        <w:t>案件来源情况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展示（默认展示今日）城市管理相关案件来源数量情况，包括市级监督员上报案件数量、区级监督员上报案件数量、物联网告警数量、热线投诉举报案件数量等，展示数据支持实时动态更新。</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1.1.8.1.2.4 </w:t>
      </w:r>
      <w:r>
        <w:rPr>
          <w:rFonts w:hint="eastAsia" w:ascii="宋体" w:hAnsi="宋体" w:eastAsia="宋体" w:cs="宋体"/>
          <w:color w:val="auto"/>
          <w:sz w:val="28"/>
          <w:szCs w:val="28"/>
          <w:highlight w:val="none"/>
        </w:rPr>
        <w:t>案件处置情况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展示（默认展示今日）城市管理相关案件的处置情况，包括市属部门正在处置的案件数量、转派区级部门正在处置的案件数量、正在处置的部件数量、正在处置的事件数量等，展示数据支持实时动态更新。</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1.1.8.1.2.5 </w:t>
      </w:r>
      <w:r>
        <w:rPr>
          <w:rFonts w:hint="eastAsia" w:ascii="宋体" w:hAnsi="宋体" w:eastAsia="宋体" w:cs="宋体"/>
          <w:color w:val="auto"/>
          <w:sz w:val="28"/>
          <w:szCs w:val="28"/>
          <w:highlight w:val="none"/>
        </w:rPr>
        <w:t>案件结案情况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展示（默认展示今日）城市管理相关案件的处置完成情况，包括市结案数量、超期未处置数量等，展示数据支持实时动态更新，展示数据支持实时动态更新。</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1.1.8.1.3 </w:t>
      </w:r>
      <w:r>
        <w:rPr>
          <w:rFonts w:hint="eastAsia" w:ascii="宋体" w:hAnsi="宋体" w:eastAsia="宋体" w:cs="宋体"/>
          <w:color w:val="auto"/>
          <w:sz w:val="28"/>
          <w:szCs w:val="28"/>
          <w:highlight w:val="none"/>
        </w:rPr>
        <w:t>智能发现告警情况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城市管理通过智能化手段智能发现告警情况，支持根据城市管理重点以及城市日常运行数据的变化情况，动态调整更新智能发现告警数据。城市管理智能发现告警专题卡片建设内容主要包括智能发现告警数量、智能发现告警类型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1.1.8.1.3.1 </w:t>
      </w:r>
      <w:r>
        <w:rPr>
          <w:rFonts w:hint="eastAsia" w:ascii="宋体" w:hAnsi="宋体" w:eastAsia="宋体" w:cs="宋体"/>
          <w:color w:val="auto"/>
          <w:sz w:val="28"/>
          <w:szCs w:val="28"/>
          <w:highlight w:val="none"/>
        </w:rPr>
        <w:t>智能发现告警数量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展示（默认展示今日）城市管理所有接入到城市大脑的智能设备所有的智能告警总数量等，展示数据支持实时动态更新。</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1.1.8.1.3.2 </w:t>
      </w:r>
      <w:r>
        <w:rPr>
          <w:rFonts w:hint="eastAsia" w:ascii="宋体" w:hAnsi="宋体" w:eastAsia="宋体" w:cs="宋体"/>
          <w:color w:val="auto"/>
          <w:sz w:val="28"/>
          <w:szCs w:val="28"/>
          <w:highlight w:val="none"/>
        </w:rPr>
        <w:t>智能发现告警类型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默认展示今日）城市管理所有接入到城市大脑的智能设备不同的设备类型告警数量，包括市政设施物联网感知告警数量、城市管理视频智能识别告警数量、渣土车违规告警数量、餐饮油烟告警数量等，展示数据支持实时动态更新。</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1.1.8.1.4 </w:t>
      </w:r>
      <w:r>
        <w:rPr>
          <w:rFonts w:hint="eastAsia" w:ascii="宋体" w:hAnsi="宋体" w:eastAsia="宋体" w:cs="宋体"/>
          <w:color w:val="auto"/>
          <w:sz w:val="28"/>
          <w:szCs w:val="28"/>
          <w:highlight w:val="none"/>
        </w:rPr>
        <w:t>全流程闭环管理模式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展示通过物联网、视频监控等智能发现设备发现城市管理问题后，案件流转主要的核心闭环管理流程，方便中心在接待汇报时，能够直观展示案件流转全过程及创新的闭环管理模式。</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1.1.8.1.4.1 </w:t>
      </w:r>
      <w:r>
        <w:rPr>
          <w:rFonts w:hint="eastAsia" w:ascii="宋体" w:hAnsi="宋体" w:eastAsia="宋体" w:cs="宋体"/>
          <w:color w:val="auto"/>
          <w:sz w:val="28"/>
          <w:szCs w:val="28"/>
          <w:highlight w:val="none"/>
        </w:rPr>
        <w:t>网格化闭环管理流程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展示常规问题通过网格化管理平台处置的七步闭环管理流程，以近期发生的两个案件为例，展示案件的办理经过，已完成的关键节点用绿色展示，为完成的节点用红色展示。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1.1.8.1.4.2 </w:t>
      </w:r>
      <w:r>
        <w:rPr>
          <w:rFonts w:hint="eastAsia" w:ascii="宋体" w:hAnsi="宋体" w:eastAsia="宋体" w:cs="宋体"/>
          <w:color w:val="auto"/>
          <w:sz w:val="28"/>
          <w:szCs w:val="28"/>
          <w:highlight w:val="none"/>
        </w:rPr>
        <w:t>扁平化处置管理流程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展示权责明晰问题通过扁平化处置的管理流程，这类权责明晰的问题上报后，可以不通过监督指挥中心的坐席员派遣，就能通过平台直接立案并派遣到相应的处置部门或者一线处置人员。</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支持展示经过扁平化处置管理流程的案件总数、案件总类别等；并支持以近期发生的两个案件为例，展示案件的办理经过，已完成的关键节点用绿色展示，为完成的节点用红色展示。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1.1.8.1.4.3 </w:t>
      </w:r>
      <w:r>
        <w:rPr>
          <w:rFonts w:hint="eastAsia" w:ascii="宋体" w:hAnsi="宋体" w:eastAsia="宋体" w:cs="宋体"/>
          <w:color w:val="auto"/>
          <w:sz w:val="28"/>
          <w:szCs w:val="28"/>
          <w:highlight w:val="none"/>
        </w:rPr>
        <w:t>智能化预警管理流程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展示视频智能识别问题的案件详细信息（发现时间、问题类型、照片信息）及办理过程，以近期发生的两个案件为例，展示案件的办理经过，已完成的关键节点用绿色展示，为完成的节点用红色展示；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展示城市运行中心接入的各类监测设备发现的预警问题的案件及办理过程，以近期发生的两个案件为例，展示案件的办理经过，已完成的关键节点用绿色展示，为完成的节点用红色展示。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1.1.8.1.5 </w:t>
      </w:r>
      <w:r>
        <w:rPr>
          <w:rFonts w:hint="eastAsia" w:ascii="宋体" w:hAnsi="宋体" w:eastAsia="宋体" w:cs="宋体"/>
          <w:color w:val="auto"/>
          <w:sz w:val="28"/>
          <w:szCs w:val="28"/>
          <w:highlight w:val="none"/>
        </w:rPr>
        <w:t>市民举报问题情况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展示市民通过各种方式针对城市管理问题提出的建议和意见情况，以及城市管理部门的相应程度和市民的满意度情况。市民参与城市治理的方式主要包括：热线、微信公众号、e福州APP等。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1.1.8.1.5.1 </w:t>
      </w:r>
      <w:r>
        <w:rPr>
          <w:rFonts w:hint="eastAsia" w:ascii="宋体" w:hAnsi="宋体" w:eastAsia="宋体" w:cs="宋体"/>
          <w:color w:val="auto"/>
          <w:sz w:val="28"/>
          <w:szCs w:val="28"/>
          <w:highlight w:val="none"/>
        </w:rPr>
        <w:t>热线举报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展示市民通过热线方式上报案卷的情况，包括上报总量、已处置量、待处置量以及市民满意比例等内容。</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1.1.8.1.5.2 </w:t>
      </w:r>
      <w:r>
        <w:rPr>
          <w:rFonts w:hint="eastAsia" w:ascii="宋体" w:hAnsi="宋体" w:eastAsia="宋体" w:cs="宋体"/>
          <w:color w:val="auto"/>
          <w:sz w:val="28"/>
          <w:szCs w:val="28"/>
          <w:highlight w:val="none"/>
        </w:rPr>
        <w:t>微信公众号举报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展示市民通过微信公众号方式上报案卷的情况，包括上报总量、已处置量、待处置量以及市民满意比例等内容。</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1.1.8.1.5.3 </w:t>
      </w:r>
      <w:r>
        <w:rPr>
          <w:rFonts w:hint="eastAsia" w:ascii="宋体" w:hAnsi="宋体" w:eastAsia="宋体" w:cs="宋体"/>
          <w:color w:val="auto"/>
          <w:sz w:val="28"/>
          <w:szCs w:val="28"/>
          <w:highlight w:val="none"/>
        </w:rPr>
        <w:t>e福州APP举报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展示市民通过e福州APP方式上报案卷的情况，包括上报总量、已处置量、待处置量以及市民满意比例等内容。</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1.1.8.1.5.4 </w:t>
      </w:r>
      <w:r>
        <w:rPr>
          <w:rFonts w:hint="eastAsia" w:ascii="宋体" w:hAnsi="宋体" w:eastAsia="宋体" w:cs="宋体"/>
          <w:color w:val="auto"/>
          <w:sz w:val="28"/>
          <w:szCs w:val="28"/>
          <w:highlight w:val="none"/>
        </w:rPr>
        <w:t>紧急突发问题</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展示城市管理紧急突发问题的实时进展情况，实时了解突发事件的详细信息、地图定位、上报人、处置部门、处置人员、处置进度以及处置前后对比照片等。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1.1.8.1.5.5 </w:t>
      </w:r>
      <w:r>
        <w:rPr>
          <w:rFonts w:hint="eastAsia" w:ascii="宋体" w:hAnsi="宋体" w:eastAsia="宋体" w:cs="宋体"/>
          <w:color w:val="auto"/>
          <w:sz w:val="28"/>
          <w:szCs w:val="28"/>
          <w:highlight w:val="none"/>
        </w:rPr>
        <w:t>气象天气情况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展示今日气象数据，如天气状况、温度（最高温度、最低温度）、风向、风速、空气质量等。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1.1.8.1.5.6 </w:t>
      </w:r>
      <w:r>
        <w:rPr>
          <w:rFonts w:hint="eastAsia" w:ascii="宋体" w:hAnsi="宋体" w:eastAsia="宋体" w:cs="宋体"/>
          <w:color w:val="auto"/>
          <w:sz w:val="28"/>
          <w:szCs w:val="28"/>
          <w:highlight w:val="none"/>
        </w:rPr>
        <w:t>国家授时中心标准时间</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对接国家授时中心的标准时间，实时显示北京时间（时、分、秒）以及星期和日历（农历、节日）等。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1.1.8.2 </w:t>
      </w:r>
      <w:r>
        <w:rPr>
          <w:rFonts w:hint="eastAsia" w:ascii="宋体" w:hAnsi="宋体" w:eastAsia="宋体" w:cs="宋体"/>
          <w:color w:val="auto"/>
          <w:sz w:val="28"/>
          <w:szCs w:val="28"/>
          <w:highlight w:val="none"/>
        </w:rPr>
        <w:t>基本要素地图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用二三维地图模拟仿真技术，充分优化三维模型组织格式、调度以及三维绘制性能，集成矢量地图，实现跨平台二三维地图仿真展示。以数据服务的形式为城市运行中心提供地图服务，并与城运中心专题数据联动，实现三维仿真效果。</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1.1.8.2.1 </w:t>
      </w:r>
      <w:r>
        <w:rPr>
          <w:rFonts w:hint="eastAsia" w:ascii="宋体" w:hAnsi="宋体" w:eastAsia="宋体" w:cs="宋体"/>
          <w:color w:val="auto"/>
          <w:sz w:val="28"/>
          <w:szCs w:val="28"/>
          <w:highlight w:val="none"/>
        </w:rPr>
        <w:t>二维地图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支持以二维地图的形式，联动展示案件发生位置、人员车辆轨迹等。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1.1.8.2.2 </w:t>
      </w:r>
      <w:r>
        <w:rPr>
          <w:rFonts w:hint="eastAsia" w:ascii="宋体" w:hAnsi="宋体" w:eastAsia="宋体" w:cs="宋体"/>
          <w:color w:val="auto"/>
          <w:sz w:val="28"/>
          <w:szCs w:val="28"/>
          <w:highlight w:val="none"/>
        </w:rPr>
        <w:t>三维地图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支持以三维地图的形式（灰模三维地图），联动展示案件发生位置、人员车辆轨迹等。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1.1.8.2.3 </w:t>
      </w:r>
      <w:r>
        <w:rPr>
          <w:rFonts w:hint="eastAsia" w:ascii="宋体" w:hAnsi="宋体" w:eastAsia="宋体" w:cs="宋体"/>
          <w:color w:val="auto"/>
          <w:sz w:val="28"/>
          <w:szCs w:val="28"/>
          <w:highlight w:val="none"/>
        </w:rPr>
        <w:t>二三维切换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支持根据管理和数据展示需要，在二三维地图之间切换。</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1.1.8.2.4 </w:t>
      </w:r>
      <w:r>
        <w:rPr>
          <w:rFonts w:hint="eastAsia" w:ascii="宋体" w:hAnsi="宋体" w:eastAsia="宋体" w:cs="宋体"/>
          <w:color w:val="auto"/>
          <w:sz w:val="28"/>
          <w:szCs w:val="28"/>
          <w:highlight w:val="none"/>
        </w:rPr>
        <w:t>网格一张图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支持以二维或三维地图的形式展示城市各级管理网格，包括市级网格、区级网格、街镇级网格、村社级网格、万米单元网格以及各级责任网格等。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1.1.8.2.5 </w:t>
      </w:r>
      <w:r>
        <w:rPr>
          <w:rFonts w:hint="eastAsia" w:ascii="宋体" w:hAnsi="宋体" w:eastAsia="宋体" w:cs="宋体"/>
          <w:color w:val="auto"/>
          <w:sz w:val="28"/>
          <w:szCs w:val="28"/>
          <w:highlight w:val="none"/>
        </w:rPr>
        <w:t>部件一张图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支持以二维或三维地图的形式展示城市管理部件图层，包括市容环境设施类、园林绿化设施类、公用设施类等部件的位置信息，支持以不同颜色展示部件状态信息。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1.1.8.2.6 </w:t>
      </w:r>
      <w:r>
        <w:rPr>
          <w:rFonts w:hint="eastAsia" w:ascii="宋体" w:hAnsi="宋体" w:eastAsia="宋体" w:cs="宋体"/>
          <w:color w:val="auto"/>
          <w:sz w:val="28"/>
          <w:szCs w:val="28"/>
          <w:highlight w:val="none"/>
        </w:rPr>
        <w:t>环卫一张图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支持以二维或三维地图的形式展示城市管理市容环卫图层，包括环卫车辆（洒水车、机扫车、垃圾收运车、吸污车等）位置信息、环卫设施（垃圾箱、垃圾站、厕所、填埋场等）位置信息、环卫人员位置信息等。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1.1.8.2.7 </w:t>
      </w:r>
      <w:r>
        <w:rPr>
          <w:rFonts w:hint="eastAsia" w:ascii="宋体" w:hAnsi="宋体" w:eastAsia="宋体" w:cs="宋体"/>
          <w:color w:val="auto"/>
          <w:sz w:val="28"/>
          <w:szCs w:val="28"/>
          <w:highlight w:val="none"/>
        </w:rPr>
        <w:t>渣土一张图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支持以二维或三维地图的形式展示城市渣土监管图层，包括渣土车辆位置信息、商砼车位置信息、工地位置信息、消纳场位置信息等。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1.1.8.2.8 </w:t>
      </w:r>
      <w:r>
        <w:rPr>
          <w:rFonts w:hint="eastAsia" w:ascii="宋体" w:hAnsi="宋体" w:eastAsia="宋体" w:cs="宋体"/>
          <w:color w:val="auto"/>
          <w:sz w:val="28"/>
          <w:szCs w:val="28"/>
          <w:highlight w:val="none"/>
        </w:rPr>
        <w:t>道桥一张图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支持以二维或三维地图的形式展示城市道路、桥梁信息，包括道路桥梁名称、路段名称、路段位置、桥梁位置等，支持以不同颜色展示道桥健康状况信息。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1.1.8.2.9 </w:t>
      </w:r>
      <w:r>
        <w:rPr>
          <w:rFonts w:hint="eastAsia" w:ascii="宋体" w:hAnsi="宋体" w:eastAsia="宋体" w:cs="宋体"/>
          <w:color w:val="auto"/>
          <w:sz w:val="28"/>
          <w:szCs w:val="28"/>
          <w:highlight w:val="none"/>
        </w:rPr>
        <w:t>路灯一张图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支持以二维或三维地图的形式展示城市路灯信息，包括路灯位置等，支持以不同颜色展示路灯状况信息。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1.1.8.2.10 </w:t>
      </w:r>
      <w:r>
        <w:rPr>
          <w:rFonts w:hint="eastAsia" w:ascii="宋体" w:hAnsi="宋体" w:eastAsia="宋体" w:cs="宋体"/>
          <w:color w:val="auto"/>
          <w:sz w:val="28"/>
          <w:szCs w:val="28"/>
          <w:highlight w:val="none"/>
        </w:rPr>
        <w:t>井盖一张图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支持以二维或三维地图的形式展示城市不同种类井盖信息，包括井盖位置、井盖种类等，支持以不同颜色展示井盖状况信息。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1.1.8.2.11 </w:t>
      </w:r>
      <w:r>
        <w:rPr>
          <w:rFonts w:hint="eastAsia" w:ascii="宋体" w:hAnsi="宋体" w:eastAsia="宋体" w:cs="宋体"/>
          <w:color w:val="auto"/>
          <w:sz w:val="28"/>
          <w:szCs w:val="28"/>
          <w:highlight w:val="none"/>
        </w:rPr>
        <w:t>人员一张图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支持以二维或三维地图的形式展示城市管理监督员位置信息，包括监督员位置、监督员轨迹等。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1.1.8.2.12 </w:t>
      </w:r>
      <w:r>
        <w:rPr>
          <w:rFonts w:hint="eastAsia" w:ascii="宋体" w:hAnsi="宋体" w:eastAsia="宋体" w:cs="宋体"/>
          <w:color w:val="auto"/>
          <w:sz w:val="28"/>
          <w:szCs w:val="28"/>
          <w:highlight w:val="none"/>
        </w:rPr>
        <w:t>案件一张图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支持以二维或三维地图的形式展示城市管理案件位置信息，支持以多种方式展示不同比例尺下的地图案件。</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1.1.8.3 </w:t>
      </w:r>
      <w:r>
        <w:rPr>
          <w:rFonts w:hint="eastAsia" w:ascii="宋体" w:hAnsi="宋体" w:eastAsia="宋体" w:cs="宋体"/>
          <w:color w:val="auto"/>
          <w:sz w:val="28"/>
          <w:szCs w:val="28"/>
          <w:highlight w:val="none"/>
        </w:rPr>
        <w:t>市政公用专题</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系统依托与时空信息公共服务等平台的对接，实现城市管网、消防设施、供水及道路交通等基础设施的运行监测管理功能，提供统一的城市综合运行状态视图。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平台实现物联网数据接入，实现能源供应（电力、天然气）、供水排水（自来水厂、供水管网、排水、污水处理等）、交通运输（道路、桥梁、隧道、路灯等）基础设施的位置显示、实时状态查看及圈选查询。全面感知和监测基础设施状态，为基础设施安全管理、养护管理、预防性维护提供支持，提升城市基础设施服务能力。</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基础设施数据种类多，数量大，分散存储在各部门和各下属单位中，基础设施资源数据散落在各处，无法共享，很难发挥信息资源的作用。通过统一数据对接支撑服务，基于时空信息公共服务GIS平台，整合汇总各类城市基础设施资源，包括道路及相关设施、桥梁、路灯、水系、排水设施等，建设城市资源数据库，实现对城市基础设施资源的查询、统计、分析等功能，为政府进行城市基础设施资源的综合管理提供了有效手段，使城市管理者能够对城市的安全生产、综合业务、监督巡查等工作进行全方位的监管。</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1.1.8.3.1 </w:t>
      </w:r>
      <w:r>
        <w:rPr>
          <w:rFonts w:hint="eastAsia" w:ascii="宋体" w:hAnsi="宋体" w:eastAsia="宋体" w:cs="宋体"/>
          <w:color w:val="auto"/>
          <w:sz w:val="28"/>
          <w:szCs w:val="28"/>
          <w:highlight w:val="none"/>
        </w:rPr>
        <w:t>市政地图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集中在地图上展示市政各专题图层，包括道路、桥梁、隧道、排水、井盖、积水点、视频、车辆、人员等专题。</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1.1.8.3.2 </w:t>
      </w:r>
      <w:r>
        <w:rPr>
          <w:rFonts w:hint="eastAsia" w:ascii="宋体" w:hAnsi="宋体" w:eastAsia="宋体" w:cs="宋体"/>
          <w:color w:val="auto"/>
          <w:sz w:val="28"/>
          <w:szCs w:val="28"/>
          <w:highlight w:val="none"/>
        </w:rPr>
        <w:t>运行指标</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综合展示各市政设施的运行情况，包括路灯亮灯率、在修道路数量、道路养护里程数、施工问题数、在建工程数、隐患点等。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1.1.8.3.3 </w:t>
      </w:r>
      <w:r>
        <w:rPr>
          <w:rFonts w:hint="eastAsia" w:ascii="宋体" w:hAnsi="宋体" w:eastAsia="宋体" w:cs="宋体"/>
          <w:color w:val="auto"/>
          <w:sz w:val="28"/>
          <w:szCs w:val="28"/>
          <w:highlight w:val="none"/>
        </w:rPr>
        <w:t>物联设备</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综合展示市政物联设备总体概况，包括物联设备总数和告警数。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排水：展示排水液位监测仪数量/存在问题设备数，水质检测仪数量/存在问题设备数；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井盖：展示井盖集控器数量/存在问题设备数，井盖监测器数量/存在问题设备数；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道桥：展示位移监测仪数量/存在问题设备数，振幅监测仪数量/存在问题设备数，湿度计数量/存在问题设备数；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隧道：展示沉降监测仪数量/存在问题设备数，结构应力监测仪数量/存在问题设备数。</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1.1.8.3.4 </w:t>
      </w:r>
      <w:r>
        <w:rPr>
          <w:rFonts w:hint="eastAsia" w:ascii="宋体" w:hAnsi="宋体" w:eastAsia="宋体" w:cs="宋体"/>
          <w:color w:val="auto"/>
          <w:sz w:val="28"/>
          <w:szCs w:val="28"/>
          <w:highlight w:val="none"/>
        </w:rPr>
        <w:t>市政概况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该模块展示市政设施的总体情况,主要包括以下内容:</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道路：条数、总长度；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排水沟渠：管道长度、管渠长度；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桥梁：总数量（高架桥、特大桥、大桥、中小桥数量）；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隧道：隧道、地下通道等数量。</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1.1.8.3.5 </w:t>
      </w:r>
      <w:r>
        <w:rPr>
          <w:rFonts w:hint="eastAsia" w:ascii="宋体" w:hAnsi="宋体" w:eastAsia="宋体" w:cs="宋体"/>
          <w:color w:val="auto"/>
          <w:sz w:val="28"/>
          <w:szCs w:val="28"/>
          <w:highlight w:val="none"/>
        </w:rPr>
        <w:t>物联网监测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列表形式展示各物联设备（自来水监测点、路灯、井盖监测点、排水监测点）监测值，包括实时监测值、设备正常值范围、最新更新时间等。不同类型设备和不同监测点均可快速切换，支持关联地图查看各物联设备详细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1.1.8.3.6 </w:t>
      </w:r>
      <w:r>
        <w:rPr>
          <w:rFonts w:hint="eastAsia" w:ascii="宋体" w:hAnsi="宋体" w:eastAsia="宋体" w:cs="宋体"/>
          <w:color w:val="auto"/>
          <w:sz w:val="28"/>
          <w:szCs w:val="28"/>
          <w:highlight w:val="none"/>
        </w:rPr>
        <w:t>最新通告</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以列表形式展示各市政物联设备最新告警情况，通告内容包括位置信息、设备编号、告警信息、推送情况等。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1.1.8.3.7 </w:t>
      </w:r>
      <w:r>
        <w:rPr>
          <w:rFonts w:hint="eastAsia" w:ascii="宋体" w:hAnsi="宋体" w:eastAsia="宋体" w:cs="宋体"/>
          <w:color w:val="auto"/>
          <w:sz w:val="28"/>
          <w:szCs w:val="28"/>
          <w:highlight w:val="none"/>
        </w:rPr>
        <w:t>养护统计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统计各类市政设施（道路、桥梁、隧道、排水）的养护情况，以柱状图展示各类市政设施的养护统计数。</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1.1.8.3.8 </w:t>
      </w:r>
      <w:r>
        <w:rPr>
          <w:rFonts w:hint="eastAsia" w:ascii="宋体" w:hAnsi="宋体" w:eastAsia="宋体" w:cs="宋体"/>
          <w:color w:val="auto"/>
          <w:sz w:val="28"/>
          <w:szCs w:val="28"/>
          <w:highlight w:val="none"/>
        </w:rPr>
        <w:t>高发问题</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展示市政问题发生的空间、类型的规律分析结果，主要包括以下内容：</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高发类型分析：展示当天上报市政类案件的类别高发统计结果；</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高发道路分析：展示当天上报案件的道路高发统计结果。</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1.1.8.3.9 </w:t>
      </w:r>
      <w:r>
        <w:rPr>
          <w:rFonts w:hint="eastAsia" w:ascii="宋体" w:hAnsi="宋体" w:eastAsia="宋体" w:cs="宋体"/>
          <w:color w:val="auto"/>
          <w:sz w:val="28"/>
          <w:szCs w:val="28"/>
          <w:highlight w:val="none"/>
        </w:rPr>
        <w:t>设施概况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描述清楚有哪些设施，各类设施数量有多少？这些数据通过设施图层获取或者从其他系统对接而来。</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1.1.8.3.10 </w:t>
      </w:r>
      <w:r>
        <w:rPr>
          <w:rFonts w:hint="eastAsia" w:ascii="宋体" w:hAnsi="宋体" w:eastAsia="宋体" w:cs="宋体"/>
          <w:color w:val="auto"/>
          <w:sz w:val="28"/>
          <w:szCs w:val="28"/>
          <w:highlight w:val="none"/>
        </w:rPr>
        <w:t>物联网设备一张图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列举各类物联网监测设备的总数量，同时将在线的设备都列出来。地图上能显示各类设备分布情况，点击查看详细信息和监测信息。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1.1.8.3.11 </w:t>
      </w:r>
      <w:r>
        <w:rPr>
          <w:rFonts w:hint="eastAsia" w:ascii="宋体" w:hAnsi="宋体" w:eastAsia="宋体" w:cs="宋体"/>
          <w:color w:val="auto"/>
          <w:sz w:val="28"/>
          <w:szCs w:val="28"/>
          <w:highlight w:val="none"/>
        </w:rPr>
        <w:t>实时监测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以列表形式显示数值类型监测值，对于各监测点有比较宏观的认识。对于报警的设备，有限排前前面。不同类型设备和不同监测点均可快速切换，双击在地图上定位，查看详细信息。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1.1.8.3.12 </w:t>
      </w:r>
      <w:r>
        <w:rPr>
          <w:rFonts w:hint="eastAsia" w:ascii="宋体" w:hAnsi="宋体" w:eastAsia="宋体" w:cs="宋体"/>
          <w:color w:val="auto"/>
          <w:sz w:val="28"/>
          <w:szCs w:val="28"/>
          <w:highlight w:val="none"/>
        </w:rPr>
        <w:t>报警信息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对于发生掉线、没电等报警情况的设备，及时将报警信息推送出来，在页面中显示报警设备ID、名称、地址、报警类型、详情等信息，可以对报警信息进行处理，以决定是否生成案件进行处置派单。</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1.1.8.3.13 </w:t>
      </w:r>
      <w:r>
        <w:rPr>
          <w:rFonts w:hint="eastAsia" w:ascii="宋体" w:hAnsi="宋体" w:eastAsia="宋体" w:cs="宋体"/>
          <w:color w:val="auto"/>
          <w:sz w:val="28"/>
          <w:szCs w:val="28"/>
          <w:highlight w:val="none"/>
        </w:rPr>
        <w:t>设施运行情况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从问题总量、问题完成量、按时完成率三个方面来衡量各类设施健康运行情况，对于反馈的问题，通过问题来源进行区分。以柱状图和折线图结合方式来表现，动态变化，能更好的展示效果。</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1.1.8.4 </w:t>
      </w:r>
      <w:r>
        <w:rPr>
          <w:rFonts w:hint="eastAsia" w:ascii="宋体" w:hAnsi="宋体" w:eastAsia="宋体" w:cs="宋体"/>
          <w:color w:val="auto"/>
          <w:sz w:val="28"/>
          <w:szCs w:val="28"/>
          <w:highlight w:val="none"/>
        </w:rPr>
        <w:t>市容环卫专题</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园林绿化一张图监管系统在全面准确摸清城市园林绿化家底的基础上，开展深入的数据挖掘与分析应用。科学测算绿化覆盖率、绿地率。公园服务半径覆盖率等核心指标，提升城市绿地规划建设的合理性，实时监控当前各种问题的处置进度和状态，为用户提供实时的环卫管理运行状态，方便用户及时进行指挥调度和紧急事件处理。实现城市园林绿化服务质量和服务能力的优化与提升。</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1.1.8.4.1 </w:t>
      </w:r>
      <w:r>
        <w:rPr>
          <w:rFonts w:hint="eastAsia" w:ascii="宋体" w:hAnsi="宋体" w:eastAsia="宋体" w:cs="宋体"/>
          <w:color w:val="auto"/>
          <w:sz w:val="28"/>
          <w:szCs w:val="28"/>
          <w:highlight w:val="none"/>
        </w:rPr>
        <w:t>地图定位</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点击设施概览中每类设施的统计数字，系统自动切换到地图，并且显示当前设施在地图上的具体位置信息和分布情况。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1.1.8.4.2 </w:t>
      </w:r>
      <w:r>
        <w:rPr>
          <w:rFonts w:hint="eastAsia" w:ascii="宋体" w:hAnsi="宋体" w:eastAsia="宋体" w:cs="宋体"/>
          <w:color w:val="auto"/>
          <w:sz w:val="28"/>
          <w:szCs w:val="28"/>
          <w:highlight w:val="none"/>
        </w:rPr>
        <w:t>设施概览</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对环卫的基础设施等数据进行实时展示，包括中转站数量、公厕数量、当前在线的摄像头数量、消纳场数量、当前在线渣土车和洒水车数量、当前在岗的环卫工人数量等。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通过配置表获取可显示环卫设施项，默认显示6项，当超过时，采用左右切换分页的方式。</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1.1.8.4.3 </w:t>
      </w:r>
      <w:r>
        <w:rPr>
          <w:rFonts w:hint="eastAsia" w:ascii="宋体" w:hAnsi="宋体" w:eastAsia="宋体" w:cs="宋体"/>
          <w:color w:val="auto"/>
          <w:sz w:val="28"/>
          <w:szCs w:val="28"/>
          <w:highlight w:val="none"/>
        </w:rPr>
        <w:t>作业状态</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在作业监控中显示当前环卫作业的整体情况，包括：在线车辆、在线人员、车辆报警、人员报警的数量，根据作业结果汇总计算得出道路作业完成率、垃圾清运完成率。</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1.1.8.4.4 </w:t>
      </w:r>
      <w:r>
        <w:rPr>
          <w:rFonts w:hint="eastAsia" w:ascii="宋体" w:hAnsi="宋体" w:eastAsia="宋体" w:cs="宋体"/>
          <w:color w:val="auto"/>
          <w:sz w:val="28"/>
          <w:szCs w:val="28"/>
          <w:highlight w:val="none"/>
        </w:rPr>
        <w:t>作业台账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显示环卫所涉及的基础台账数据汇总，包括道路作业、环卫车辆、人工保洁、洒水降尘等，以列表横排显示所包含的分项及统计数字。</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具体的显示内容包括：</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道路作业：标段数、道路数、总里程数；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环卫车辆：作业车辆；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人工保洁：环卫人员、区域网格、作业面积；</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洒水降尘：洒水车、作业道路。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1.1.8.4.5 </w:t>
      </w:r>
      <w:r>
        <w:rPr>
          <w:rFonts w:hint="eastAsia" w:ascii="宋体" w:hAnsi="宋体" w:eastAsia="宋体" w:cs="宋体"/>
          <w:color w:val="auto"/>
          <w:sz w:val="28"/>
          <w:szCs w:val="28"/>
          <w:highlight w:val="none"/>
        </w:rPr>
        <w:t>案件统计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按当日、当月、当年统计显示环卫部门处置的案件数，包括案件总数、已处置数、未处置数、案件超时数等。</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点击环卫案件中每类案件的具体数字可以直接跳转到对应的环卫案件详细页面。</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1.1.8.4.6 </w:t>
      </w:r>
      <w:r>
        <w:rPr>
          <w:rFonts w:hint="eastAsia" w:ascii="宋体" w:hAnsi="宋体" w:eastAsia="宋体" w:cs="宋体"/>
          <w:color w:val="auto"/>
          <w:sz w:val="28"/>
          <w:szCs w:val="28"/>
          <w:highlight w:val="none"/>
        </w:rPr>
        <w:t>考核评分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根据对环卫作业公司、标段的考核情况，显示其每月得分数据。以折线图图表形式，展示各区域所包含标段的考核评分数据。</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1.1.8.4.7 </w:t>
      </w:r>
      <w:r>
        <w:rPr>
          <w:rFonts w:hint="eastAsia" w:ascii="宋体" w:hAnsi="宋体" w:eastAsia="宋体" w:cs="宋体"/>
          <w:color w:val="auto"/>
          <w:sz w:val="28"/>
          <w:szCs w:val="28"/>
          <w:highlight w:val="none"/>
        </w:rPr>
        <w:t>垃圾收运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基于垃圾收运作业情况，以图表形式展示各项所包含的数据，包括进场车辆、垃圾处理量、污水处理量等。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1.1.8.4.8 </w:t>
      </w:r>
      <w:r>
        <w:rPr>
          <w:rFonts w:hint="eastAsia" w:ascii="宋体" w:hAnsi="宋体" w:eastAsia="宋体" w:cs="宋体"/>
          <w:color w:val="auto"/>
          <w:sz w:val="28"/>
          <w:szCs w:val="28"/>
          <w:highlight w:val="none"/>
        </w:rPr>
        <w:t>垃圾处置</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基于垃圾处置作业情况，以图表形式展示各项所包含的数据，包括垃圾产生量、收运量、处置量等。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1.1.8.4.9 </w:t>
      </w:r>
      <w:r>
        <w:rPr>
          <w:rFonts w:hint="eastAsia" w:ascii="宋体" w:hAnsi="宋体" w:eastAsia="宋体" w:cs="宋体"/>
          <w:color w:val="auto"/>
          <w:sz w:val="28"/>
          <w:szCs w:val="28"/>
          <w:highlight w:val="none"/>
        </w:rPr>
        <w:t>餐厨垃圾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基于餐厨垃圾作业情况，以图表形式展示各项所包含的数据，包括餐厨垃圾产生量、收运量、处置量。</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1.1.8.4.10 </w:t>
      </w:r>
      <w:r>
        <w:rPr>
          <w:rFonts w:hint="eastAsia" w:ascii="宋体" w:hAnsi="宋体" w:eastAsia="宋体" w:cs="宋体"/>
          <w:color w:val="auto"/>
          <w:sz w:val="28"/>
          <w:szCs w:val="28"/>
          <w:highlight w:val="none"/>
        </w:rPr>
        <w:t>渣土管理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展示通过图表形式渣土车辆、企业等渣土有关信息；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1.1.8.4.11 </w:t>
      </w:r>
      <w:r>
        <w:rPr>
          <w:rFonts w:hint="eastAsia" w:ascii="宋体" w:hAnsi="宋体" w:eastAsia="宋体" w:cs="宋体"/>
          <w:color w:val="auto"/>
          <w:sz w:val="28"/>
          <w:szCs w:val="28"/>
          <w:highlight w:val="none"/>
        </w:rPr>
        <w:t>环境卫生监管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通过图表形式展示环卫车、机构人员、环卫任务等环卫相关信息；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1.1.8.4.12 </w:t>
      </w:r>
      <w:r>
        <w:rPr>
          <w:rFonts w:hint="eastAsia" w:ascii="宋体" w:hAnsi="宋体" w:eastAsia="宋体" w:cs="宋体"/>
          <w:color w:val="auto"/>
          <w:sz w:val="28"/>
          <w:szCs w:val="28"/>
          <w:highlight w:val="none"/>
        </w:rPr>
        <w:t>户外广告</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统计并展示城市户外广告的情况，通过时空地图展示户外广告分布信息，为决策者提供监管依据。</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1.1.8.5 </w:t>
      </w:r>
      <w:r>
        <w:rPr>
          <w:rFonts w:hint="eastAsia" w:ascii="宋体" w:hAnsi="宋体" w:eastAsia="宋体" w:cs="宋体"/>
          <w:color w:val="auto"/>
          <w:sz w:val="28"/>
          <w:szCs w:val="28"/>
          <w:highlight w:val="none"/>
        </w:rPr>
        <w:t>园林绿化专题</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福州市林地面积7792平方公里，占全市总面积的65%，现有森林总面积947万亩，林木总蓄积量1680万立方米。福州以独特的自然优势提出了打造“绿城、花城、水城”的“三城合一”建设模式，先后荣获“中国优秀旅游城市”、“全国文明城市”、“国家园林城市”的荣誉称号。2010年全国绿化委员会授予福州“全国绿化模范城市”称号，2016年，福州市深入开展“全民动员、绿化福州”活动，掀起新一轮植树造荫、绿荫惠民的执潮。2017年国家林业局正式授予福州“国家森林城市”称号，目前福州森林覆盖率达56%，位居全国省会城市第二位，全市建成区森林覆盖率43.93%，城区人均公园绿地面积达15.05平方米，城区街道树冠覆盖率达33.7%，并形成了植绿护绿特色化、城乡绿化一体化、城区道路和内河林荫化、城市公园森林化等特点。</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1.1.8.5.1 </w:t>
      </w:r>
      <w:r>
        <w:rPr>
          <w:rFonts w:hint="eastAsia" w:ascii="宋体" w:hAnsi="宋体" w:eastAsia="宋体" w:cs="宋体"/>
          <w:color w:val="auto"/>
          <w:sz w:val="28"/>
          <w:szCs w:val="28"/>
          <w:highlight w:val="none"/>
        </w:rPr>
        <w:t>总体概览</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按行政区划统计全市的古树名木、行道树、绿地、森林覆盖率、城区人均公园绿地面积、绿化管养护设施设备、管养人员数、目前正在施工的绿化项目等进行统计展示；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1.1.8.5.2 </w:t>
      </w:r>
      <w:r>
        <w:rPr>
          <w:rFonts w:hint="eastAsia" w:ascii="宋体" w:hAnsi="宋体" w:eastAsia="宋体" w:cs="宋体"/>
          <w:color w:val="auto"/>
          <w:sz w:val="28"/>
          <w:szCs w:val="28"/>
          <w:highlight w:val="none"/>
        </w:rPr>
        <w:t>绿化一张图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将全市园林绿化数据（古树名木、行道树、绿地、树木管护设施等）与GIS进行融合，展示全市园木绿化情况。并将全市管护人员、管护车辆、施工项目等在地图上落点，并融合全市视频信息形成全市园林绿化一张图。为全市园木绿化的管养、规划等提供支撑。</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1.1.8.5.3 </w:t>
      </w:r>
      <w:r>
        <w:rPr>
          <w:rFonts w:hint="eastAsia" w:ascii="宋体" w:hAnsi="宋体" w:eastAsia="宋体" w:cs="宋体"/>
          <w:color w:val="auto"/>
          <w:sz w:val="28"/>
          <w:szCs w:val="28"/>
          <w:highlight w:val="none"/>
        </w:rPr>
        <w:t>病虫害预警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针对城市园林绿化多发、常发病虫害提供预警功能，.整合历年来的病虫害信息数据形成知识库，分析常见病虫害类型及其多发区域、多发时段，预先提供预警预报，方便用户查询处置建议.</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1.1.8.5.4 </w:t>
      </w:r>
      <w:r>
        <w:rPr>
          <w:rFonts w:hint="eastAsia" w:ascii="宋体" w:hAnsi="宋体" w:eastAsia="宋体" w:cs="宋体"/>
          <w:color w:val="auto"/>
          <w:sz w:val="28"/>
          <w:szCs w:val="28"/>
          <w:highlight w:val="none"/>
        </w:rPr>
        <w:t>数据综合分析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根据园林绿化综合数据资源、决策分析模型等因素，实现包括全市树种分布分析、各项绿地指标计算和变化检测等统计分析功能。分析结果可以是表格形式或是专题图形式。</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1.1.8.5.5 </w:t>
      </w:r>
      <w:r>
        <w:rPr>
          <w:rFonts w:hint="eastAsia" w:ascii="宋体" w:hAnsi="宋体" w:eastAsia="宋体" w:cs="宋体"/>
          <w:color w:val="auto"/>
          <w:sz w:val="28"/>
          <w:szCs w:val="28"/>
          <w:highlight w:val="none"/>
        </w:rPr>
        <w:t>绿化资源属性查询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实现设置不同的属性查询条件，查询到符合条件的各类园林绿化资源的属性信息，并可以进一步查询到关联的图片、文本、视频等信息。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1.1.8.5.6 </w:t>
      </w:r>
      <w:r>
        <w:rPr>
          <w:rFonts w:hint="eastAsia" w:ascii="宋体" w:hAnsi="宋体" w:eastAsia="宋体" w:cs="宋体"/>
          <w:color w:val="auto"/>
          <w:sz w:val="28"/>
          <w:szCs w:val="28"/>
          <w:highlight w:val="none"/>
        </w:rPr>
        <w:t>园林设施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对园林绿化的基础设施数据进行实时展示，包括绿地，行道树，古树名木等数据。</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1.1.8.5.7 </w:t>
      </w:r>
      <w:r>
        <w:rPr>
          <w:rFonts w:hint="eastAsia" w:ascii="宋体" w:hAnsi="宋体" w:eastAsia="宋体" w:cs="宋体"/>
          <w:color w:val="auto"/>
          <w:sz w:val="28"/>
          <w:szCs w:val="28"/>
          <w:highlight w:val="none"/>
        </w:rPr>
        <w:t>养护统计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统计各类市政园林绿化日常养护工作，包含绿地修剪、施肥、浇水，树木绿篱的修剪、施肥、除草、浇水、病虫害防治，园林绿化设施的保养维护等的养护情况，以柱状图展示各类园林设施的养护统计数。</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1.1.8.5.8 </w:t>
      </w:r>
      <w:r>
        <w:rPr>
          <w:rFonts w:hint="eastAsia" w:ascii="宋体" w:hAnsi="宋体" w:eastAsia="宋体" w:cs="宋体"/>
          <w:color w:val="auto"/>
          <w:sz w:val="28"/>
          <w:szCs w:val="28"/>
          <w:highlight w:val="none"/>
        </w:rPr>
        <w:t>考核评分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根据对园林作业公司、标段的考核情况，显示其每月得分数据。以折线图图表形式，展示各区域所包含标段的考核评分数据。</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1.1.8.5.9 </w:t>
      </w:r>
      <w:r>
        <w:rPr>
          <w:rFonts w:hint="eastAsia" w:ascii="宋体" w:hAnsi="宋体" w:eastAsia="宋体" w:cs="宋体"/>
          <w:color w:val="auto"/>
          <w:sz w:val="28"/>
          <w:szCs w:val="28"/>
          <w:highlight w:val="none"/>
        </w:rPr>
        <w:t>高发问题</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展示园林问题发生的空间、类型的规律分析结果，高发类型分析：展示当天上报园林类案件的类别高发统计结果。</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1.1.8.5.10 </w:t>
      </w:r>
      <w:r>
        <w:rPr>
          <w:rFonts w:hint="eastAsia" w:ascii="宋体" w:hAnsi="宋体" w:eastAsia="宋体" w:cs="宋体"/>
          <w:color w:val="auto"/>
          <w:sz w:val="28"/>
          <w:szCs w:val="28"/>
          <w:highlight w:val="none"/>
        </w:rPr>
        <w:t>实时检测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以列表形式展示各园林检测设备最新告警情况，通告内容包括位置信息、设备编号、告警信息、推送情况等。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1.1.8.5.11 </w:t>
      </w:r>
      <w:r>
        <w:rPr>
          <w:rFonts w:hint="eastAsia" w:ascii="宋体" w:hAnsi="宋体" w:eastAsia="宋体" w:cs="宋体"/>
          <w:color w:val="auto"/>
          <w:sz w:val="28"/>
          <w:szCs w:val="28"/>
          <w:highlight w:val="none"/>
        </w:rPr>
        <w:t>城市公园</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展示公园的总体情况，可在地图上显示公园的分布，点击具体的公园，可查看公园详情。</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1.1.8.6 </w:t>
      </w:r>
      <w:r>
        <w:rPr>
          <w:rFonts w:hint="eastAsia" w:ascii="宋体" w:hAnsi="宋体" w:eastAsia="宋体" w:cs="宋体"/>
          <w:color w:val="auto"/>
          <w:sz w:val="28"/>
          <w:szCs w:val="28"/>
          <w:highlight w:val="none"/>
        </w:rPr>
        <w:t>城市执法专题</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展示执法队伍、执法人员等相关信息，显示在线执法人员，可查看轨迹数据，统计案卷数量，显示案卷定位及详细信息，统计每个队伍上报的案卷数量并展示详细信息。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1.1.8.6.1 </w:t>
      </w:r>
      <w:r>
        <w:rPr>
          <w:rFonts w:hint="eastAsia" w:ascii="宋体" w:hAnsi="宋体" w:eastAsia="宋体" w:cs="宋体"/>
          <w:color w:val="auto"/>
          <w:sz w:val="28"/>
          <w:szCs w:val="28"/>
          <w:highlight w:val="none"/>
        </w:rPr>
        <w:t>运行情况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实时运行情况：展示今日案件数和当前在线人员数量。统计展示沿街商铺、小摊小贩、企业单位和社区人员数量。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执法统计：以日/月/年三个维度分类别展示执法队伍数量、执法人员数量、案件数量和在线人员数量。</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1.1.8.6.2 </w:t>
      </w:r>
      <w:r>
        <w:rPr>
          <w:rFonts w:hint="eastAsia" w:ascii="宋体" w:hAnsi="宋体" w:eastAsia="宋体" w:cs="宋体"/>
          <w:color w:val="auto"/>
          <w:sz w:val="28"/>
          <w:szCs w:val="28"/>
          <w:highlight w:val="none"/>
        </w:rPr>
        <w:t>高发问题分析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通过柱状图的形式以日/月/年三个维度展示执法过程中的高发问题类型。</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1.1.8.6.3 </w:t>
      </w:r>
      <w:r>
        <w:rPr>
          <w:rFonts w:hint="eastAsia" w:ascii="宋体" w:hAnsi="宋体" w:eastAsia="宋体" w:cs="宋体"/>
          <w:color w:val="auto"/>
          <w:sz w:val="28"/>
          <w:szCs w:val="28"/>
          <w:highlight w:val="none"/>
        </w:rPr>
        <w:t>各区社会主体分析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获取城市社会主体数据，按照区县、主体类别（沿街商铺、小摊小贩、企业单位和社区人员）等维度进行分析，直观展现各区主体分布状况，为城市管理提供数据支撑。</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1.1.8.6.4 </w:t>
      </w:r>
      <w:r>
        <w:rPr>
          <w:rFonts w:hint="eastAsia" w:ascii="宋体" w:hAnsi="宋体" w:eastAsia="宋体" w:cs="宋体"/>
          <w:color w:val="auto"/>
          <w:sz w:val="28"/>
          <w:szCs w:val="28"/>
          <w:highlight w:val="none"/>
        </w:rPr>
        <w:t>执法依据应用统计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对案件数据进行分析，统计案件的执法依据。</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1.1.8.6.5 </w:t>
      </w:r>
      <w:r>
        <w:rPr>
          <w:rFonts w:hint="eastAsia" w:ascii="宋体" w:hAnsi="宋体" w:eastAsia="宋体" w:cs="宋体"/>
          <w:color w:val="auto"/>
          <w:sz w:val="28"/>
          <w:szCs w:val="28"/>
          <w:highlight w:val="none"/>
        </w:rPr>
        <w:t>各月执法案件数量分析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以柱状图的方式展示每月执法程序案件数量，分析一般程序和简易程序案件趋势。</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1.1.8.6.6 </w:t>
      </w:r>
      <w:r>
        <w:rPr>
          <w:rFonts w:hint="eastAsia" w:ascii="宋体" w:hAnsi="宋体" w:eastAsia="宋体" w:cs="宋体"/>
          <w:color w:val="auto"/>
          <w:sz w:val="28"/>
          <w:szCs w:val="28"/>
          <w:highlight w:val="none"/>
        </w:rPr>
        <w:t>各区执法案件数量分析</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以柱状图的方式展示各区县执法程序案件数量，分析一般程序和简易程序案件在各区县的差异情况。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1.1.8.6.7 </w:t>
      </w:r>
      <w:r>
        <w:rPr>
          <w:rFonts w:hint="eastAsia" w:ascii="宋体" w:hAnsi="宋体" w:eastAsia="宋体" w:cs="宋体"/>
          <w:color w:val="auto"/>
          <w:sz w:val="28"/>
          <w:szCs w:val="28"/>
          <w:highlight w:val="none"/>
        </w:rPr>
        <w:t>执法一张图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热力图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以日/月/年三个维度对案件的地理空间分布情况进行聚类，生成案件分布热力图，颜色越深代表问题频发。</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人员地图定位</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在地图上根据人员实时坐标信息，展示人员列表中相应人员的定位点。</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人员轨迹回放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可查看人员在一定时间内的运行轨迹，可选择时间、回放速度、暂停、播放。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案件地图定位</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在地图上根据案件上报坐标信息，展示案件列表中相应案件的定位点。</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1.1.8.6.8 </w:t>
      </w:r>
      <w:r>
        <w:rPr>
          <w:rFonts w:hint="eastAsia" w:ascii="宋体" w:hAnsi="宋体" w:eastAsia="宋体" w:cs="宋体"/>
          <w:color w:val="auto"/>
          <w:sz w:val="28"/>
          <w:szCs w:val="28"/>
          <w:highlight w:val="none"/>
        </w:rPr>
        <w:t>执法力量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执法力量模块用于展示城管执法的参与力量，包括执法机构数量和人员数量，同时可通过统计图展示各执法机构的人员分布及当前执法人员在线情况。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执法人员：以醒目数字展示执法人员的数量，同时通过统计图展示在线人员数量。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执法机构：以醒目数字展示执法机构的数量，同时通过统计图展示各执法机构中的人员数量和当前执法人员在线情况。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1.1.8.6.9 </w:t>
      </w:r>
      <w:r>
        <w:rPr>
          <w:rFonts w:hint="eastAsia" w:ascii="宋体" w:hAnsi="宋体" w:eastAsia="宋体" w:cs="宋体"/>
          <w:color w:val="auto"/>
          <w:sz w:val="28"/>
          <w:szCs w:val="28"/>
          <w:highlight w:val="none"/>
        </w:rPr>
        <w:t>执法事项</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执法事项模块用于展示执法单位所拥有的执法事项数量，包括执法事项的类别数量以及各类别下的具体执法事项数量。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市政公用：展示执法单位关于市政公用的执法事项数量。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园林绿化：展示执法单位关于园林绿化的执法事项数量。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环境保护：展示执法单位关于环境保护的执法事项数量。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工商管理：展示执法单位关于工商管理的执法事项数量。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国土规划：展示执法单位关于国土规划的执法事项数量。</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1.1.8.6.10 </w:t>
      </w:r>
      <w:r>
        <w:rPr>
          <w:rFonts w:hint="eastAsia" w:ascii="宋体" w:hAnsi="宋体" w:eastAsia="宋体" w:cs="宋体"/>
          <w:color w:val="auto"/>
          <w:sz w:val="28"/>
          <w:szCs w:val="28"/>
          <w:highlight w:val="none"/>
        </w:rPr>
        <w:t>监管对象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监管对象模块用于展示执法单位所监管对象的数量，分为个人、商铺、企业、民房、广告等类别。</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个人：展示监管对象为个人的数量。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商铺：展示监管对象为商铺的数量。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企业：展示监管对象为企业的数量。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民房：展示监管对象为民房的数量。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广告：展示监管对象为广告的数量。</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1.1.8.6.11 </w:t>
      </w:r>
      <w:r>
        <w:rPr>
          <w:rFonts w:hint="eastAsia" w:ascii="宋体" w:hAnsi="宋体" w:eastAsia="宋体" w:cs="宋体"/>
          <w:color w:val="auto"/>
          <w:sz w:val="28"/>
          <w:szCs w:val="28"/>
          <w:highlight w:val="none"/>
        </w:rPr>
        <w:t>法律法规</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法律法规模块用于展示系统中录入的法律法规数量，并按类别统计，同时展示从法律法规中拆分出的案由总数。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法律法规：以图表形式分类别以不同颜色展示法律、行政法规、地方性法规、部门规章、政府规章、全部法律法规的数量。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案由：展示录入系统中的法律法规拆分后的案由数量。</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1.1.8.6.12 </w:t>
      </w:r>
      <w:r>
        <w:rPr>
          <w:rFonts w:hint="eastAsia" w:ascii="宋体" w:hAnsi="宋体" w:eastAsia="宋体" w:cs="宋体"/>
          <w:color w:val="auto"/>
          <w:sz w:val="28"/>
          <w:szCs w:val="28"/>
          <w:highlight w:val="none"/>
        </w:rPr>
        <w:t>实时运行</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实时运行模块用于展示城管执法工作的实时运行情况，从数量和地理分布两个方面展示包括单兵、人员、车辆、视频、案件等的实时情况。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单兵情况：展示当前接入的单兵数量。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人员情况：展示当天各类人员的实时在线情况，可以在地图上按照网格查看人员的在线分布情况。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车辆情况：展示当天各类车辆在线工作情况，可以在地图上按照行业类别查看车辆的工作分布情况。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视频情况：展示各类视频资源的分布情况，可以在地图上按照视频来源、视频管控区域查看视频。</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案件情况：以天、月、年三个维度展示各类型案件（执法检查、一般程序、简易程序等）的办理数量，并可在地图展示。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1.1.8.6.13 </w:t>
      </w:r>
      <w:r>
        <w:rPr>
          <w:rFonts w:hint="eastAsia" w:ascii="宋体" w:hAnsi="宋体" w:eastAsia="宋体" w:cs="宋体"/>
          <w:color w:val="auto"/>
          <w:sz w:val="28"/>
          <w:szCs w:val="28"/>
          <w:highlight w:val="none"/>
        </w:rPr>
        <w:t>高发分析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高发分析模块用于展示城市管理问题从时间、空间、问题类型三个维度进行分析，展示其趋势情况。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高发问题：展示当天上报案件的类别高发统计结果，指标包括立案数和结案数。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高发区域：展示当天上报案件的区域（街道、镇分别统计）高发统计结果，指标包括该街道镇所在区的立案、结案数和街道镇的立案、结案数。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高发时段：展示当天上报案件的各时段立案和结案情况。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1.1.8.6.14 </w:t>
      </w:r>
      <w:r>
        <w:rPr>
          <w:rFonts w:hint="eastAsia" w:ascii="宋体" w:hAnsi="宋体" w:eastAsia="宋体" w:cs="宋体"/>
          <w:color w:val="auto"/>
          <w:sz w:val="28"/>
          <w:szCs w:val="28"/>
          <w:highlight w:val="none"/>
        </w:rPr>
        <w:t>趋势分析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趋势分析模块用于展示执法检查、一般程序、简易程序三种类型案卷的发生趋势。</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日趋势：该部分展示执法检查、一般程序、简易程序三种类型案卷以“日”为单位的发生的趋势。</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月趋势：该部分展示执法检查、一般程序、简易程序三种类型案卷以“年”为单位的发生月趋势。</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1.1.8.6.15 </w:t>
      </w:r>
      <w:r>
        <w:rPr>
          <w:rFonts w:hint="eastAsia" w:ascii="宋体" w:hAnsi="宋体" w:eastAsia="宋体" w:cs="宋体"/>
          <w:color w:val="auto"/>
          <w:sz w:val="28"/>
          <w:szCs w:val="28"/>
          <w:highlight w:val="none"/>
        </w:rPr>
        <w:t>机构考核</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机构考核模块用于展示执法机构当月的案件处理情况、巡查情况以及考勤情况。</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案件类型：展示当月各执法机构上报执法检查、简易程序、一般程序的数量；</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巡查距离：展示当月各执法机构巡查距离；</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考勤统计：展示当月各执法机构的考勤情况；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1.1.8.6.16 </w:t>
      </w:r>
      <w:r>
        <w:rPr>
          <w:rFonts w:hint="eastAsia" w:ascii="宋体" w:hAnsi="宋体" w:eastAsia="宋体" w:cs="宋体"/>
          <w:color w:val="auto"/>
          <w:sz w:val="28"/>
          <w:szCs w:val="28"/>
          <w:highlight w:val="none"/>
        </w:rPr>
        <w:t>人员考核</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人员考核模块用于展示执法人员当月的案件处理情况、巡查情况以及考勤情况；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1.1.8.6.17 </w:t>
      </w:r>
      <w:r>
        <w:rPr>
          <w:rFonts w:hint="eastAsia" w:ascii="宋体" w:hAnsi="宋体" w:eastAsia="宋体" w:cs="宋体"/>
          <w:color w:val="auto"/>
          <w:sz w:val="28"/>
          <w:szCs w:val="28"/>
          <w:highlight w:val="none"/>
        </w:rPr>
        <w:t>执法机构</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展示城市管理执法机构信息及机构人员信息，通过树状形式直观展示。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1.1.8.6.18 </w:t>
      </w:r>
      <w:r>
        <w:rPr>
          <w:rFonts w:hint="eastAsia" w:ascii="宋体" w:hAnsi="宋体" w:eastAsia="宋体" w:cs="宋体"/>
          <w:color w:val="auto"/>
          <w:sz w:val="28"/>
          <w:szCs w:val="28"/>
          <w:highlight w:val="none"/>
        </w:rPr>
        <w:t>事件统计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统计系统截止目前累计处理的案件数、已经办结的案件数、未派遣分拨的案件数、部门正在处理的案件数、部门处理完成待核查的案件数。</w:t>
      </w:r>
    </w:p>
    <w:p>
      <w:pPr>
        <w:pStyle w:val="14"/>
        <w:keepNext w:val="0"/>
        <w:keepLines w:val="0"/>
        <w:widowControl/>
        <w:suppressLineNumbers w:val="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ind w:left="0" w:firstLine="0"/>
        <w:outlineLvl w:val="1"/>
        <w:rPr>
          <w:rFonts w:hint="eastAsia" w:ascii="宋体" w:hAnsi="宋体" w:eastAsia="宋体" w:cs="宋体"/>
          <w:color w:val="auto"/>
          <w:highlight w:val="none"/>
        </w:rPr>
      </w:pPr>
      <w:r>
        <w:rPr>
          <w:rFonts w:hint="eastAsia" w:ascii="宋体" w:hAnsi="宋体" w:eastAsia="宋体" w:cs="宋体"/>
          <w:color w:val="auto"/>
          <w:spacing w:val="0"/>
          <w:sz w:val="31"/>
          <w:szCs w:val="31"/>
          <w:highlight w:val="none"/>
        </w:rPr>
        <w:t>1.1.9 </w:t>
      </w:r>
      <w:r>
        <w:rPr>
          <w:rFonts w:hint="eastAsia" w:ascii="宋体" w:hAnsi="宋体" w:eastAsia="宋体" w:cs="宋体"/>
          <w:color w:val="auto"/>
          <w:sz w:val="28"/>
          <w:szCs w:val="28"/>
          <w:highlight w:val="none"/>
        </w:rPr>
        <w:t>城市运行监测系统</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现有e福州综合指挥平台能力，对标《城市运行管理服务平台技术标准》，建设城市运行监测系统，升级构建横向联动“市政、园林、环卫、城管”等多部门、纵向贯穿“市、区县、街镇、社区、网格”五级的事件处置体系，完成城市管理事件的统一预防准备与指挥联动处置，实现对城市管理问题的监测预警、隐患排查、风险评估、预防准备及指挥联动等功能，提升城市管理日常指挥协同及突发事件的事前预警防范能力，事中分析研判、联动指挥能力，事后总结评估能力，提高城市科学化、精细化、智能化管理服务水平，推动实现城市治理体系和治理能力现代化。实现包含监测信息管理、风险管理、监测报警、巡检巡查、风险防控、决策支持、隐患上报与突发事件推送等功能，应对市政设施、房屋建筑、交通设施和人员密集区域等领域的监测分析，及其他专项应用业务需求。</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1.1.9.1 </w:t>
      </w:r>
      <w:r>
        <w:rPr>
          <w:rFonts w:hint="eastAsia" w:ascii="宋体" w:hAnsi="宋体" w:eastAsia="宋体" w:cs="宋体"/>
          <w:color w:val="auto"/>
          <w:sz w:val="28"/>
          <w:szCs w:val="28"/>
          <w:highlight w:val="none"/>
        </w:rPr>
        <w:t>运行监测指标体系</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市政公用设施监测、市容环卫监测、园林绿化监测、城市管理执法监测、城市管理物联感知监测、城市治理态势监测、城市突发事件监测等业务场景的所取得的监测数据，依照各个监测数据对城市运行的影响，分类、分级构建运行监测指标体系，使用户能够快速、精准地了解城市当前的运行的状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1.1.9.2 </w:t>
      </w:r>
      <w:r>
        <w:rPr>
          <w:rFonts w:hint="eastAsia" w:ascii="宋体" w:hAnsi="宋体" w:eastAsia="宋体" w:cs="宋体"/>
          <w:color w:val="auto"/>
          <w:sz w:val="28"/>
          <w:szCs w:val="28"/>
          <w:highlight w:val="none"/>
        </w:rPr>
        <w:t>业务场景监测预警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接获取市政公用、市容环卫、园林绿化、城市管理执法、城市管理物联感知、城市治理态势等方面信息并进行分析实现监测预警。通过对接行业部门物联网设备或物联网管理平台，获取感知监测告警数据及与行业部门城市管理监测数据，结合各个领域训练的预警分析模型。基于地理信息时空平台，建立城市综合运行状态可视化展示视图，为管理者提供一个全面、动态的城市运行仪表盘，及时掌握城市运行各项监测数据信息，实现对城市运行状态监测和预警。</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1.1.9.2.1 </w:t>
      </w:r>
      <w:r>
        <w:rPr>
          <w:rFonts w:hint="eastAsia" w:ascii="宋体" w:hAnsi="宋体" w:eastAsia="宋体" w:cs="宋体"/>
          <w:color w:val="auto"/>
          <w:sz w:val="28"/>
          <w:szCs w:val="28"/>
          <w:highlight w:val="none"/>
        </w:rPr>
        <w:t>风险“一张图”</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汇聚城市运行中的风险信息和隐患信息，通过对数据的智能分析，筛选出重点关注的事件预警，并进行更新。及时发现城市中发生的重点事件概况，通过红、橙、黄、蓝风险一张图形式，展示城市运行风险等级分布和风险点危险源分布等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1.1.9.2.2 </w:t>
      </w:r>
      <w:r>
        <w:rPr>
          <w:rFonts w:hint="eastAsia" w:ascii="宋体" w:hAnsi="宋体" w:eastAsia="宋体" w:cs="宋体"/>
          <w:color w:val="auto"/>
          <w:sz w:val="28"/>
          <w:szCs w:val="28"/>
          <w:highlight w:val="none"/>
        </w:rPr>
        <w:t>市政公用设施监测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道路、下水道、隧道、自来水管网、煤气、天然气、电力管网等基础设施（或称市政设施），是充分发挥城市载体功能的先决条件，也是发挥城市综合功能的基础，是城市经济、科技、社会发展水平高低的重要标志，也是城市防灾、救灾的必要保证。市政基础设施的管理养护工作直接体现城市的管理水平，其对城市人民的生活和城市可持续发展的重要性是不言而喻的。</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1.1.9.2.2.1 </w:t>
      </w:r>
      <w:r>
        <w:rPr>
          <w:rFonts w:hint="eastAsia" w:ascii="宋体" w:hAnsi="宋体" w:eastAsia="宋体" w:cs="宋体"/>
          <w:color w:val="auto"/>
          <w:sz w:val="28"/>
          <w:szCs w:val="28"/>
          <w:highlight w:val="none"/>
        </w:rPr>
        <w:t>市政设施分布监控</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基于地理信息时空平台对市政基础设施资源进行管理，支持分类、分区域查看各类市政设施的分布情况，并进行数量统计。</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1.1.9.2.2.2 </w:t>
      </w:r>
      <w:r>
        <w:rPr>
          <w:rFonts w:hint="eastAsia" w:ascii="宋体" w:hAnsi="宋体" w:eastAsia="宋体" w:cs="宋体"/>
          <w:color w:val="auto"/>
          <w:sz w:val="28"/>
          <w:szCs w:val="28"/>
          <w:highlight w:val="none"/>
        </w:rPr>
        <w:t>市政设施运行监控</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市政设施运行监控实现路灯、供水等市政公用行业设施运行方面的指标数据的综合分析，包括基础设施监测、供水水质监测等信息进行综合展示，将分析结果展现为市政管理“驾驶舱”，作为预测预警或事件处置的依据。包括基础设施监测、供水水质监测。</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1.1.9.2.2.3 </w:t>
      </w:r>
      <w:r>
        <w:rPr>
          <w:rFonts w:hint="eastAsia" w:ascii="宋体" w:hAnsi="宋体" w:eastAsia="宋体" w:cs="宋体"/>
          <w:color w:val="auto"/>
          <w:sz w:val="28"/>
          <w:szCs w:val="28"/>
          <w:highlight w:val="none"/>
        </w:rPr>
        <w:t>市政设施监测预警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将市政各业务安全运行指标数据进行综合展示，动态掌握市政设施实时运行状态，准确地统计任意时间各行业的运行情况，任意时间监测信息的曲线流量图和曲线走势图，预测未来一段时间的运行情况，实现对市政设施运行体征的总体监测和预测预警。</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1.1.9.2.3 </w:t>
      </w:r>
      <w:r>
        <w:rPr>
          <w:rFonts w:hint="eastAsia" w:ascii="宋体" w:hAnsi="宋体" w:eastAsia="宋体" w:cs="宋体"/>
          <w:color w:val="auto"/>
          <w:sz w:val="28"/>
          <w:szCs w:val="28"/>
          <w:highlight w:val="none"/>
        </w:rPr>
        <w:t>市容环卫预警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依托大数据分析技术对汇聚的城市环境卫生管理所涉及到的人、车、物、事数据进行分析预警，用数字评估优化城市环卫管理工作实效；同时，充分依托移动互联技术为市民提供多种便民利民服务，激发市民参与城市管理的热情，打造全民环卫的新型城市管理模式。</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1.1.9.2.3.1 </w:t>
      </w:r>
      <w:r>
        <w:rPr>
          <w:rFonts w:hint="eastAsia" w:ascii="宋体" w:hAnsi="宋体" w:eastAsia="宋体" w:cs="宋体"/>
          <w:color w:val="auto"/>
          <w:sz w:val="28"/>
          <w:szCs w:val="28"/>
          <w:highlight w:val="none"/>
        </w:rPr>
        <w:t>环卫设施分布预警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对接市城管委环卫平台，实现对汇聚的垃圾桶、垃圾收集点、垃圾中转站、公共厕所等环卫设施相关数据进行统计分析，实现监测管理。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1.1.9.2.3.2 </w:t>
      </w:r>
      <w:r>
        <w:rPr>
          <w:rFonts w:hint="eastAsia" w:ascii="宋体" w:hAnsi="宋体" w:eastAsia="宋体" w:cs="宋体"/>
          <w:color w:val="auto"/>
          <w:sz w:val="28"/>
          <w:szCs w:val="28"/>
          <w:highlight w:val="none"/>
        </w:rPr>
        <w:t>环卫车辆预警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对接市城管委相关业务系统有关环卫车辆的数据，实现环卫车辆数据统计分析和预警。</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1.1.9.2.3.3 </w:t>
      </w:r>
      <w:r>
        <w:rPr>
          <w:rFonts w:hint="eastAsia" w:ascii="宋体" w:hAnsi="宋体" w:eastAsia="宋体" w:cs="宋体"/>
          <w:color w:val="auto"/>
          <w:sz w:val="28"/>
          <w:szCs w:val="28"/>
          <w:highlight w:val="none"/>
        </w:rPr>
        <w:t>环卫视频预警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通过视频监控实现对重要环卫设施、重要环卫地点、重要环卫对象的监控预警，及时准确掌握监控对象工作情况。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1.1.9.2.3.4 </w:t>
      </w:r>
      <w:r>
        <w:rPr>
          <w:rFonts w:hint="eastAsia" w:ascii="宋体" w:hAnsi="宋体" w:eastAsia="宋体" w:cs="宋体"/>
          <w:color w:val="auto"/>
          <w:sz w:val="28"/>
          <w:szCs w:val="28"/>
          <w:highlight w:val="none"/>
        </w:rPr>
        <w:t>环卫人员预警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统计分析环卫作业人员信息台账、人员上岗情况等信息，实现异常情况预警。</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1.1.9.2.4 </w:t>
      </w:r>
      <w:r>
        <w:rPr>
          <w:rFonts w:hint="eastAsia" w:ascii="宋体" w:hAnsi="宋体" w:eastAsia="宋体" w:cs="宋体"/>
          <w:color w:val="auto"/>
          <w:sz w:val="28"/>
          <w:szCs w:val="28"/>
          <w:highlight w:val="none"/>
        </w:rPr>
        <w:t>园林绿化预警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通过对接福州市大数据平台，获取市政园林绿化基础数据，进行多维度分析，实现对社区公园、街头游园、郊野公园、绿道绿廊等市政园林设施的设施详情、责任单位、运行情况可视化展示，预警预测。</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1.1.9.2.4.1 </w:t>
      </w:r>
      <w:r>
        <w:rPr>
          <w:rFonts w:hint="eastAsia" w:ascii="宋体" w:hAnsi="宋体" w:eastAsia="宋体" w:cs="宋体"/>
          <w:color w:val="auto"/>
          <w:sz w:val="28"/>
          <w:szCs w:val="28"/>
          <w:highlight w:val="none"/>
        </w:rPr>
        <w:t>公园综合预警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对社区公园、街头游园、郊野公园等市政园林设施情况进行统计分析预警，包括公园数量、公园选址、绿地面积、绿化覆盖率、入园人数等。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1.1.9.2.4.2 </w:t>
      </w:r>
      <w:r>
        <w:rPr>
          <w:rFonts w:hint="eastAsia" w:ascii="宋体" w:hAnsi="宋体" w:eastAsia="宋体" w:cs="宋体"/>
          <w:color w:val="auto"/>
          <w:sz w:val="28"/>
          <w:szCs w:val="28"/>
          <w:highlight w:val="none"/>
        </w:rPr>
        <w:t>违法建设预警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针对绿线范围违法建设、绿地系统规划实施和古树名木保护等情况进行统计分析预警。</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1.1.9.2.4.3 </w:t>
      </w:r>
      <w:r>
        <w:rPr>
          <w:rFonts w:hint="eastAsia" w:ascii="宋体" w:hAnsi="宋体" w:eastAsia="宋体" w:cs="宋体"/>
          <w:color w:val="auto"/>
          <w:sz w:val="28"/>
          <w:szCs w:val="28"/>
          <w:highlight w:val="none"/>
        </w:rPr>
        <w:t>园林养护监测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将养护地块作为园林养护管理基本单元，将所有的养护地块精准上图，支持查看养护地块的问题汇总、作业情况等。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1.1.9.2.4.4 </w:t>
      </w:r>
      <w:r>
        <w:rPr>
          <w:rFonts w:hint="eastAsia" w:ascii="宋体" w:hAnsi="宋体" w:eastAsia="宋体" w:cs="宋体"/>
          <w:color w:val="auto"/>
          <w:sz w:val="28"/>
          <w:szCs w:val="28"/>
          <w:highlight w:val="none"/>
        </w:rPr>
        <w:t>园林事件监测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整合日常巡查、领导批示、媒体曝光、公众举报等多种园林事件发现渠道，全面掌握园林事件发生情况，提高城市园林绿化监管水平。</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1.1.9.2.5 </w:t>
      </w:r>
      <w:r>
        <w:rPr>
          <w:rFonts w:hint="eastAsia" w:ascii="宋体" w:hAnsi="宋体" w:eastAsia="宋体" w:cs="宋体"/>
          <w:color w:val="auto"/>
          <w:sz w:val="28"/>
          <w:szCs w:val="28"/>
          <w:highlight w:val="none"/>
        </w:rPr>
        <w:t>城市管理执法监测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对接城管执法相关业务平台，建立上下联动、横向贯通的城市综合执法业务监测预警应用，实现执法人员、渣土车、两违整治、街面停车等专项问题的监测预警管理。助力落实高效的日常巡检防控与调度指挥有机结合的信息化处理机制，实现执法流程全环闭、指挥调度全时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1.1.9.2.5.1 </w:t>
      </w:r>
      <w:r>
        <w:rPr>
          <w:rFonts w:hint="eastAsia" w:ascii="宋体" w:hAnsi="宋体" w:eastAsia="宋体" w:cs="宋体"/>
          <w:color w:val="auto"/>
          <w:sz w:val="28"/>
          <w:szCs w:val="28"/>
          <w:highlight w:val="none"/>
        </w:rPr>
        <w:t>视频监测预警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福州市时空信息平台获取全市布控的移动点视频监控，方便工作人员在处理问题时可以调用视频显示现场周边情况，及时准确的掌握所监视路口、路段周围的市政、交通、治安、违章停车等情况，为指挥判断提供迅速直观的信息，从而对各类问题作出准确判断并及时响应。</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1.1.9.2.5.2 </w:t>
      </w:r>
      <w:r>
        <w:rPr>
          <w:rFonts w:hint="eastAsia" w:ascii="宋体" w:hAnsi="宋体" w:eastAsia="宋体" w:cs="宋体"/>
          <w:color w:val="auto"/>
          <w:sz w:val="28"/>
          <w:szCs w:val="28"/>
          <w:highlight w:val="none"/>
        </w:rPr>
        <w:t>移动执法处置监控</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执法人员需要对现场取证时，在通过移动终端的拍照、摄像功能，拍摄照片、录像、并制作现场勘验记录，同时对证据上传到后台进行监测。</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1.1.9.2.5.3 </w:t>
      </w:r>
      <w:r>
        <w:rPr>
          <w:rFonts w:hint="eastAsia" w:ascii="宋体" w:hAnsi="宋体" w:eastAsia="宋体" w:cs="宋体"/>
          <w:color w:val="auto"/>
          <w:sz w:val="28"/>
          <w:szCs w:val="28"/>
          <w:highlight w:val="none"/>
        </w:rPr>
        <w:t>执法处置督查监控</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通过对执法处置进行督查管理，及时发现执法过程中存在的问题并及时进行改进和优化，与执法形成完整的闭环，促进整个执法工作能够健康运行。</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1.1.9.2.5.4 </w:t>
      </w:r>
      <w:r>
        <w:rPr>
          <w:rFonts w:hint="eastAsia" w:ascii="宋体" w:hAnsi="宋体" w:eastAsia="宋体" w:cs="宋体"/>
          <w:color w:val="auto"/>
          <w:sz w:val="28"/>
          <w:szCs w:val="28"/>
          <w:highlight w:val="none"/>
        </w:rPr>
        <w:t>执法车辆监控</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执法车辆监控管理实现对装有GPS车载终端的执法车辆等进行定位监控和管理，并结合GIS地理信息系统，实现对车辆的空间可视化管理。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1.1.9.2.5.5 </w:t>
      </w:r>
      <w:r>
        <w:rPr>
          <w:rFonts w:hint="eastAsia" w:ascii="宋体" w:hAnsi="宋体" w:eastAsia="宋体" w:cs="宋体"/>
          <w:color w:val="auto"/>
          <w:sz w:val="28"/>
          <w:szCs w:val="28"/>
          <w:highlight w:val="none"/>
        </w:rPr>
        <w:t>事件上报来源感知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展现福州市城市治理事件整体情况的态势监测与预警，用户可查看各类城市治理事件的上报情况。支持用户查询操作，用户可手动选择监测阶段，检索查询对应阶段的城市治理事件详情。</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1.1.9.2.5.6 </w:t>
      </w:r>
      <w:r>
        <w:rPr>
          <w:rFonts w:hint="eastAsia" w:ascii="宋体" w:hAnsi="宋体" w:eastAsia="宋体" w:cs="宋体"/>
          <w:color w:val="auto"/>
          <w:sz w:val="28"/>
          <w:szCs w:val="28"/>
          <w:highlight w:val="none"/>
        </w:rPr>
        <w:t>部门处置情况感知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为相关人员提供城市治理事件的部门整体处置情况。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1.1.9.2.6 </w:t>
      </w:r>
      <w:r>
        <w:rPr>
          <w:rFonts w:hint="eastAsia" w:ascii="宋体" w:hAnsi="宋体" w:eastAsia="宋体" w:cs="宋体"/>
          <w:color w:val="auto"/>
          <w:sz w:val="28"/>
          <w:szCs w:val="28"/>
          <w:highlight w:val="none"/>
        </w:rPr>
        <w:t>城市管理物联感知监测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现有福州市物联感知设备，对接获取各类物联感知数据，实时监测城市每个角落的运行状态。通过获取的“神经元”感知数据，实现对城市管理各个部件的实时监测预警，及时告警城市可能发生的问题和隐患。</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1.1.9.2.6.1 </w:t>
      </w:r>
      <w:r>
        <w:rPr>
          <w:rFonts w:hint="eastAsia" w:ascii="宋体" w:hAnsi="宋体" w:eastAsia="宋体" w:cs="宋体"/>
          <w:color w:val="auto"/>
          <w:sz w:val="28"/>
          <w:szCs w:val="28"/>
          <w:highlight w:val="none"/>
        </w:rPr>
        <w:t>井盖安全监测预警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对接现有福州市物联设备感知平台相关感知数据，实现对井盖各种异常状态的报警。</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1.1.9.2.6.2 </w:t>
      </w:r>
      <w:r>
        <w:rPr>
          <w:rFonts w:hint="eastAsia" w:ascii="宋体" w:hAnsi="宋体" w:eastAsia="宋体" w:cs="宋体"/>
          <w:color w:val="auto"/>
          <w:sz w:val="28"/>
          <w:szCs w:val="28"/>
          <w:highlight w:val="none"/>
        </w:rPr>
        <w:t>城市内涝监测预警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与福州市联排联调中心、排水公司、防汛办等信息系统对接，实现对城市防汛排涝的综合监测，助力各信息系统全面掌握城市排水现状、及时采取防汛排涝措施，实现对城市内涝的全方位监控和全局化调度管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1.1.9.2.6.3 </w:t>
      </w:r>
      <w:r>
        <w:rPr>
          <w:rFonts w:hint="eastAsia" w:ascii="宋体" w:hAnsi="宋体" w:eastAsia="宋体" w:cs="宋体"/>
          <w:color w:val="auto"/>
          <w:sz w:val="28"/>
          <w:szCs w:val="28"/>
          <w:highlight w:val="none"/>
        </w:rPr>
        <w:t>噪声环境监测预警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对接重点区域、重点场所的噪音监测平台，通过监测软件设置的告警阈值，实现对各类噪音告警数据的在线监测。</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1.1.9.2.6.4 </w:t>
      </w:r>
      <w:r>
        <w:rPr>
          <w:rFonts w:hint="eastAsia" w:ascii="宋体" w:hAnsi="宋体" w:eastAsia="宋体" w:cs="宋体"/>
          <w:color w:val="auto"/>
          <w:sz w:val="28"/>
          <w:szCs w:val="28"/>
          <w:highlight w:val="none"/>
        </w:rPr>
        <w:t>渣土运输车辆监测预警</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对接渣土运输车辆信息系统，用户可在GIS地图上直接查看渣土车的实时位置、运行状态，点击图标可查看车辆的基本信息，并能查看到历史运行轨迹回放。用户也可以在地图上直接选定特定区域，查找区域范围内的重点监测目标。</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1.1.9.2.7 </w:t>
      </w:r>
      <w:r>
        <w:rPr>
          <w:rFonts w:hint="eastAsia" w:ascii="宋体" w:hAnsi="宋体" w:eastAsia="宋体" w:cs="宋体"/>
          <w:color w:val="auto"/>
          <w:sz w:val="28"/>
          <w:szCs w:val="28"/>
          <w:highlight w:val="none"/>
        </w:rPr>
        <w:t>城市突发事件监测</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利用e福州综合指挥平台应急风险监测数据，与福建省应急综合管理平台对接，实现城市运行各个专业领域城市突发事件的整体态势监测预警管理。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1.1.9.3 </w:t>
      </w:r>
      <w:r>
        <w:rPr>
          <w:rFonts w:hint="eastAsia" w:ascii="宋体" w:hAnsi="宋体" w:eastAsia="宋体" w:cs="宋体"/>
          <w:color w:val="auto"/>
          <w:sz w:val="28"/>
          <w:szCs w:val="28"/>
          <w:highlight w:val="none"/>
        </w:rPr>
        <w:t>运行监测综合分析</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1.1.9.3.1 </w:t>
      </w:r>
      <w:r>
        <w:rPr>
          <w:rFonts w:hint="eastAsia" w:ascii="宋体" w:hAnsi="宋体" w:eastAsia="宋体" w:cs="宋体"/>
          <w:color w:val="auto"/>
          <w:sz w:val="28"/>
          <w:szCs w:val="28"/>
          <w:highlight w:val="none"/>
        </w:rPr>
        <w:t>市政公用设施监测分析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建立市政行业数据仓库和数据分析挖掘模型，基于大数据分析引擎和分布式海量数据挖掘技术，对全市市政信息进行多维分析和深度挖掘，为市政行业安全提供数据支持。</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1.1.9.3.2 </w:t>
      </w:r>
      <w:r>
        <w:rPr>
          <w:rFonts w:hint="eastAsia" w:ascii="宋体" w:hAnsi="宋体" w:eastAsia="宋体" w:cs="宋体"/>
          <w:color w:val="auto"/>
          <w:sz w:val="28"/>
          <w:szCs w:val="28"/>
          <w:highlight w:val="none"/>
        </w:rPr>
        <w:t>市容环卫监测分析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实现对于市容环卫监测各类数据信息进行智能化汇总和分析，制成数字和图形报表，用柱状图和饼状图来显示一目了然、突出重点、全盘分析。</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1.1.9.3.3 </w:t>
      </w:r>
      <w:r>
        <w:rPr>
          <w:rFonts w:hint="eastAsia" w:ascii="宋体" w:hAnsi="宋体" w:eastAsia="宋体" w:cs="宋体"/>
          <w:color w:val="auto"/>
          <w:sz w:val="28"/>
          <w:szCs w:val="28"/>
          <w:highlight w:val="none"/>
        </w:rPr>
        <w:t>园林绿化监测分析</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1.1.9.3.3.1 </w:t>
      </w:r>
      <w:r>
        <w:rPr>
          <w:rFonts w:hint="eastAsia" w:ascii="宋体" w:hAnsi="宋体" w:eastAsia="宋体" w:cs="宋体"/>
          <w:color w:val="auto"/>
          <w:sz w:val="28"/>
          <w:szCs w:val="28"/>
          <w:highlight w:val="none"/>
        </w:rPr>
        <w:t>园林绿化综合分析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园林绿化综合分析是依据园林景点、风景名胜区、城镇绿地、古树名木等综合数据，利用数据搜索和数据挖掘技术，实现园林绿化的查询、统计、分析、综合评价等功能。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1.1.9.3.3.2 </w:t>
      </w:r>
      <w:r>
        <w:rPr>
          <w:rFonts w:hint="eastAsia" w:ascii="宋体" w:hAnsi="宋体" w:eastAsia="宋体" w:cs="宋体"/>
          <w:color w:val="auto"/>
          <w:sz w:val="28"/>
          <w:szCs w:val="28"/>
          <w:highlight w:val="none"/>
        </w:rPr>
        <w:t>园林智能决策分析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基于园林基础数据，提供对园林绿化的多维度决策分析，为园林绿化管理工作的信息化、标准化、动态化提供分析支撑，为城市管理领导决策提供辅助支持。</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1.1.9.3.4 </w:t>
      </w:r>
      <w:r>
        <w:rPr>
          <w:rFonts w:hint="eastAsia" w:ascii="宋体" w:hAnsi="宋体" w:eastAsia="宋体" w:cs="宋体"/>
          <w:color w:val="auto"/>
          <w:sz w:val="28"/>
          <w:szCs w:val="28"/>
          <w:highlight w:val="none"/>
        </w:rPr>
        <w:t>城市管理执法监测分析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执法监督考核通过集成综合执法应用平台相关业务系统内各种功能与信息，协助用户掌握全市综合执法各类实时动态信息与业务管理资源信息。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1.1.9.3.4.1 </w:t>
      </w:r>
      <w:r>
        <w:rPr>
          <w:rFonts w:hint="eastAsia" w:ascii="宋体" w:hAnsi="宋体" w:eastAsia="宋体" w:cs="宋体"/>
          <w:color w:val="auto"/>
          <w:sz w:val="28"/>
          <w:szCs w:val="28"/>
          <w:highlight w:val="none"/>
        </w:rPr>
        <w:t>执法情况分析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执法情况分析包括执法队伍/执法人员/在线人员统计情况、执法业务流程统计情况、高发分析、趋势分析等功能。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1.1.9.3.4.2 </w:t>
      </w:r>
      <w:r>
        <w:rPr>
          <w:rFonts w:hint="eastAsia" w:ascii="宋体" w:hAnsi="宋体" w:eastAsia="宋体" w:cs="宋体"/>
          <w:color w:val="auto"/>
          <w:sz w:val="28"/>
          <w:szCs w:val="28"/>
          <w:highlight w:val="none"/>
        </w:rPr>
        <w:t>执法在线分析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执法在线分析功能包括在线人员实时位置展示、在线人员列表展示、在线人员详情信息展示、全部人员列表展示等功能。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1.1.9.3.4.3 </w:t>
      </w:r>
      <w:r>
        <w:rPr>
          <w:rFonts w:hint="eastAsia" w:ascii="宋体" w:hAnsi="宋体" w:eastAsia="宋体" w:cs="宋体"/>
          <w:color w:val="auto"/>
          <w:sz w:val="28"/>
          <w:szCs w:val="28"/>
          <w:highlight w:val="none"/>
        </w:rPr>
        <w:t>案件流程分析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案件流程分析实现案件检索、案件列表、案件详情信息查看等功能。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1.1.9.3.4.4 </w:t>
      </w:r>
      <w:r>
        <w:rPr>
          <w:rFonts w:hint="eastAsia" w:ascii="宋体" w:hAnsi="宋体" w:eastAsia="宋体" w:cs="宋体"/>
          <w:color w:val="auto"/>
          <w:sz w:val="28"/>
          <w:szCs w:val="28"/>
          <w:highlight w:val="none"/>
        </w:rPr>
        <w:t>执法队伍分析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执法队伍分析实现执法机构在编人员数量统计、执法机构处罚案件总数统计、执法机构案件总数、执法人员基础信息展示等功能。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1.1.9.3.4.5 </w:t>
      </w:r>
      <w:r>
        <w:rPr>
          <w:rFonts w:hint="eastAsia" w:ascii="宋体" w:hAnsi="宋体" w:eastAsia="宋体" w:cs="宋体"/>
          <w:color w:val="auto"/>
          <w:sz w:val="28"/>
          <w:szCs w:val="28"/>
          <w:highlight w:val="none"/>
        </w:rPr>
        <w:t>事件受理趋势分析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统计图表、分布图、关系图、空间统计图、空间分布图、空间关系图等多种数据分析图表，展现部门办件受理趋势，以多种维度（每日、每周、每月）统计事件的受理数量及增长趋势，实现多种渠道上报来源的监测分析，为用户决策研判提供全面的数据支持。</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1.1.9.3.4.6 </w:t>
      </w:r>
      <w:r>
        <w:rPr>
          <w:rFonts w:hint="eastAsia" w:ascii="宋体" w:hAnsi="宋体" w:eastAsia="宋体" w:cs="宋体"/>
          <w:color w:val="auto"/>
          <w:sz w:val="28"/>
          <w:szCs w:val="28"/>
          <w:highlight w:val="none"/>
        </w:rPr>
        <w:t>事件类型分布统计</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统计图表、分布图、关系图、空间统计图、空间分布图、空间关系图等多种数据分析图表，整体展示各大类型的城市治理事件的分布情况，为领导直观的呈现城市治理事件的主要类型与高发区域，提供辅助决策支持。</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1.1.9.3.4.7 </w:t>
      </w:r>
      <w:r>
        <w:rPr>
          <w:rFonts w:hint="eastAsia" w:ascii="宋体" w:hAnsi="宋体" w:eastAsia="宋体" w:cs="宋体"/>
          <w:color w:val="auto"/>
          <w:sz w:val="28"/>
          <w:szCs w:val="28"/>
          <w:highlight w:val="none"/>
        </w:rPr>
        <w:t>事件区域分布展示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统计图表、分布图、关系图、空间统计图、空间分布图、空间关系图等多种数据分析图表，整体展示各个区县、街道城市治理事件受理/办理数量，同时分析展示各个区县、街道城市治理事件的办理及时率与办结率等指标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1.1.9.3.5 </w:t>
      </w:r>
      <w:r>
        <w:rPr>
          <w:rFonts w:hint="eastAsia" w:ascii="宋体" w:hAnsi="宋体" w:eastAsia="宋体" w:cs="宋体"/>
          <w:color w:val="auto"/>
          <w:sz w:val="28"/>
          <w:szCs w:val="28"/>
          <w:highlight w:val="none"/>
        </w:rPr>
        <w:t>城市管理物联感知监测分析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汇聚城市物联网感知设备所取得的井盖信息、内涝信息、噪声在线监测信息，呈现物联网感知设备所取得的相关信息。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1.1.9.3.5.1 </w:t>
      </w:r>
      <w:r>
        <w:rPr>
          <w:rFonts w:hint="eastAsia" w:ascii="宋体" w:hAnsi="宋体" w:eastAsia="宋体" w:cs="宋体"/>
          <w:color w:val="auto"/>
          <w:sz w:val="28"/>
          <w:szCs w:val="28"/>
          <w:highlight w:val="none"/>
        </w:rPr>
        <w:t>井盖监测分析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针对井盖的破损、被盗、重压、井下水位过高等事故损失进行分析，为井盖管理工作提供依据。</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1.1.9.3.5.2 </w:t>
      </w:r>
      <w:r>
        <w:rPr>
          <w:rFonts w:hint="eastAsia" w:ascii="宋体" w:hAnsi="宋体" w:eastAsia="宋体" w:cs="宋体"/>
          <w:color w:val="auto"/>
          <w:sz w:val="28"/>
          <w:szCs w:val="28"/>
          <w:highlight w:val="none"/>
        </w:rPr>
        <w:t>内涝监测分析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基于与福州市联排联调中心、排水公司、防汛办等信息系统对接数据，针对排涝运行中的各项指标集中分析，提供历史数据查询及多个安全指标数据对比的功能。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1.1.9.3.5.3 </w:t>
      </w:r>
      <w:r>
        <w:rPr>
          <w:rFonts w:hint="eastAsia" w:ascii="宋体" w:hAnsi="宋体" w:eastAsia="宋体" w:cs="宋体"/>
          <w:color w:val="auto"/>
          <w:sz w:val="28"/>
          <w:szCs w:val="28"/>
          <w:highlight w:val="none"/>
        </w:rPr>
        <w:t>噪声污染监测分析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针对施工现场进行噪声污染数据分析。</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1.1.9.3.5.4 </w:t>
      </w:r>
      <w:r>
        <w:rPr>
          <w:rFonts w:hint="eastAsia" w:ascii="宋体" w:hAnsi="宋体" w:eastAsia="宋体" w:cs="宋体"/>
          <w:color w:val="auto"/>
          <w:sz w:val="28"/>
          <w:szCs w:val="28"/>
          <w:highlight w:val="none"/>
        </w:rPr>
        <w:t>渣土运输车辆运行分析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通过渣土车的实时及历史数据，进行车辆运行分析，便于车辆运行管理。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1.1.9.3.6 </w:t>
      </w:r>
      <w:r>
        <w:rPr>
          <w:rFonts w:hint="eastAsia" w:ascii="宋体" w:hAnsi="宋体" w:eastAsia="宋体" w:cs="宋体"/>
          <w:color w:val="auto"/>
          <w:sz w:val="28"/>
          <w:szCs w:val="28"/>
          <w:highlight w:val="none"/>
        </w:rPr>
        <w:t>城市突发事件监测分析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提供统计图表、分布图、关系图、空间统计图、空间分布图、空间关系图等多种数据分析图表，整体展示各类突发事件的数量，同时分析展示各类事件的数量变化趋势。</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1.1.9.3.7 </w:t>
      </w:r>
      <w:r>
        <w:rPr>
          <w:rFonts w:hint="eastAsia" w:ascii="宋体" w:hAnsi="宋体" w:eastAsia="宋体" w:cs="宋体"/>
          <w:color w:val="auto"/>
          <w:sz w:val="28"/>
          <w:szCs w:val="28"/>
          <w:highlight w:val="none"/>
        </w:rPr>
        <w:t>食品安全专题分析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对食品安全事故的事故类型、影响范围、预案处置流程和现场情况进行多维度分析，以GIS和分析图表结合的方式进行可视化展示。</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1.1.9.4 </w:t>
      </w:r>
      <w:r>
        <w:rPr>
          <w:rFonts w:hint="eastAsia" w:ascii="宋体" w:hAnsi="宋体" w:eastAsia="宋体" w:cs="宋体"/>
          <w:color w:val="auto"/>
          <w:sz w:val="28"/>
          <w:szCs w:val="28"/>
          <w:highlight w:val="none"/>
        </w:rPr>
        <w:t>监测信息管理</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1.1.9.4.1 </w:t>
      </w:r>
      <w:r>
        <w:rPr>
          <w:rFonts w:hint="eastAsia" w:ascii="宋体" w:hAnsi="宋体" w:eastAsia="宋体" w:cs="宋体"/>
          <w:color w:val="auto"/>
          <w:sz w:val="28"/>
          <w:szCs w:val="28"/>
          <w:highlight w:val="none"/>
        </w:rPr>
        <w:t>监测信息分类管理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实现对各业务场景获取的信息资源分级、分类进行整理，形成统一的监测信息目录，为监测预警、综合分析、信息查询等功能提供服务，方便信息资源的检索、定位、获取、加工。</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1.1.9.4.2 </w:t>
      </w:r>
      <w:r>
        <w:rPr>
          <w:rFonts w:hint="eastAsia" w:ascii="宋体" w:hAnsi="宋体" w:eastAsia="宋体" w:cs="宋体"/>
          <w:color w:val="auto"/>
          <w:sz w:val="28"/>
          <w:szCs w:val="28"/>
          <w:highlight w:val="none"/>
        </w:rPr>
        <w:t>监测信息更新维护</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为保持数据的现势性，平台提供按区域、按类别的数据动态更新。</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1.1.9.4.3 </w:t>
      </w:r>
      <w:r>
        <w:rPr>
          <w:rFonts w:hint="eastAsia" w:ascii="宋体" w:hAnsi="宋体" w:eastAsia="宋体" w:cs="宋体"/>
          <w:color w:val="auto"/>
          <w:sz w:val="28"/>
          <w:szCs w:val="28"/>
          <w:highlight w:val="none"/>
        </w:rPr>
        <w:t>监测信息详情</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汇聚的行业应用数据，实现对监测信息进行关联整理，通过分类标签可调用相关业务数据详细信息。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1.1.9.4.4 </w:t>
      </w:r>
      <w:r>
        <w:rPr>
          <w:rFonts w:hint="eastAsia" w:ascii="宋体" w:hAnsi="宋体" w:eastAsia="宋体" w:cs="宋体"/>
          <w:color w:val="auto"/>
          <w:sz w:val="28"/>
          <w:szCs w:val="28"/>
          <w:highlight w:val="none"/>
        </w:rPr>
        <w:t>监测信息综合查询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基于已归集汇聚行业应用数据，可以按区域、行业进行查询，也可以输入关键字进行查询，同时可以对预警信息、统计分析等进行多维度查询。</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30"/>
          <w:szCs w:val="30"/>
          <w:highlight w:val="none"/>
        </w:rPr>
        <w:t>1.1.9.5 </w:t>
      </w:r>
      <w:r>
        <w:rPr>
          <w:rFonts w:hint="eastAsia" w:ascii="宋体" w:hAnsi="宋体" w:eastAsia="宋体" w:cs="宋体"/>
          <w:color w:val="auto"/>
          <w:sz w:val="28"/>
          <w:szCs w:val="28"/>
          <w:highlight w:val="none"/>
        </w:rPr>
        <w:t>风险排查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排查整治流程为干线，快速排查和复查风险隐患情况；对隐患排查整治信息及时、有效地进行跟踪、整改，并将统计数据及时上报，形成各级政府、监管职能部门、社区协同工作的“群防群控”应用体系。完整保存隐患排查治理流程中所有过程记录和图片、音频、视频等附件资料，通过网络进行流转，实现信息传递的零延误，打破办公空间限制，用户可以实现随时随地进行风险排查管理工作，大大提高了风险隐患信息获取和处理的及时性。具备接收城市运行风险和隐患信息、出现突发事件时发送相关预警和应急疏散信息等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1.1.9.5.1 </w:t>
      </w:r>
      <w:r>
        <w:rPr>
          <w:rFonts w:hint="eastAsia" w:ascii="宋体" w:hAnsi="宋体" w:eastAsia="宋体" w:cs="宋体"/>
          <w:color w:val="auto"/>
          <w:sz w:val="28"/>
          <w:szCs w:val="28"/>
          <w:highlight w:val="none"/>
        </w:rPr>
        <w:t>巡查检查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城市运行监测对象所涉及的运行安全事项进行分级分类管理，制定巡查和检查计划，并通过移动端应用程序对运行安全事项进行日常巡查和技术检查，将发现的安全风险隐患问题进行及时上报，并进行排查态势分析。</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1.1.9.5.1.1 </w:t>
      </w:r>
      <w:r>
        <w:rPr>
          <w:rFonts w:hint="eastAsia" w:ascii="宋体" w:hAnsi="宋体" w:eastAsia="宋体" w:cs="宋体"/>
          <w:color w:val="auto"/>
          <w:sz w:val="28"/>
          <w:szCs w:val="28"/>
          <w:highlight w:val="none"/>
        </w:rPr>
        <w:t>隐患上报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城市管理相关部门应建立隐患自查自纠制度，明确排查主体，构建检查体系，明确各项检查要素的检查主体和监督主体强化日常安全检查的基础作用，定期组织本单位相关人员按照隐患排查制度排查城市风险隐患事件，对排查出的事件/问题隐患进行登记，并通过系统向监管部门上报，上报过程中可根据上级要求选定重点隐患（初步设定为一段时间内前十大隐患，部门自行评定）上报至上级部门，上级部门对下级部门上报重点隐患信息可查看并选择督办。</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1.1.9.5.1.1.1 </w:t>
      </w:r>
      <w:r>
        <w:rPr>
          <w:rStyle w:val="17"/>
          <w:rFonts w:hint="eastAsia" w:ascii="宋体" w:hAnsi="宋体" w:eastAsia="宋体" w:cs="宋体"/>
          <w:color w:val="auto"/>
          <w:sz w:val="28"/>
          <w:szCs w:val="28"/>
          <w:highlight w:val="none"/>
        </w:rPr>
        <w:t>隐患信息登记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实现各个监管部门的风险隐患排查登记管理功能，将排查出的各类风险隐患统计归档。</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1.1.9.5.1.1.2 </w:t>
      </w:r>
      <w:r>
        <w:rPr>
          <w:rStyle w:val="17"/>
          <w:rFonts w:hint="eastAsia" w:ascii="宋体" w:hAnsi="宋体" w:eastAsia="宋体" w:cs="宋体"/>
          <w:color w:val="auto"/>
          <w:sz w:val="28"/>
          <w:szCs w:val="28"/>
          <w:highlight w:val="none"/>
        </w:rPr>
        <w:t>现场拍照上传</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支持安全隐患信息登记的现场图片上传管理功能，支持直接拍照上传或选择手机存储图片等方式上传。</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1.1.9.5.1.2 </w:t>
      </w:r>
      <w:r>
        <w:rPr>
          <w:rFonts w:hint="eastAsia" w:ascii="宋体" w:hAnsi="宋体" w:eastAsia="宋体" w:cs="宋体"/>
          <w:color w:val="auto"/>
          <w:sz w:val="28"/>
          <w:szCs w:val="28"/>
          <w:highlight w:val="none"/>
        </w:rPr>
        <w:t>排查记录管理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提供管理人员对各单位上报的隐患排查结果进行查看，以列表形式进行展示，用户可以通过类型、单位等字段对信息进行快速筛选。</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1.1.9.5.2 </w:t>
      </w:r>
      <w:r>
        <w:rPr>
          <w:rFonts w:hint="eastAsia" w:ascii="宋体" w:hAnsi="宋体" w:eastAsia="宋体" w:cs="宋体"/>
          <w:color w:val="auto"/>
          <w:sz w:val="28"/>
          <w:szCs w:val="28"/>
          <w:highlight w:val="none"/>
        </w:rPr>
        <w:t>排查情况分析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为了提高城市管理的效率，及时排查城市管理对象的运行异常情况，实现日常城市各个类别的隐患排查治理流程化管理功能。基于GIS平台，在电子地图上叠加展示各隐患排查情况及发现隐患情况，便于用户了解本辖区隐患排查的整体态势。</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1.1.9.5.2.1 </w:t>
      </w:r>
      <w:r>
        <w:rPr>
          <w:rFonts w:hint="eastAsia" w:ascii="宋体" w:hAnsi="宋体" w:eastAsia="宋体" w:cs="宋体"/>
          <w:color w:val="auto"/>
          <w:sz w:val="28"/>
          <w:szCs w:val="28"/>
          <w:highlight w:val="none"/>
        </w:rPr>
        <w:t>排查分析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以统计图表的方式展示各社区各类风险隐患的排查率、整改率情况以及不同隐患等级的数量及占比情况。</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1.1.9.5.2.2 </w:t>
      </w:r>
      <w:r>
        <w:rPr>
          <w:rFonts w:hint="eastAsia" w:ascii="宋体" w:hAnsi="宋体" w:eastAsia="宋体" w:cs="宋体"/>
          <w:color w:val="auto"/>
          <w:sz w:val="28"/>
          <w:szCs w:val="28"/>
          <w:highlight w:val="none"/>
        </w:rPr>
        <w:t>排查列表</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选择风险隐患的所处状态，系统将以列表的方式展示各类风险隐患的详细信息。并支持列表和GIS地图关联互动，通过列表信息能快速定位到GIS地图，方便对关注隐患所在位置进行快速定位，并辅助对周边进行综合判断。</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1.1.9.5.3 </w:t>
      </w:r>
      <w:r>
        <w:rPr>
          <w:rFonts w:hint="eastAsia" w:ascii="宋体" w:hAnsi="宋体" w:eastAsia="宋体" w:cs="宋体"/>
          <w:color w:val="auto"/>
          <w:sz w:val="28"/>
          <w:szCs w:val="28"/>
          <w:highlight w:val="none"/>
        </w:rPr>
        <w:t>隐患态势分析</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1.1.9.5.3.1 </w:t>
      </w:r>
      <w:r>
        <w:rPr>
          <w:rFonts w:hint="eastAsia" w:ascii="宋体" w:hAnsi="宋体" w:eastAsia="宋体" w:cs="宋体"/>
          <w:color w:val="auto"/>
          <w:sz w:val="28"/>
          <w:szCs w:val="28"/>
          <w:highlight w:val="none"/>
        </w:rPr>
        <w:t>隐患统计汇总</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按照分级分类标准建立风险隐患台帐，多维度分析统计风险隐患信息，利用地理信息GIS系统等绘制出直观可视的主要风险隐患分布图和资源储备分布图。</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1.1.9.5.3.2 </w:t>
      </w:r>
      <w:r>
        <w:rPr>
          <w:rFonts w:hint="eastAsia" w:ascii="宋体" w:hAnsi="宋体" w:eastAsia="宋体" w:cs="宋体"/>
          <w:color w:val="auto"/>
          <w:sz w:val="28"/>
          <w:szCs w:val="28"/>
          <w:highlight w:val="none"/>
        </w:rPr>
        <w:t>隐患态势分析</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实现对安全风险隐患问题治理进行统计分析，通过同比、环比进行分析了解风险隐患发展趋势，同时针对隐患治理的情况进行分析，掌握其中的变化趋势。</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color w:val="auto"/>
          <w:spacing w:val="0"/>
          <w:sz w:val="28"/>
          <w:szCs w:val="28"/>
          <w:highlight w:val="none"/>
        </w:rPr>
        <w:t>1.1.9.5.4 </w:t>
      </w:r>
      <w:r>
        <w:rPr>
          <w:rFonts w:hint="eastAsia" w:ascii="宋体" w:hAnsi="宋体" w:eastAsia="宋体" w:cs="宋体"/>
          <w:color w:val="auto"/>
          <w:sz w:val="28"/>
          <w:szCs w:val="28"/>
          <w:highlight w:val="none"/>
        </w:rPr>
        <w:t>隐患治理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巡查检查上报的安全风险隐患问题进行闭环化管理，按相关技术标准，制定治理方案和计划，下达治理任务，跟踪督办治理情况，并对治理结果进行审查验收等功能；宜通过大数据手段建立各类城市运行监测对象的安全风险隐患持续改进和预防机制。</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1.1.9.5.4.1 </w:t>
      </w:r>
      <w:r>
        <w:rPr>
          <w:rFonts w:hint="eastAsia" w:ascii="宋体" w:hAnsi="宋体" w:eastAsia="宋体" w:cs="宋体"/>
          <w:color w:val="auto"/>
          <w:sz w:val="28"/>
          <w:szCs w:val="28"/>
          <w:highlight w:val="none"/>
        </w:rPr>
        <w:t>隐患评估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各类风险隐患的成因，易发时间、地点及发生概率，可控性和紧急程度，可能造成的直接危害及次生危害，受其影响区域内其它风险隐患情况、多灾种耦合的可能性，需整改的内容、有针对性的防范措施及落实情况，全面深入地进行分析、评估并统计汇总上报。</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1.1.9.5.4.1.1 </w:t>
      </w:r>
      <w:r>
        <w:rPr>
          <w:rStyle w:val="17"/>
          <w:rFonts w:hint="eastAsia" w:ascii="宋体" w:hAnsi="宋体" w:eastAsia="宋体" w:cs="宋体"/>
          <w:color w:val="auto"/>
          <w:sz w:val="28"/>
          <w:szCs w:val="28"/>
          <w:highlight w:val="none"/>
        </w:rPr>
        <w:t>风险隐患评估</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提供隐患评估的专业人员针对每个隐患点各类信息进行评估，包括对直接危害、次生危害、影响区域内其它风险隐患情况、多灾种耦合的可能性等因素的评估分析。</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1.1.9.5.4.1.2 </w:t>
      </w:r>
      <w:r>
        <w:rPr>
          <w:rStyle w:val="17"/>
          <w:rFonts w:hint="eastAsia" w:ascii="宋体" w:hAnsi="宋体" w:eastAsia="宋体" w:cs="宋体"/>
          <w:color w:val="auto"/>
          <w:sz w:val="28"/>
          <w:szCs w:val="28"/>
          <w:highlight w:val="none"/>
        </w:rPr>
        <w:t>汇总上报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评估的专业人员完成隐患的评估工作后，将评估过程与结果数据进行上报操作，系统提供临时保存功能，对未完成的评估记录进行临时保存。</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1.1.9.5.4.1.3 </w:t>
      </w:r>
      <w:r>
        <w:rPr>
          <w:rStyle w:val="17"/>
          <w:rFonts w:hint="eastAsia" w:ascii="宋体" w:hAnsi="宋体" w:eastAsia="宋体" w:cs="宋体"/>
          <w:color w:val="auto"/>
          <w:sz w:val="28"/>
          <w:szCs w:val="28"/>
          <w:highlight w:val="none"/>
        </w:rPr>
        <w:t>评估查阅</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系统对人员评估的上报结果进行统一记录维护，提供管理人员对风险评估的结果进行查阅。系统以列表形式展示上报的评估结果。</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1.1.9.5.4.2 </w:t>
      </w:r>
      <w:r>
        <w:rPr>
          <w:rFonts w:hint="eastAsia" w:ascii="宋体" w:hAnsi="宋体" w:eastAsia="宋体" w:cs="宋体"/>
          <w:color w:val="auto"/>
          <w:sz w:val="28"/>
          <w:szCs w:val="28"/>
          <w:highlight w:val="none"/>
        </w:rPr>
        <w:t>隐患治理管理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对风险隐患情况复杂、短期内难以整改的，要制定切实可行的整改方案和应对预案，落实整改措施、责任人和整改期限等，防范突发公共事件的发生；对问题较多、隐患严重、危险较大的，要采取停产、停业整顿或停止使用等果断措施。</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通过建立隐患排查整改机制，实现对隐患“上报、整改、复查”的闭环管理，详细记录隐患整改的过程信息，实现复杂的隐患排查治理工作流程化、常态化和信息化。</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1.1.9.5.4.2.1 </w:t>
      </w:r>
      <w:r>
        <w:rPr>
          <w:rStyle w:val="17"/>
          <w:rFonts w:hint="eastAsia" w:ascii="宋体" w:hAnsi="宋体" w:eastAsia="宋体" w:cs="宋体"/>
          <w:color w:val="auto"/>
          <w:sz w:val="28"/>
          <w:szCs w:val="28"/>
          <w:highlight w:val="none"/>
        </w:rPr>
        <w:t>隐患排查情况检索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实现城市事件安全隐患检索管理功能。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1.1.9.5.4.2.2 </w:t>
      </w:r>
      <w:r>
        <w:rPr>
          <w:rStyle w:val="17"/>
          <w:rFonts w:hint="eastAsia" w:ascii="宋体" w:hAnsi="宋体" w:eastAsia="宋体" w:cs="宋体"/>
          <w:color w:val="auto"/>
          <w:sz w:val="28"/>
          <w:szCs w:val="28"/>
          <w:highlight w:val="none"/>
        </w:rPr>
        <w:t>隐患信息核查</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针对上报的隐患信息进行核查，通过系统安排相关人员进行核查，确认存在该隐患信息，则生成隐患治理工单。</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1.1.9.5.4.2.3 </w:t>
      </w:r>
      <w:r>
        <w:rPr>
          <w:rStyle w:val="17"/>
          <w:rFonts w:hint="eastAsia" w:ascii="宋体" w:hAnsi="宋体" w:eastAsia="宋体" w:cs="宋体"/>
          <w:color w:val="auto"/>
          <w:sz w:val="28"/>
          <w:szCs w:val="28"/>
          <w:highlight w:val="none"/>
        </w:rPr>
        <w:t>隐患信息整改</w:t>
      </w:r>
    </w:p>
    <w:p>
      <w:pPr>
        <w:pStyle w:val="14"/>
        <w:keepNext w:val="0"/>
        <w:keepLines w:val="0"/>
        <w:widowControl/>
        <w:suppressLineNumbers w:val="0"/>
        <w:spacing w:before="165" w:beforeAutospacing="0" w:after="165" w:afterAutospacing="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隐患治理工单生成后，通过系统自动或手动派发相应责任单位，由责任单位安排相关人员整改隐患。</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1.1.9.5.4.2.4 </w:t>
      </w:r>
      <w:r>
        <w:rPr>
          <w:rStyle w:val="17"/>
          <w:rFonts w:hint="eastAsia" w:ascii="宋体" w:hAnsi="宋体" w:eastAsia="宋体" w:cs="宋体"/>
          <w:color w:val="auto"/>
          <w:sz w:val="28"/>
          <w:szCs w:val="28"/>
          <w:highlight w:val="none"/>
        </w:rPr>
        <w:t>整改项目创建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根据整改类型的不同，进行整改项目的创建。项目创建完成后，并进一步完成项目与排查任务的关联。</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1.1.9.5.4.2.5 </w:t>
      </w:r>
      <w:r>
        <w:rPr>
          <w:rStyle w:val="17"/>
          <w:rFonts w:hint="eastAsia" w:ascii="宋体" w:hAnsi="宋体" w:eastAsia="宋体" w:cs="宋体"/>
          <w:color w:val="auto"/>
          <w:sz w:val="28"/>
          <w:szCs w:val="28"/>
          <w:highlight w:val="none"/>
        </w:rPr>
        <w:t>项目配置管理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实现已创建项目的整体配置，包括对项目基础信息的修改，以及查看详细的项目信息。</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1.1.9.5.4.2.6 </w:t>
      </w:r>
      <w:r>
        <w:rPr>
          <w:rStyle w:val="17"/>
          <w:rFonts w:hint="eastAsia" w:ascii="宋体" w:hAnsi="宋体" w:eastAsia="宋体" w:cs="宋体"/>
          <w:color w:val="auto"/>
          <w:sz w:val="28"/>
          <w:szCs w:val="28"/>
          <w:highlight w:val="none"/>
        </w:rPr>
        <w:t>隐患预警管理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根据风险隐患类别进行系统的隐患分类预警管理，实现隐患预警分类汇总提醒。</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系统实现对重要城市事件隐患信息进行状态提醒，支持所有提醒同时提供短信方式发送至相关负责人手机。</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1.1.9.5.4.2.7 </w:t>
      </w:r>
      <w:r>
        <w:rPr>
          <w:rStyle w:val="17"/>
          <w:rFonts w:hint="eastAsia" w:ascii="宋体" w:hAnsi="宋体" w:eastAsia="宋体" w:cs="宋体"/>
          <w:color w:val="auto"/>
          <w:sz w:val="28"/>
          <w:szCs w:val="28"/>
          <w:highlight w:val="none"/>
        </w:rPr>
        <w:t>重大隐患督办管理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监管部门对符合条件的重大隐患实行挂牌督办，并可与多级政府部门实现多级部门挂牌督办，系统默认展示所有本部门及上级部门挂牌督办的重大隐患列表。</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1.1.9.5.4.2.8 </w:t>
      </w:r>
      <w:r>
        <w:rPr>
          <w:rStyle w:val="17"/>
          <w:rFonts w:hint="eastAsia" w:ascii="宋体" w:hAnsi="宋体" w:eastAsia="宋体" w:cs="宋体"/>
          <w:color w:val="auto"/>
          <w:sz w:val="28"/>
          <w:szCs w:val="28"/>
          <w:highlight w:val="none"/>
        </w:rPr>
        <w:t>隐患复查跟踪</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针对隐患排查过程中查找出来的隐患，执法人员需要下达隐患整改通知，对相应隐患进行跟踪复查，直到隐患消除为止。</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1.1.9.5.4.2.9 </w:t>
      </w:r>
      <w:r>
        <w:rPr>
          <w:rStyle w:val="17"/>
          <w:rFonts w:hint="eastAsia" w:ascii="宋体" w:hAnsi="宋体" w:eastAsia="宋体" w:cs="宋体"/>
          <w:color w:val="auto"/>
          <w:sz w:val="28"/>
          <w:szCs w:val="28"/>
          <w:highlight w:val="none"/>
        </w:rPr>
        <w:t>申报复查验收</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相关责任单位对隐患工单整改完毕后，申报复查验收，如果隐患复查验收没有通过，这条隐患则需要重新进入整改流程，进行再次整改。</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1.1.9.5.4.3 </w:t>
      </w:r>
      <w:r>
        <w:rPr>
          <w:rFonts w:hint="eastAsia" w:ascii="宋体" w:hAnsi="宋体" w:eastAsia="宋体" w:cs="宋体"/>
          <w:color w:val="auto"/>
          <w:sz w:val="28"/>
          <w:szCs w:val="28"/>
          <w:highlight w:val="none"/>
        </w:rPr>
        <w:t>隐患治理档案管理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实现对城市事件隐患排查治理归档功能，记录隐患整改工单信息。</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1.1.9.5.4.3.1 </w:t>
      </w:r>
      <w:r>
        <w:rPr>
          <w:rStyle w:val="17"/>
          <w:rFonts w:hint="eastAsia" w:ascii="宋体" w:hAnsi="宋体" w:eastAsia="宋体" w:cs="宋体"/>
          <w:color w:val="auto"/>
          <w:sz w:val="28"/>
          <w:szCs w:val="28"/>
          <w:highlight w:val="none"/>
        </w:rPr>
        <w:t>隐患治理档案查询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多种方式的信息查询功能，实现常规检索和高级检索功能，常规检索包括已整改、未整改、全部三个维度筛选显示；通过隐患名称的精准查询和模糊查询，直接展示隐患台账的相关信息。高级检索通过隐患来源、企业名称等多个维度信息进行精准查询。</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1.1.9.5.4.3.2 </w:t>
      </w:r>
      <w:r>
        <w:rPr>
          <w:rStyle w:val="17"/>
          <w:rFonts w:hint="eastAsia" w:ascii="宋体" w:hAnsi="宋体" w:eastAsia="宋体" w:cs="宋体"/>
          <w:color w:val="auto"/>
          <w:sz w:val="28"/>
          <w:szCs w:val="28"/>
          <w:highlight w:val="none"/>
        </w:rPr>
        <w:t>隐患治理档案展示</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提供列表的形式展示各级各部门的隐患治理档案，支持操作查看展示隐患档案详细信息。</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1.1.9.5.4.4 </w:t>
      </w:r>
      <w:r>
        <w:rPr>
          <w:rFonts w:hint="eastAsia" w:ascii="宋体" w:hAnsi="宋体" w:eastAsia="宋体" w:cs="宋体"/>
          <w:color w:val="auto"/>
          <w:sz w:val="28"/>
          <w:szCs w:val="28"/>
          <w:highlight w:val="none"/>
        </w:rPr>
        <w:t>隐患排查清单管理</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为方便隐患排查清单的管理，提供隐患排查清单的新增、删除、修改和查询功能。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1.1.9.5.4.4.1 </w:t>
      </w:r>
      <w:r>
        <w:rPr>
          <w:rStyle w:val="17"/>
          <w:rFonts w:hint="eastAsia" w:ascii="宋体" w:hAnsi="宋体" w:eastAsia="宋体" w:cs="宋体"/>
          <w:color w:val="auto"/>
          <w:sz w:val="28"/>
          <w:szCs w:val="28"/>
          <w:highlight w:val="none"/>
        </w:rPr>
        <w:t>隐患排查清单查询</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系统提供隐患排查清单查询功能。通过输入清单名称、清单描述等条件，实现隐患排查清单的快速查询，查询结果以列表形式进行显示。</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1.1.9.5.4.4.2 </w:t>
      </w:r>
      <w:r>
        <w:rPr>
          <w:rStyle w:val="17"/>
          <w:rFonts w:hint="eastAsia" w:ascii="宋体" w:hAnsi="宋体" w:eastAsia="宋体" w:cs="宋体"/>
          <w:color w:val="auto"/>
          <w:sz w:val="28"/>
          <w:szCs w:val="28"/>
          <w:highlight w:val="none"/>
        </w:rPr>
        <w:t>隐患排查清单新增</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通过填写清单名称、清单编码、备注等信息，实现隐患排查清单的新增功能。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1.1.9.5.4.4.3 </w:t>
      </w:r>
      <w:r>
        <w:rPr>
          <w:rStyle w:val="17"/>
          <w:rFonts w:hint="eastAsia" w:ascii="宋体" w:hAnsi="宋体" w:eastAsia="宋体" w:cs="宋体"/>
          <w:color w:val="auto"/>
          <w:sz w:val="28"/>
          <w:szCs w:val="28"/>
          <w:highlight w:val="none"/>
        </w:rPr>
        <w:t>隐患排查清单修改</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通过选择需要修改的隐患排查清单，实现隐患排查清单的修改功能。</w:t>
      </w:r>
    </w:p>
    <w:p>
      <w:pPr>
        <w:pStyle w:val="14"/>
        <w:keepNext w:val="0"/>
        <w:keepLines w:val="0"/>
        <w:widowControl/>
        <w:suppressLineNumbers w:val="0"/>
        <w:outlineLvl w:val="9"/>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1.1.9.5.4.4.4 </w:t>
      </w:r>
      <w:r>
        <w:rPr>
          <w:rStyle w:val="17"/>
          <w:rFonts w:hint="eastAsia" w:ascii="宋体" w:hAnsi="宋体" w:eastAsia="宋体" w:cs="宋体"/>
          <w:color w:val="auto"/>
          <w:sz w:val="28"/>
          <w:szCs w:val="28"/>
          <w:highlight w:val="none"/>
        </w:rPr>
        <w:t>隐患排查清单删除</w:t>
      </w:r>
    </w:p>
    <w:p>
      <w:pPr>
        <w:pStyle w:val="14"/>
        <w:keepNext w:val="0"/>
        <w:keepLines w:val="0"/>
        <w:widowControl/>
        <w:suppressLineNumbers w:val="0"/>
        <w:ind w:left="0"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通过选择需要删除的隐患排查清单，实现隐患排查清单的删除功能。</w:t>
      </w:r>
    </w:p>
    <w:p>
      <w:pPr>
        <w:keepNext w:val="0"/>
        <w:keepLines w:val="0"/>
        <w:widowControl/>
        <w:suppressLineNumbers w:val="0"/>
        <w:ind w:left="0" w:firstLine="0"/>
        <w:outlineLvl w:val="9"/>
        <w:rPr>
          <w:rFonts w:hint="eastAsia" w:ascii="宋体" w:hAnsi="宋体" w:eastAsia="宋体" w:cs="宋体"/>
          <w:color w:val="auto"/>
          <w:highlight w:val="none"/>
        </w:rPr>
      </w:pPr>
      <w:r>
        <w:rPr>
          <w:rFonts w:hint="eastAsia" w:ascii="宋体" w:hAnsi="宋体" w:eastAsia="宋体" w:cs="宋体"/>
          <w:b w:val="0"/>
          <w:bCs w:val="0"/>
          <w:color w:val="auto"/>
          <w:spacing w:val="0"/>
          <w:sz w:val="28"/>
          <w:szCs w:val="28"/>
          <w:highlight w:val="none"/>
        </w:rPr>
        <w:t>1.1.9.5.4.5 </w:t>
      </w:r>
      <w:r>
        <w:rPr>
          <w:rFonts w:hint="eastAsia" w:ascii="宋体" w:hAnsi="宋体" w:eastAsia="宋体" w:cs="宋体"/>
          <w:color w:val="auto"/>
          <w:sz w:val="28"/>
          <w:szCs w:val="28"/>
          <w:highlight w:val="none"/>
        </w:rPr>
        <w:t>隐患排查流程管理</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建立如下城市事件隐患排查治理流程，实现对隐患“上报、整改、复查”的全流程闭环管理，详细记录隐患整改的过程信息，实现复杂的隐患排查治理工作流程化、常态化和信息化。</w:t>
      </w:r>
    </w:p>
    <w:p>
      <w:pPr>
        <w:pStyle w:val="14"/>
        <w:keepNext w:val="0"/>
        <w:keepLines w:val="0"/>
        <w:widowControl/>
        <w:suppressLineNumbers w:val="0"/>
        <w:ind w:left="0" w:firstLine="48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drawing>
          <wp:inline distT="0" distB="0" distL="114300" distR="114300">
            <wp:extent cx="5695950" cy="4572000"/>
            <wp:effectExtent l="0" t="0" r="0" b="0"/>
            <wp:docPr id="32" name="图片 50" descr="1649314564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0" descr="1649314564821.png"/>
                    <pic:cNvPicPr>
                      <a:picLocks noChangeAspect="1"/>
                    </pic:cNvPicPr>
                  </pic:nvPicPr>
                  <pic:blipFill>
                    <a:blip r:embed="rId14"/>
                    <a:stretch>
                      <a:fillRect/>
                    </a:stretch>
                  </pic:blipFill>
                  <pic:spPr>
                    <a:xfrm>
                      <a:off x="0" y="0"/>
                      <a:ext cx="5695950" cy="4572000"/>
                    </a:xfrm>
                    <a:prstGeom prst="rect">
                      <a:avLst/>
                    </a:prstGeom>
                    <a:noFill/>
                    <a:ln w="9525">
                      <a:noFill/>
                    </a:ln>
                  </pic:spPr>
                </pic:pic>
              </a:graphicData>
            </a:graphic>
          </wp:inline>
        </w:drawing>
      </w:r>
      <w:r>
        <w:rPr>
          <w:rFonts w:hint="eastAsia" w:ascii="宋体" w:hAnsi="宋体" w:eastAsia="宋体" w:cs="宋体"/>
          <w:color w:val="auto"/>
          <w:sz w:val="21"/>
          <w:szCs w:val="21"/>
          <w:highlight w:val="none"/>
        </w:rPr>
        <w:t> 城市事件隐患排查治理流程示意图</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1.1.9.5.4.5.1 </w:t>
      </w:r>
      <w:r>
        <w:rPr>
          <w:rStyle w:val="17"/>
          <w:rFonts w:hint="eastAsia" w:ascii="宋体" w:hAnsi="宋体" w:eastAsia="宋体" w:cs="宋体"/>
          <w:color w:val="auto"/>
          <w:sz w:val="28"/>
          <w:szCs w:val="28"/>
          <w:highlight w:val="none"/>
        </w:rPr>
        <w:t>隐患排查流程设计</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平台提供隐患排查流程设计功能，便于业务人员通过图形化组件拖拉的方式进行流程设计，同时支持关联人员、添加条件、添加子流程。</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1.1.9.5.4.5.2 </w:t>
      </w:r>
      <w:r>
        <w:rPr>
          <w:rStyle w:val="17"/>
          <w:rFonts w:hint="eastAsia" w:ascii="宋体" w:hAnsi="宋体" w:eastAsia="宋体" w:cs="宋体"/>
          <w:color w:val="auto"/>
          <w:sz w:val="28"/>
          <w:szCs w:val="28"/>
          <w:highlight w:val="none"/>
        </w:rPr>
        <w:t>隐患排查流程跟踪</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所有涉及到流程的相关人员包括流程发起人，办理人，流程跟踪人员都可以通过图形化的方式查询流程的进展情况，随时了解流程动态并可以通过流程详细记录了解流程整个办理过程与签收情况，针对流程查询与实时跟踪。</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1.1.9.5.4.5.3 </w:t>
      </w:r>
      <w:r>
        <w:rPr>
          <w:rStyle w:val="17"/>
          <w:rFonts w:hint="eastAsia" w:ascii="宋体" w:hAnsi="宋体" w:eastAsia="宋体" w:cs="宋体"/>
          <w:color w:val="auto"/>
          <w:sz w:val="28"/>
          <w:szCs w:val="28"/>
          <w:highlight w:val="none"/>
        </w:rPr>
        <w:t>隐患排查流程监控</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平台面向不同流程的管理员以及各级领导提供了丰富的流程查询监控功能，可以按流程、按表单任何元素组合查询并可以导出查询结果到excel。</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pacing w:val="0"/>
          <w:sz w:val="28"/>
          <w:szCs w:val="28"/>
          <w:highlight w:val="none"/>
        </w:rPr>
        <w:t>1.1.9.5.4.5.4 </w:t>
      </w:r>
      <w:r>
        <w:rPr>
          <w:rStyle w:val="17"/>
          <w:rFonts w:hint="eastAsia" w:ascii="宋体" w:hAnsi="宋体" w:eastAsia="宋体" w:cs="宋体"/>
          <w:color w:val="auto"/>
          <w:sz w:val="28"/>
          <w:szCs w:val="28"/>
          <w:highlight w:val="none"/>
        </w:rPr>
        <w:t>隐患排查流程图视</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在流程办理的各个环节，系统都提供图形化的视图。图形为流程设计时流程管理员定义的模型。</w:t>
      </w:r>
    </w:p>
    <w:p>
      <w:pPr>
        <w:pStyle w:val="14"/>
        <w:keepNext w:val="0"/>
        <w:keepLines w:val="0"/>
        <w:widowControl/>
        <w:suppressLineNumbers w:val="0"/>
        <w:ind w:left="0" w:firstLine="0"/>
        <w:outlineLvl w:val="0"/>
        <w:rPr>
          <w:rFonts w:hint="eastAsia" w:ascii="宋体" w:hAnsi="宋体" w:eastAsia="宋体" w:cs="宋体"/>
          <w:b w:val="0"/>
          <w:bCs w:val="0"/>
          <w:color w:val="auto"/>
          <w:spacing w:val="0"/>
          <w:sz w:val="31"/>
          <w:szCs w:val="31"/>
          <w:highlight w:val="none"/>
        </w:rPr>
      </w:pPr>
      <w:r>
        <w:rPr>
          <w:rFonts w:hint="eastAsia" w:ascii="宋体" w:hAnsi="宋体" w:eastAsia="宋体" w:cs="宋体"/>
          <w:b w:val="0"/>
          <w:bCs w:val="0"/>
          <w:color w:val="auto"/>
          <w:spacing w:val="0"/>
          <w:sz w:val="31"/>
          <w:szCs w:val="31"/>
          <w:highlight w:val="none"/>
          <w:lang w:val="en-US" w:eastAsia="zh-CN"/>
        </w:rPr>
        <w:t>1.1.10</w:t>
      </w:r>
      <w:r>
        <w:rPr>
          <w:rFonts w:hint="eastAsia" w:ascii="宋体" w:hAnsi="宋体" w:eastAsia="宋体" w:cs="宋体"/>
          <w:b w:val="0"/>
          <w:bCs w:val="0"/>
          <w:color w:val="auto"/>
          <w:spacing w:val="0"/>
          <w:sz w:val="31"/>
          <w:szCs w:val="31"/>
          <w:highlight w:val="none"/>
        </w:rPr>
        <w:t>业务指导系统</w:t>
      </w:r>
    </w:p>
    <w:p>
      <w:pPr>
        <w:ind w:firstLine="480"/>
        <w:rPr>
          <w:color w:val="auto"/>
          <w:highlight w:val="none"/>
        </w:rPr>
      </w:pPr>
      <w:r>
        <w:rPr>
          <w:rFonts w:hint="eastAsia"/>
          <w:color w:val="auto"/>
          <w:highlight w:val="none"/>
        </w:rPr>
        <w:t>业务指导系统包括政策法规、行业动态、经验交流等功能模块，福州市本级按权限共用国家平台的业务指导系统，通过国家平台统一分配账号使用权限，将国家平台业务指导系统以单点登陆的方式集成到福州市城市运行管理服务平台。</w:t>
      </w:r>
    </w:p>
    <w:p>
      <w:pPr>
        <w:pStyle w:val="14"/>
        <w:numPr>
          <w:ilvl w:val="0"/>
          <w:numId w:val="0"/>
        </w:numPr>
        <w:ind w:leftChars="0"/>
        <w:outlineLvl w:val="0"/>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lang w:val="en-US" w:eastAsia="zh-CN"/>
        </w:rPr>
        <w:t>1.1.11</w:t>
      </w:r>
      <w:r>
        <w:rPr>
          <w:rFonts w:hint="eastAsia" w:ascii="宋体" w:hAnsi="宋体" w:eastAsia="宋体" w:cs="宋体"/>
          <w:color w:val="auto"/>
          <w:sz w:val="31"/>
          <w:szCs w:val="31"/>
          <w:highlight w:val="none"/>
        </w:rPr>
        <w:t>行业应用系统</w:t>
      </w:r>
    </w:p>
    <w:p>
      <w:pPr>
        <w:ind w:firstLine="480"/>
        <w:rPr>
          <w:color w:val="auto"/>
          <w:highlight w:val="none"/>
        </w:rPr>
      </w:pPr>
      <w:r>
        <w:rPr>
          <w:rFonts w:hint="eastAsia"/>
          <w:color w:val="auto"/>
          <w:highlight w:val="none"/>
        </w:rPr>
        <w:t>行业应用系统主要是围绕城市管理主要职责，建设市政公用、市容环卫、园林绿化和城市管理执法等行业应用系统，支撑城市管理部门行业监管工作需要。对于现有的城市管理行业应用系统统一集成整合到福州市城市运行管理服务平台。</w:t>
      </w:r>
    </w:p>
    <w:p>
      <w:pPr>
        <w:ind w:firstLine="480"/>
        <w:rPr>
          <w:color w:val="auto"/>
          <w:highlight w:val="none"/>
        </w:rPr>
      </w:pPr>
      <w:r>
        <w:rPr>
          <w:rFonts w:hint="eastAsia"/>
          <w:color w:val="auto"/>
          <w:highlight w:val="none"/>
        </w:rPr>
        <w:t>本方案通过对接整合现有市政公用、市容环卫、园林绿化、城市管理执法系统，实现支撑城市管理部门行业监管工作需要。</w:t>
      </w:r>
    </w:p>
    <w:p>
      <w:pPr>
        <w:pStyle w:val="6"/>
        <w:numPr>
          <w:ilvl w:val="0"/>
          <w:numId w:val="0"/>
        </w:numPr>
        <w:tabs>
          <w:tab w:val="left" w:pos="0"/>
        </w:tabs>
        <w:ind w:leftChars="0"/>
        <w:outlineLvl w:val="3"/>
        <w:rPr>
          <w:color w:val="auto"/>
          <w:highlight w:val="none"/>
        </w:rPr>
      </w:pPr>
      <w:r>
        <w:rPr>
          <w:rFonts w:hint="eastAsia"/>
          <w:color w:val="auto"/>
          <w:highlight w:val="none"/>
          <w:lang w:val="en-US" w:eastAsia="zh-CN"/>
        </w:rPr>
        <w:t>1.1.11.1</w:t>
      </w:r>
      <w:r>
        <w:rPr>
          <w:rFonts w:hint="eastAsia"/>
          <w:color w:val="auto"/>
          <w:highlight w:val="none"/>
        </w:rPr>
        <w:t>市政公用</w:t>
      </w:r>
    </w:p>
    <w:p>
      <w:pPr>
        <w:ind w:firstLine="480"/>
        <w:rPr>
          <w:color w:val="auto"/>
          <w:highlight w:val="none"/>
        </w:rPr>
      </w:pPr>
      <w:r>
        <w:rPr>
          <w:rFonts w:hint="eastAsia"/>
          <w:color w:val="auto"/>
          <w:highlight w:val="none"/>
        </w:rPr>
        <w:t>通过对接整合现有福州市市政工程管理处现有的相关信息化系统，实现支撑福州市市政公用行业监管工作需要。</w:t>
      </w:r>
    </w:p>
    <w:p>
      <w:pPr>
        <w:ind w:firstLine="480"/>
        <w:rPr>
          <w:color w:val="auto"/>
          <w:highlight w:val="none"/>
        </w:rPr>
      </w:pPr>
      <w:r>
        <w:rPr>
          <w:rFonts w:hint="eastAsia"/>
          <w:color w:val="auto"/>
          <w:highlight w:val="none"/>
        </w:rPr>
        <w:t>福州市市政工程管理处相关信息化系统主要如下：</w:t>
      </w:r>
    </w:p>
    <w:p>
      <w:pPr>
        <w:ind w:firstLine="480"/>
        <w:rPr>
          <w:color w:val="auto"/>
          <w:highlight w:val="none"/>
        </w:rPr>
      </w:pPr>
      <w:r>
        <w:rPr>
          <w:rFonts w:hint="eastAsia"/>
          <w:color w:val="auto"/>
          <w:highlight w:val="none"/>
        </w:rPr>
        <w:t xml:space="preserve">（1）福州市政设施维护工程管理系统 </w:t>
      </w:r>
    </w:p>
    <w:p>
      <w:pPr>
        <w:ind w:firstLine="480"/>
        <w:rPr>
          <w:color w:val="auto"/>
          <w:highlight w:val="none"/>
        </w:rPr>
      </w:pPr>
      <w:r>
        <w:rPr>
          <w:rFonts w:hint="eastAsia"/>
          <w:color w:val="auto"/>
          <w:highlight w:val="none"/>
        </w:rPr>
        <w:t xml:space="preserve">（2）福州市政工程管理处办公管理系统 </w:t>
      </w:r>
    </w:p>
    <w:p>
      <w:pPr>
        <w:ind w:firstLine="480"/>
        <w:rPr>
          <w:color w:val="auto"/>
          <w:highlight w:val="none"/>
        </w:rPr>
      </w:pPr>
      <w:r>
        <w:rPr>
          <w:rFonts w:hint="eastAsia"/>
          <w:color w:val="auto"/>
          <w:highlight w:val="none"/>
        </w:rPr>
        <w:t xml:space="preserve">（3）福州市道路养护管理系统 </w:t>
      </w:r>
    </w:p>
    <w:p>
      <w:pPr>
        <w:ind w:firstLine="480"/>
        <w:rPr>
          <w:color w:val="auto"/>
          <w:highlight w:val="none"/>
        </w:rPr>
      </w:pPr>
      <w:r>
        <w:rPr>
          <w:rFonts w:hint="eastAsia"/>
          <w:color w:val="auto"/>
          <w:highlight w:val="none"/>
        </w:rPr>
        <w:t xml:space="preserve">（4）福州市桥梁养护管理系统 </w:t>
      </w:r>
    </w:p>
    <w:p>
      <w:pPr>
        <w:ind w:firstLine="480"/>
        <w:rPr>
          <w:color w:val="auto"/>
          <w:highlight w:val="none"/>
        </w:rPr>
      </w:pPr>
      <w:r>
        <w:rPr>
          <w:rFonts w:hint="eastAsia"/>
          <w:color w:val="auto"/>
          <w:highlight w:val="none"/>
        </w:rPr>
        <w:t>（5）市政设施监控管理系统</w:t>
      </w:r>
    </w:p>
    <w:p>
      <w:pPr>
        <w:ind w:firstLine="480"/>
        <w:rPr>
          <w:color w:val="auto"/>
          <w:highlight w:val="none"/>
        </w:rPr>
      </w:pPr>
      <w:r>
        <w:rPr>
          <w:rFonts w:hint="eastAsia"/>
          <w:color w:val="auto"/>
          <w:highlight w:val="none"/>
        </w:rPr>
        <w:t>通过这些信息化成果实现了设施巡查、养护等设施维护全流程管理，有力的提升了 福州市政设施管理的水平和能力。</w:t>
      </w:r>
    </w:p>
    <w:p>
      <w:pPr>
        <w:pStyle w:val="6"/>
        <w:numPr>
          <w:ilvl w:val="0"/>
          <w:numId w:val="0"/>
        </w:numPr>
        <w:tabs>
          <w:tab w:val="left" w:pos="0"/>
        </w:tabs>
        <w:ind w:leftChars="0"/>
        <w:outlineLvl w:val="3"/>
        <w:rPr>
          <w:color w:val="auto"/>
          <w:highlight w:val="none"/>
        </w:rPr>
      </w:pPr>
      <w:r>
        <w:rPr>
          <w:rFonts w:hint="eastAsia"/>
          <w:color w:val="auto"/>
          <w:highlight w:val="none"/>
          <w:lang w:val="en-US" w:eastAsia="zh-CN"/>
        </w:rPr>
        <w:t>1.1.11.2</w:t>
      </w:r>
      <w:r>
        <w:rPr>
          <w:rFonts w:hint="eastAsia"/>
          <w:color w:val="auto"/>
          <w:highlight w:val="none"/>
        </w:rPr>
        <w:t>市容环卫</w:t>
      </w:r>
    </w:p>
    <w:p>
      <w:pPr>
        <w:ind w:firstLine="480"/>
        <w:rPr>
          <w:color w:val="auto"/>
          <w:highlight w:val="none"/>
        </w:rPr>
      </w:pPr>
      <w:r>
        <w:rPr>
          <w:rFonts w:hint="eastAsia"/>
          <w:color w:val="auto"/>
          <w:highlight w:val="none"/>
        </w:rPr>
        <w:t>通过对接整合现有福州市市容环卫中心信息化应用系统，实现支撑福州市容环卫行业监管工作需要。</w:t>
      </w:r>
    </w:p>
    <w:p>
      <w:pPr>
        <w:ind w:firstLine="480"/>
        <w:rPr>
          <w:color w:val="auto"/>
          <w:highlight w:val="none"/>
        </w:rPr>
      </w:pPr>
      <w:r>
        <w:rPr>
          <w:rFonts w:hint="eastAsia"/>
          <w:color w:val="auto"/>
          <w:highlight w:val="none"/>
        </w:rPr>
        <w:t>福州市市容环卫中心信息化应用系统主要有数字红庙岭精细化管理及第三方监管服务平台和正在推进的福州市智慧化环卫与全过程环卫监管系统。</w:t>
      </w:r>
    </w:p>
    <w:p>
      <w:pPr>
        <w:pStyle w:val="19"/>
        <w:ind w:firstLine="480"/>
        <w:rPr>
          <w:color w:val="auto"/>
          <w:highlight w:val="none"/>
        </w:rPr>
      </w:pPr>
      <w:r>
        <w:rPr>
          <w:rFonts w:hint="eastAsia"/>
          <w:color w:val="auto"/>
          <w:highlight w:val="none"/>
        </w:rPr>
        <w:t>1、数字红庙岭精细化管理及第三方监管服务平台对接</w:t>
      </w:r>
    </w:p>
    <w:p>
      <w:pPr>
        <w:ind w:firstLine="480"/>
        <w:rPr>
          <w:color w:val="auto"/>
          <w:highlight w:val="none"/>
        </w:rPr>
      </w:pPr>
      <w:r>
        <w:rPr>
          <w:rFonts w:hint="eastAsia"/>
          <w:color w:val="auto"/>
          <w:highlight w:val="none"/>
        </w:rPr>
        <w:t>“数字红庙岭精细化管理及第三方监管服务平台”主要围绕红庙岭园区综合处理场的垃圾焚烧厂和垃圾填埋场等进行展开，该系统平台针对园区“七个一”的建设理念并结合园区现状及未来发展需求，从以下六个专题开展建设内容：</w:t>
      </w:r>
    </w:p>
    <w:p>
      <w:pPr>
        <w:ind w:firstLine="480"/>
        <w:rPr>
          <w:color w:val="auto"/>
          <w:highlight w:val="none"/>
        </w:rPr>
      </w:pPr>
      <w:r>
        <w:rPr>
          <w:rFonts w:hint="eastAsia"/>
          <w:color w:val="auto"/>
          <w:highlight w:val="none"/>
        </w:rPr>
        <w:t>1）园区安全。园区的安全是大安全观念下的全方位精细化、数字化的安全。组建独立的物联网、互联网信息生态圈，并布署防火墙、数据库审计、防病毒网关、入侵检测系统、漏洞扫描等系统；全景监控系统：组建车辆和人脸识别、园区高空瞭望视频监控等设施达到对园区的大范围监控；园区安保队伍：组建24小时轮班巡查小组，包括终端管理监控和园区巡逻人员，保障生产生活安全。</w:t>
      </w:r>
    </w:p>
    <w:p>
      <w:pPr>
        <w:ind w:firstLine="480"/>
        <w:rPr>
          <w:color w:val="auto"/>
          <w:highlight w:val="none"/>
        </w:rPr>
      </w:pPr>
      <w:r>
        <w:rPr>
          <w:rFonts w:hint="eastAsia"/>
          <w:color w:val="auto"/>
          <w:highlight w:val="none"/>
        </w:rPr>
        <w:t>2）运输管控。建立运输管控系统，通过车载定位终端对进出红庙岭园区的垃圾运输车辆实时定位、监控，并通过GPS、北斗提供的精确的数字地图、专业的交通地图等服务,随时了解车辆的时空分布、收运路线,进而掌握车辆的作业状态。建立车辆调度系统，根据各项目的垃圾实时处理量、垃圾库存量及地磅记录情况，对所有进场垃圾运输车进行调度，安排各种类别的垃圾运输车精准地达到相应的处理设施，调度各处理设施内部的物料转运和协同处理，确保入园垃圾精准处理，以及物料和生产用品能高效无缝的配置，开创园区精细化管理的新模式。</w:t>
      </w:r>
    </w:p>
    <w:p>
      <w:pPr>
        <w:ind w:firstLine="480"/>
        <w:rPr>
          <w:color w:val="auto"/>
          <w:highlight w:val="none"/>
        </w:rPr>
      </w:pPr>
      <w:r>
        <w:rPr>
          <w:rFonts w:hint="eastAsia"/>
          <w:color w:val="auto"/>
          <w:highlight w:val="none"/>
        </w:rPr>
        <w:t>3）环保教育。环保宣教基地建筑面积约5000平方米，层高5米。采用5G、物联网及区块链等技术融合园区内的实时监管基础数据、三废排放等在线监测数据和环保云平台提供的实时环保数据搭建环保宣传教育体系。建设生态环保VR体验，向市民直观展示垃圾减量化、资源化、无害化处理的全过程，并同通过AR系统沉浸式体验让市民充分感受垃圾处理环保的全过程，化解“邻避效应”。</w:t>
      </w:r>
    </w:p>
    <w:p>
      <w:pPr>
        <w:ind w:firstLine="480"/>
        <w:rPr>
          <w:color w:val="auto"/>
          <w:highlight w:val="none"/>
        </w:rPr>
      </w:pPr>
      <w:r>
        <w:rPr>
          <w:rFonts w:hint="eastAsia"/>
          <w:color w:val="auto"/>
          <w:highlight w:val="none"/>
        </w:rPr>
        <w:t>4）基础网络。建设“5G”园区专用网络，保障园区物联网、互联网及时性、高效性的大规模数据传输。利用各厂生产工艺流程的传感器监测的数据组建工业生产物联网，借助市政府的支撑平台网络形成可视化操作，既满足现有的智慧园区的需求又能应对将来的新业务和新应用。</w:t>
      </w:r>
    </w:p>
    <w:p>
      <w:pPr>
        <w:ind w:firstLine="480"/>
        <w:rPr>
          <w:color w:val="auto"/>
          <w:highlight w:val="none"/>
        </w:rPr>
      </w:pPr>
      <w:r>
        <w:rPr>
          <w:rFonts w:hint="eastAsia"/>
          <w:color w:val="auto"/>
          <w:highlight w:val="none"/>
        </w:rPr>
        <w:t>5）数据监测。打通园区内各厂区、各设施的监测物联数据的通道，引入园区内的实时监管基础数据、三废排放等在线监测数据和环保云平台提供的实时环保数据，并通过遥感技术、无人机、机器人等智能识别的方式进行三维立体的监测，构建的“智能”测控网络，实现对环境安全精细化适时可控的管理。</w:t>
      </w:r>
    </w:p>
    <w:p>
      <w:pPr>
        <w:ind w:firstLine="480"/>
        <w:rPr>
          <w:color w:val="auto"/>
          <w:highlight w:val="none"/>
        </w:rPr>
      </w:pPr>
      <w:r>
        <w:rPr>
          <w:rFonts w:hint="eastAsia"/>
          <w:color w:val="auto"/>
          <w:highlight w:val="none"/>
        </w:rPr>
        <w:t>6）监管队伍。政府通过购买服务，设立专业团队驻厂监管、综合专家技术支持、权威监测监管队伍三位一体的第三方监管服务团队，在搭建的信息化智能监管平台的基础上，实现现行行政管理模式向数字化管理方式转轨，实现网上办公系统、调度系统的互联互通，让园区企业管理人员、政府管理人员可以随时随地掌握园区的环保排放情况并进行准确考核，形成覆盖全园区、全过程、全方位的日常监管态势。</w:t>
      </w:r>
    </w:p>
    <w:p>
      <w:pPr>
        <w:pStyle w:val="19"/>
        <w:ind w:firstLine="480"/>
        <w:rPr>
          <w:color w:val="auto"/>
          <w:highlight w:val="none"/>
        </w:rPr>
      </w:pPr>
      <w:r>
        <w:rPr>
          <w:rFonts w:hint="eastAsia"/>
          <w:color w:val="auto"/>
          <w:highlight w:val="none"/>
        </w:rPr>
        <w:t>2、</w:t>
      </w:r>
      <w:r>
        <w:rPr>
          <w:color w:val="auto"/>
          <w:highlight w:val="none"/>
        </w:rPr>
        <w:t>后续对接福州市</w:t>
      </w:r>
      <w:r>
        <w:rPr>
          <w:rFonts w:hint="eastAsia"/>
          <w:color w:val="auto"/>
          <w:highlight w:val="none"/>
        </w:rPr>
        <w:t>智慧化环卫与全过程环卫监管系统</w:t>
      </w:r>
    </w:p>
    <w:p>
      <w:pPr>
        <w:ind w:firstLine="480"/>
        <w:rPr>
          <w:color w:val="auto"/>
          <w:highlight w:val="none"/>
        </w:rPr>
      </w:pPr>
      <w:r>
        <w:rPr>
          <w:rFonts w:hint="eastAsia"/>
          <w:color w:val="auto"/>
          <w:highlight w:val="none"/>
        </w:rPr>
        <w:t>目前福州市智慧环卫环卫与全过程环卫监管系统正在推进中，福州市城市运行管理服务平台将预留接口，实现与该平台的数据对接。</w:t>
      </w:r>
    </w:p>
    <w:p>
      <w:pPr>
        <w:pStyle w:val="6"/>
        <w:numPr>
          <w:ilvl w:val="0"/>
          <w:numId w:val="0"/>
        </w:numPr>
        <w:tabs>
          <w:tab w:val="left" w:pos="0"/>
        </w:tabs>
        <w:ind w:leftChars="0"/>
        <w:outlineLvl w:val="3"/>
        <w:rPr>
          <w:color w:val="auto"/>
          <w:highlight w:val="none"/>
        </w:rPr>
      </w:pPr>
      <w:r>
        <w:rPr>
          <w:rFonts w:hint="eastAsia"/>
          <w:color w:val="auto"/>
          <w:highlight w:val="none"/>
          <w:lang w:val="en-US" w:eastAsia="zh-CN"/>
        </w:rPr>
        <w:t>1.1.11.3</w:t>
      </w:r>
      <w:r>
        <w:rPr>
          <w:rFonts w:hint="eastAsia"/>
          <w:color w:val="auto"/>
          <w:highlight w:val="none"/>
        </w:rPr>
        <w:t>园林绿化</w:t>
      </w:r>
    </w:p>
    <w:p>
      <w:pPr>
        <w:ind w:firstLine="480"/>
        <w:rPr>
          <w:color w:val="auto"/>
          <w:highlight w:val="none"/>
        </w:rPr>
      </w:pPr>
      <w:r>
        <w:rPr>
          <w:rFonts w:hint="eastAsia"/>
          <w:color w:val="auto"/>
          <w:highlight w:val="none"/>
        </w:rPr>
        <w:t>通过对接整合现有福州市市园林中心信息化系统，实现支撑福州市园林绿化行业监管工作需要。目前市园林中心主要建设有福州市数字园林管理系统。</w:t>
      </w:r>
    </w:p>
    <w:p>
      <w:pPr>
        <w:ind w:firstLine="48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福州市数字园林管理系统是以福州市园林中心的业务管理信息化需求为出发点，在充分利用</w:t>
      </w:r>
      <w:r>
        <w:rPr>
          <w:rFonts w:cs="宋体" w:asciiTheme="majorEastAsia" w:hAnsiTheme="majorEastAsia" w:eastAsiaTheme="majorEastAsia"/>
          <w:color w:val="auto"/>
          <w:highlight w:val="none"/>
        </w:rPr>
        <w:t>“</w:t>
      </w:r>
      <w:r>
        <w:rPr>
          <w:rFonts w:hint="eastAsia" w:cs="宋体" w:asciiTheme="majorEastAsia" w:hAnsiTheme="majorEastAsia" w:eastAsiaTheme="majorEastAsia"/>
          <w:color w:val="auto"/>
          <w:highlight w:val="none"/>
        </w:rPr>
        <w:t>数字福州</w:t>
      </w:r>
      <w:r>
        <w:rPr>
          <w:rFonts w:cs="宋体" w:asciiTheme="majorEastAsia" w:hAnsiTheme="majorEastAsia" w:eastAsiaTheme="majorEastAsia"/>
          <w:color w:val="auto"/>
          <w:highlight w:val="none"/>
        </w:rPr>
        <w:t>”</w:t>
      </w:r>
      <w:r>
        <w:rPr>
          <w:rFonts w:hint="eastAsia" w:cs="宋体" w:asciiTheme="majorEastAsia" w:hAnsiTheme="majorEastAsia" w:eastAsiaTheme="majorEastAsia"/>
          <w:color w:val="auto"/>
          <w:highlight w:val="none"/>
        </w:rPr>
        <w:t>空间数据成果的基础上，继承已有信息化建设成果，整合优势资源，建立福州市园林绿化综合管理数据库框架，开发建设具备园林绿化数据的查询、统计、分析、成果展示，满足福州市园林中心在绿地规划、绿化建设、绿化养护、树木移植、公园、景区（含绿道）管理、园林绿化企业综合诚信评价、绿化展示等方面业务管理需求的地理信息系统，全面提升市园林绿化的综合管理水平。按照</w:t>
      </w:r>
      <w:r>
        <w:rPr>
          <w:rFonts w:cs="宋体" w:asciiTheme="majorEastAsia" w:hAnsiTheme="majorEastAsia" w:eastAsiaTheme="majorEastAsia"/>
          <w:color w:val="auto"/>
          <w:highlight w:val="none"/>
        </w:rPr>
        <w:t>“</w:t>
      </w:r>
      <w:r>
        <w:rPr>
          <w:rFonts w:hint="eastAsia" w:cs="宋体" w:asciiTheme="majorEastAsia" w:hAnsiTheme="majorEastAsia" w:eastAsiaTheme="majorEastAsia"/>
          <w:color w:val="auto"/>
          <w:highlight w:val="none"/>
        </w:rPr>
        <w:t>统一规划、分步实施</w:t>
      </w:r>
      <w:r>
        <w:rPr>
          <w:rFonts w:cs="宋体" w:asciiTheme="majorEastAsia" w:hAnsiTheme="majorEastAsia" w:eastAsiaTheme="majorEastAsia"/>
          <w:color w:val="auto"/>
          <w:highlight w:val="none"/>
        </w:rPr>
        <w:t>”</w:t>
      </w:r>
      <w:r>
        <w:rPr>
          <w:rFonts w:hint="eastAsia" w:cs="宋体" w:asciiTheme="majorEastAsia" w:hAnsiTheme="majorEastAsia" w:eastAsiaTheme="majorEastAsia"/>
          <w:color w:val="auto"/>
          <w:highlight w:val="none"/>
        </w:rPr>
        <w:t>总体设计思路，数字园林管理系统初步解决市园林中心在绿地规划、公园景区管理等业务信息的电子化、汇总、查询、统计和园林绿化空间数据的综合展示的问题。</w:t>
      </w:r>
    </w:p>
    <w:p>
      <w:pPr>
        <w:ind w:firstLine="48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目前福州市数字园林管理系统各子系统均正常运行。</w:t>
      </w:r>
    </w:p>
    <w:p>
      <w:pPr>
        <w:ind w:firstLine="480"/>
        <w:rPr>
          <w:color w:val="auto"/>
          <w:highlight w:val="none"/>
        </w:rPr>
      </w:pPr>
    </w:p>
    <w:p>
      <w:pPr>
        <w:pStyle w:val="6"/>
        <w:numPr>
          <w:ilvl w:val="0"/>
          <w:numId w:val="0"/>
        </w:numPr>
        <w:tabs>
          <w:tab w:val="left" w:pos="0"/>
        </w:tabs>
        <w:ind w:leftChars="0"/>
        <w:outlineLvl w:val="3"/>
        <w:rPr>
          <w:color w:val="auto"/>
          <w:highlight w:val="none"/>
        </w:rPr>
      </w:pPr>
      <w:r>
        <w:rPr>
          <w:rFonts w:hint="eastAsia"/>
          <w:color w:val="auto"/>
          <w:highlight w:val="none"/>
          <w:lang w:val="en-US" w:eastAsia="zh-CN"/>
        </w:rPr>
        <w:t>1.1.11.4</w:t>
      </w:r>
      <w:r>
        <w:rPr>
          <w:rFonts w:hint="eastAsia"/>
          <w:color w:val="auto"/>
          <w:highlight w:val="none"/>
        </w:rPr>
        <w:t>城市管理执法</w:t>
      </w:r>
    </w:p>
    <w:p>
      <w:pPr>
        <w:ind w:firstLine="480"/>
        <w:rPr>
          <w:color w:val="auto"/>
          <w:highlight w:val="none"/>
        </w:rPr>
      </w:pPr>
      <w:r>
        <w:rPr>
          <w:rFonts w:hint="eastAsia"/>
          <w:color w:val="auto"/>
          <w:highlight w:val="none"/>
        </w:rPr>
        <w:t>通过利用整合现有福州市城市管理综合行政执法支队现有信息化系统，实现支撑福州市城市管理执法工作需要。</w:t>
      </w:r>
    </w:p>
    <w:p>
      <w:pPr>
        <w:ind w:firstLine="480"/>
        <w:rPr>
          <w:color w:val="auto"/>
          <w:highlight w:val="none"/>
        </w:rPr>
      </w:pPr>
      <w:r>
        <w:rPr>
          <w:rFonts w:hint="eastAsia"/>
          <w:color w:val="auto"/>
          <w:highlight w:val="none"/>
        </w:rPr>
        <w:t>目前福州市城管委城市管理综合行政执法支队主要的信息化系统有福州市行政处罚业务办公系统、市公共信用信息平台、福州市 12345 便民服务平台、福州市网格化平台、福州市“两违”综合监管平台和渣土车管理系统等。</w:t>
      </w:r>
    </w:p>
    <w:p>
      <w:pPr>
        <w:pStyle w:val="14"/>
        <w:keepNext w:val="0"/>
        <w:keepLines w:val="0"/>
        <w:widowControl/>
        <w:suppressLineNumbers w:val="0"/>
        <w:rPr>
          <w:rFonts w:hint="eastAsia" w:ascii="宋体" w:hAnsi="宋体" w:eastAsia="宋体" w:cs="宋体"/>
          <w:color w:val="auto"/>
          <w:highlight w:val="none"/>
        </w:rPr>
      </w:pPr>
      <w:bookmarkStart w:id="14" w:name="_GoBack"/>
      <w:bookmarkEnd w:id="14"/>
    </w:p>
    <w:p>
      <w:pPr>
        <w:pStyle w:val="14"/>
        <w:keepNext w:val="0"/>
        <w:keepLines w:val="0"/>
        <w:widowControl/>
        <w:suppressLineNumbers w:val="0"/>
        <w:spacing w:before="75" w:beforeAutospacing="0" w:after="75" w:afterAutospacing="0"/>
        <w:ind w:left="0" w:right="0" w:firstLine="0"/>
        <w:outlineLvl w:val="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三、商务条件（以“★”标示的内容为不允许负偏离的实质性要求）</w:t>
      </w:r>
    </w:p>
    <w:p>
      <w:pPr>
        <w:keepNext w:val="0"/>
        <w:keepLines w:val="0"/>
        <w:widowControl/>
        <w:suppressLineNumbers w:val="0"/>
        <w:jc w:val="left"/>
        <w:rPr>
          <w:rFonts w:hint="eastAsia" w:ascii="宋体" w:hAnsi="宋体" w:eastAsia="宋体" w:cs="宋体"/>
          <w:color w:val="auto"/>
          <w:highlight w:val="none"/>
        </w:rPr>
      </w:pPr>
      <w:r>
        <w:rPr>
          <w:rStyle w:val="17"/>
          <w:rFonts w:hint="eastAsia" w:ascii="宋体" w:hAnsi="宋体" w:eastAsia="宋体" w:cs="宋体"/>
          <w:color w:val="auto"/>
          <w:kern w:val="0"/>
          <w:sz w:val="24"/>
          <w:szCs w:val="24"/>
          <w:highlight w:val="none"/>
          <w:lang w:val="en-US" w:eastAsia="zh-CN" w:bidi="ar"/>
        </w:rPr>
        <w:t>包：1</w:t>
      </w:r>
      <w:r>
        <w:rPr>
          <w:rStyle w:val="17"/>
          <w:rFonts w:hint="eastAsia" w:ascii="宋体" w:hAnsi="宋体" w:eastAsia="宋体" w:cs="宋体"/>
          <w:color w:val="auto"/>
          <w:kern w:val="0"/>
          <w:sz w:val="24"/>
          <w:szCs w:val="24"/>
          <w:highlight w:val="none"/>
          <w:lang w:val="en-US" w:eastAsia="zh-CN" w:bidi="ar"/>
        </w:rPr>
        <w:br w:type="textWrapping"/>
      </w:r>
      <w:r>
        <w:rPr>
          <w:rStyle w:val="17"/>
          <w:rFonts w:hint="eastAsia" w:ascii="宋体" w:hAnsi="宋体" w:eastAsia="宋体" w:cs="宋体"/>
          <w:color w:val="auto"/>
          <w:kern w:val="0"/>
          <w:sz w:val="24"/>
          <w:szCs w:val="24"/>
          <w:highlight w:val="none"/>
          <w:lang w:val="en-US" w:eastAsia="zh-CN" w:bidi="ar"/>
        </w:rPr>
        <w:t>1、交付地点：福建省福州市仓山区南江滨西大道199号福州规划馆4楼。</w:t>
      </w:r>
      <w:r>
        <w:rPr>
          <w:rStyle w:val="17"/>
          <w:rFonts w:hint="eastAsia" w:ascii="宋体" w:hAnsi="宋体" w:eastAsia="宋体" w:cs="宋体"/>
          <w:color w:val="auto"/>
          <w:kern w:val="0"/>
          <w:sz w:val="24"/>
          <w:szCs w:val="24"/>
          <w:highlight w:val="none"/>
          <w:lang w:val="en-US" w:eastAsia="zh-CN" w:bidi="ar"/>
        </w:rPr>
        <w:br w:type="textWrapping"/>
      </w:r>
      <w:r>
        <w:rPr>
          <w:rStyle w:val="17"/>
          <w:rFonts w:hint="eastAsia" w:ascii="宋体" w:hAnsi="宋体" w:eastAsia="宋体" w:cs="宋体"/>
          <w:color w:val="auto"/>
          <w:kern w:val="0"/>
          <w:sz w:val="24"/>
          <w:szCs w:val="24"/>
          <w:highlight w:val="none"/>
          <w:lang w:val="en-US" w:eastAsia="zh-CN" w:bidi="ar"/>
        </w:rPr>
        <w:t>2、交付时间：福州市城市综合管理服务平台项目建设期为合同签订后6个月。按建设进度由</w:t>
      </w:r>
      <w:r>
        <w:rPr>
          <w:rStyle w:val="17"/>
          <w:rFonts w:hint="eastAsia" w:ascii="宋体" w:hAnsi="宋体" w:eastAsia="宋体" w:cs="宋体"/>
          <w:color w:val="auto"/>
          <w:kern w:val="0"/>
          <w:sz w:val="24"/>
          <w:szCs w:val="24"/>
          <w:highlight w:val="none"/>
          <w:lang w:val="en-US" w:eastAsia="zh-Hans" w:bidi="ar"/>
        </w:rPr>
        <w:t>采购人</w:t>
      </w:r>
      <w:r>
        <w:rPr>
          <w:rStyle w:val="17"/>
          <w:rFonts w:hint="eastAsia" w:ascii="宋体" w:hAnsi="宋体" w:eastAsia="宋体" w:cs="宋体"/>
          <w:color w:val="auto"/>
          <w:kern w:val="0"/>
          <w:sz w:val="24"/>
          <w:szCs w:val="24"/>
          <w:highlight w:val="none"/>
          <w:lang w:val="en-US" w:eastAsia="zh-CN" w:bidi="ar"/>
        </w:rPr>
        <w:t>提出项目初验测试与终验测试，符合测试要求条件时提交初验测试报告、项目终验测试报告。</w:t>
      </w:r>
      <w:r>
        <w:rPr>
          <w:rStyle w:val="17"/>
          <w:rFonts w:hint="eastAsia" w:ascii="宋体" w:hAnsi="宋体" w:eastAsia="宋体" w:cs="宋体"/>
          <w:color w:val="auto"/>
          <w:kern w:val="0"/>
          <w:sz w:val="24"/>
          <w:szCs w:val="24"/>
          <w:highlight w:val="none"/>
          <w:lang w:val="en-US" w:eastAsia="zh-CN" w:bidi="ar"/>
        </w:rPr>
        <w:br w:type="textWrapping"/>
      </w:r>
      <w:r>
        <w:rPr>
          <w:rStyle w:val="17"/>
          <w:rFonts w:hint="eastAsia" w:ascii="宋体" w:hAnsi="宋体" w:eastAsia="宋体" w:cs="宋体"/>
          <w:color w:val="auto"/>
          <w:kern w:val="0"/>
          <w:sz w:val="24"/>
          <w:szCs w:val="24"/>
          <w:highlight w:val="none"/>
          <w:lang w:val="en-US" w:eastAsia="zh-CN" w:bidi="ar"/>
        </w:rPr>
        <w:t>3、交付条件：经采购人竣工验收合格后交付使用。</w:t>
      </w:r>
      <w:r>
        <w:rPr>
          <w:rStyle w:val="17"/>
          <w:rFonts w:hint="eastAsia" w:ascii="宋体" w:hAnsi="宋体" w:eastAsia="宋体" w:cs="宋体"/>
          <w:color w:val="auto"/>
          <w:kern w:val="0"/>
          <w:sz w:val="24"/>
          <w:szCs w:val="24"/>
          <w:highlight w:val="none"/>
          <w:lang w:val="en-US" w:eastAsia="zh-CN" w:bidi="ar"/>
        </w:rPr>
        <w:br w:type="textWrapping"/>
      </w:r>
      <w:r>
        <w:rPr>
          <w:rStyle w:val="17"/>
          <w:rFonts w:hint="eastAsia" w:ascii="宋体" w:hAnsi="宋体" w:eastAsia="宋体" w:cs="宋体"/>
          <w:color w:val="auto"/>
          <w:kern w:val="0"/>
          <w:sz w:val="24"/>
          <w:szCs w:val="24"/>
          <w:highlight w:val="none"/>
          <w:lang w:val="en-US" w:eastAsia="zh-CN" w:bidi="ar"/>
        </w:rPr>
        <w:t>4、是否收取履约保证金： 是。履约保证金百分比：10%。说明：若中标人为中小微企业，履约保证金百分比：8%。提交时间：中标人在合同签订后10个工作日内，向采购人提交见索即付保函。开具保函所需费用由中标人承担。履约保证金有效期至项目验收通过后28天内无息退还。</w:t>
      </w:r>
      <w:r>
        <w:rPr>
          <w:rStyle w:val="17"/>
          <w:rFonts w:hint="eastAsia" w:ascii="宋体" w:hAnsi="宋体" w:eastAsia="宋体" w:cs="宋体"/>
          <w:color w:val="auto"/>
          <w:kern w:val="0"/>
          <w:sz w:val="24"/>
          <w:szCs w:val="24"/>
          <w:highlight w:val="none"/>
          <w:lang w:val="en-US" w:eastAsia="zh-CN" w:bidi="ar"/>
        </w:rPr>
        <w:br w:type="textWrapping"/>
      </w:r>
      <w:r>
        <w:rPr>
          <w:rStyle w:val="17"/>
          <w:rFonts w:hint="eastAsia" w:ascii="宋体" w:hAnsi="宋体" w:eastAsia="宋体" w:cs="宋体"/>
          <w:color w:val="auto"/>
          <w:kern w:val="0"/>
          <w:sz w:val="24"/>
          <w:szCs w:val="24"/>
          <w:highlight w:val="none"/>
          <w:lang w:val="en-US" w:eastAsia="zh-CN" w:bidi="ar"/>
        </w:rPr>
        <w:t>5、是否邀请投标人参与验收：否</w:t>
      </w:r>
      <w:r>
        <w:rPr>
          <w:rStyle w:val="17"/>
          <w:rFonts w:hint="eastAsia" w:ascii="宋体" w:hAnsi="宋体" w:eastAsia="宋体" w:cs="宋体"/>
          <w:color w:val="auto"/>
          <w:kern w:val="0"/>
          <w:sz w:val="24"/>
          <w:szCs w:val="24"/>
          <w:highlight w:val="none"/>
          <w:lang w:val="en-US" w:eastAsia="zh-CN" w:bidi="ar"/>
        </w:rPr>
        <w:br w:type="textWrapping"/>
      </w:r>
      <w:r>
        <w:rPr>
          <w:rStyle w:val="17"/>
          <w:rFonts w:hint="eastAsia" w:ascii="宋体" w:hAnsi="宋体" w:eastAsia="宋体" w:cs="宋体"/>
          <w:color w:val="auto"/>
          <w:kern w:val="0"/>
          <w:sz w:val="24"/>
          <w:szCs w:val="24"/>
          <w:highlight w:val="none"/>
          <w:lang w:val="en-US" w:eastAsia="zh-CN" w:bidi="ar"/>
        </w:rPr>
        <w:t>6、验收方式数据表格</w:t>
      </w:r>
    </w:p>
    <w:tbl>
      <w:tblPr>
        <w:tblStyle w:val="15"/>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65"/>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验收期次</w:t>
            </w:r>
          </w:p>
        </w:tc>
        <w:tc>
          <w:tcPr>
            <w:tcW w:w="6661"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6661"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验收测试（初验）：系统设备安装、调试、软件开发、系统部署、软硬件集成、系统初步上线和应用培训等完成并达到本文件规定的指标后，可进行项目验收测试（初验）。中标人向采购人提交自检结果的报告，并提出初验申请，由采购人组织中标人及授权监理单位等共同实施对项目完成情况进行全面验收并进行检测，实施初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6661"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系统试运行：项目完成经初步验收后，进入三个月的试运行阶段。试运行期间中标人应有专业技术人员进行现场技术支持，出现的任何系统软硬件问题，应由中标人及时处理修正或更新，由于设备质量等造成某些指标达不到要求，允许中标人更换、修复、修改等，直至连续无故障试运行三个月，所产生的费用由中标人承担。同时，采购人将委托有资质的第三方检验（检测）机构对系统的整体性能和功能进行测试，测试结果必须符合招标文件要求及合同中的相关条款，中标人还应向采购人提供汇总的测试记录。系统经过三个月试运行，所有性能指标达到技术规范的要求时，可进行最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6661"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最终验收：在全部达到要求时，采购人将与中标人及授权监理单位三方签署最终验收文件。最终验收文件应当包括每一项技术、服务、安全标准的履约情况。验收结果经三方确认后，三方代表必须按规定的验收交接单上的项目对照本合同填好验收结果并签名盖章。在此期间，中标人在采购人现场进行安装、调试、集成直至验收所发生的一切费用由中标人承担且已含在投标总价中。</w:t>
            </w:r>
          </w:p>
        </w:tc>
      </w:tr>
    </w:tbl>
    <w:p>
      <w:pPr>
        <w:keepNext w:val="0"/>
        <w:keepLines w:val="0"/>
        <w:widowControl/>
        <w:suppressLineNumbers w:val="0"/>
        <w:jc w:val="left"/>
        <w:rPr>
          <w:rFonts w:hint="eastAsia" w:ascii="宋体" w:hAnsi="宋体" w:eastAsia="宋体" w:cs="宋体"/>
          <w:color w:val="auto"/>
          <w:highlight w:val="none"/>
        </w:rPr>
      </w:pPr>
      <w:r>
        <w:rPr>
          <w:rStyle w:val="17"/>
          <w:rFonts w:hint="eastAsia" w:ascii="宋体" w:hAnsi="宋体" w:eastAsia="宋体" w:cs="宋体"/>
          <w:color w:val="auto"/>
          <w:kern w:val="0"/>
          <w:sz w:val="24"/>
          <w:szCs w:val="24"/>
          <w:highlight w:val="none"/>
          <w:lang w:val="en-US" w:eastAsia="zh-CN" w:bidi="ar"/>
        </w:rPr>
        <w:t>7、支付方式数据表格</w:t>
      </w:r>
    </w:p>
    <w:tbl>
      <w:tblPr>
        <w:tblStyle w:val="15"/>
        <w:tblW w:w="832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65"/>
        <w:gridCol w:w="166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支付期次</w:t>
            </w:r>
          </w:p>
        </w:tc>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支付比例(%)</w:t>
            </w:r>
          </w:p>
        </w:tc>
        <w:tc>
          <w:tcPr>
            <w:tcW w:w="499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10</w:t>
            </w:r>
          </w:p>
        </w:tc>
        <w:tc>
          <w:tcPr>
            <w:tcW w:w="499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签订合同后待财政款下达后15个工作日内支付合同总金额的10%。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10</w:t>
            </w:r>
          </w:p>
        </w:tc>
        <w:tc>
          <w:tcPr>
            <w:tcW w:w="499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项目初验后待财政款下达后15个工作日内支付合同总金额的10%。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20</w:t>
            </w:r>
          </w:p>
        </w:tc>
        <w:tc>
          <w:tcPr>
            <w:tcW w:w="499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项目终验后待财政款下达后15个工作日内支付合同总金额的20%。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w:t>
            </w:r>
          </w:p>
        </w:tc>
        <w:tc>
          <w:tcPr>
            <w:tcW w:w="1665"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60</w:t>
            </w:r>
          </w:p>
        </w:tc>
        <w:tc>
          <w:tcPr>
            <w:tcW w:w="4996" w:type="dxa"/>
            <w:shd w:val="clear" w:color="auto" w:fill="auto"/>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自终验合格算起，余下合同总额的60%作为项目运维款，运维保修期为3年，按运维年度分批次支付项目运维款，每年在待财政款下达后15个工作日内支付</w:t>
            </w:r>
          </w:p>
        </w:tc>
      </w:tr>
    </w:tbl>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4"/>
          <w:szCs w:val="24"/>
          <w:highlight w:val="none"/>
        </w:rPr>
        <w:t>8、投标人应按照本项目特点提供长期良好的售后服务，</w:t>
      </w:r>
      <w:r>
        <w:rPr>
          <w:rFonts w:hint="eastAsia" w:ascii="宋体" w:hAnsi="宋体" w:eastAsia="宋体" w:cs="宋体"/>
          <w:color w:val="auto"/>
          <w:sz w:val="24"/>
          <w:szCs w:val="24"/>
          <w:highlight w:val="none"/>
          <w:lang w:eastAsia="zh-CN"/>
        </w:rPr>
        <w:t>需根据国家住建部发布的与城市运行管理服务平台有关的标准要求配合开展项目验收工</w:t>
      </w:r>
      <w:r>
        <w:rPr>
          <w:rFonts w:hint="eastAsia" w:ascii="宋体" w:hAnsi="宋体" w:eastAsia="宋体" w:cs="宋体"/>
          <w:b w:val="0"/>
          <w:bCs w:val="0"/>
          <w:color w:val="auto"/>
          <w:sz w:val="24"/>
          <w:szCs w:val="24"/>
          <w:highlight w:val="none"/>
          <w:lang w:eastAsia="zh-CN"/>
        </w:rPr>
        <w:t>作，</w:t>
      </w:r>
      <w:r>
        <w:rPr>
          <w:rFonts w:hint="eastAsia" w:ascii="宋体" w:hAnsi="宋体" w:eastAsia="宋体" w:cs="宋体"/>
          <w:b/>
          <w:bCs/>
          <w:color w:val="auto"/>
          <w:sz w:val="24"/>
          <w:szCs w:val="24"/>
          <w:highlight w:val="none"/>
        </w:rPr>
        <w:t>并在投标文件中</w:t>
      </w:r>
      <w:r>
        <w:rPr>
          <w:rFonts w:hint="eastAsia" w:ascii="宋体" w:hAnsi="宋体" w:eastAsia="宋体" w:cs="宋体"/>
          <w:b/>
          <w:bCs/>
          <w:color w:val="auto"/>
          <w:sz w:val="24"/>
          <w:szCs w:val="24"/>
          <w:highlight w:val="none"/>
          <w:lang w:val="en-US" w:eastAsia="zh-Hans"/>
        </w:rPr>
        <w:t>提供相应承诺函</w:t>
      </w:r>
      <w:r>
        <w:rPr>
          <w:rFonts w:hint="eastAsia" w:ascii="宋体" w:hAnsi="宋体" w:eastAsia="宋体" w:cs="宋体"/>
          <w:b/>
          <w:bCs/>
          <w:color w:val="auto"/>
          <w:sz w:val="24"/>
          <w:szCs w:val="24"/>
          <w:highlight w:val="none"/>
          <w:lang w:val="en-US" w:eastAsia="zh-CN"/>
        </w:rPr>
        <w:t>（格式自拟）</w:t>
      </w:r>
      <w:r>
        <w:rPr>
          <w:rFonts w:hint="default" w:ascii="宋体" w:hAnsi="宋体" w:eastAsia="宋体" w:cs="宋体"/>
          <w:color w:val="auto"/>
          <w:sz w:val="24"/>
          <w:szCs w:val="24"/>
          <w:highlight w:val="none"/>
          <w:lang w:eastAsia="zh-Hans"/>
        </w:rPr>
        <w:t>。</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4"/>
          <w:szCs w:val="24"/>
          <w:highlight w:val="none"/>
        </w:rPr>
        <w:t>9、运维保修期（自项目终验通过后开始计算）为3年（除标书中另有要求除外）。运维保修期内，中标人应免费提供所有系统软件的运营维护，应及时免费提供系统软件的最新版本，提供1次免费数据更新服务。</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4"/>
          <w:szCs w:val="24"/>
          <w:highlight w:val="none"/>
        </w:rPr>
        <w:t>10、中标人必须具有及时有效的维修手段，系统出现故障，接到采购人要求维修通知后，应赶到现场维修。若问题不能现场解决，应采取相应措施以保证系统正常运行，必要时包括更换必要的软件、硬件。</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4"/>
          <w:szCs w:val="24"/>
          <w:highlight w:val="none"/>
        </w:rPr>
        <w:t>11、运维保修期内，中标人应免费提供相应的备件；并免费对软件进行升级服务。免费保修期结束后，中标人提供终身免费咨询，</w:t>
      </w:r>
      <w:r>
        <w:rPr>
          <w:rFonts w:hint="eastAsia" w:ascii="宋体" w:hAnsi="宋体" w:eastAsia="宋体" w:cs="宋体"/>
          <w:color w:val="auto"/>
          <w:sz w:val="24"/>
          <w:szCs w:val="24"/>
          <w:highlight w:val="none"/>
          <w:lang w:val="en-US" w:eastAsia="zh-Hans"/>
        </w:rPr>
        <w:t>且</w:t>
      </w:r>
      <w:r>
        <w:rPr>
          <w:rFonts w:hint="eastAsia" w:ascii="宋体" w:hAnsi="宋体" w:eastAsia="宋体" w:cs="宋体"/>
          <w:color w:val="auto"/>
          <w:sz w:val="24"/>
          <w:szCs w:val="24"/>
          <w:highlight w:val="none"/>
        </w:rPr>
        <w:t>货物一旦出现故障，中标人应提供维修所需的零配件，并派出检修人员在24小时内到货物安装现场对货物进行维修，只收取更换的零配件成本费和检修人员实际发生的差旅费。</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4"/>
          <w:szCs w:val="24"/>
          <w:highlight w:val="none"/>
        </w:rPr>
        <w:t>12、遇有重大事件与</w:t>
      </w:r>
      <w:r>
        <w:rPr>
          <w:rFonts w:hint="eastAsia" w:ascii="宋体" w:hAnsi="宋体" w:eastAsia="宋体" w:cs="宋体"/>
          <w:color w:val="auto"/>
          <w:sz w:val="24"/>
          <w:szCs w:val="24"/>
          <w:highlight w:val="none"/>
          <w:lang w:val="en-US" w:eastAsia="zh-Hans"/>
        </w:rPr>
        <w:t>采购人</w:t>
      </w:r>
      <w:r>
        <w:rPr>
          <w:rFonts w:hint="default"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或</w:t>
      </w:r>
      <w:r>
        <w:rPr>
          <w:rFonts w:hint="eastAsia" w:ascii="宋体" w:hAnsi="宋体" w:eastAsia="宋体" w:cs="宋体"/>
          <w:color w:val="auto"/>
          <w:sz w:val="24"/>
          <w:szCs w:val="24"/>
          <w:highlight w:val="none"/>
        </w:rPr>
        <w:t>使用方</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要求情况下，中标人必须派维护工程师提前到场，进行设备软硬件维护与保障。</w:t>
      </w:r>
    </w:p>
    <w:p>
      <w:pPr>
        <w:pStyle w:val="14"/>
        <w:keepNext w:val="0"/>
        <w:keepLines w:val="0"/>
        <w:widowControl/>
        <w:suppressLineNumbers w:val="0"/>
        <w:spacing w:before="75" w:beforeAutospacing="0" w:after="75"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定期巡检：每半年定期巡检一次，检查设备的运行情况，了解用户使用条件和负载是否合理，及时向用户建议改进和纠正措施，提供必要的技术支持。对使用和管理设备人员进行现场指导培训，确保设备稳定正常地工作。</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★注意：本章节“三、商务条件”1-13条的内容均为不允许负偏离的实质性要求。</w:t>
      </w:r>
    </w:p>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spacing w:val="0"/>
          <w:kern w:val="0"/>
          <w:sz w:val="24"/>
          <w:szCs w:val="24"/>
          <w:highlight w:val="none"/>
          <w:lang w:val="en-US" w:eastAsia="zh-CN" w:bidi="ar"/>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四、其他事项</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1、除招标文件另有规定外，若出现有关法律、法规和规章有强制性规定但招标文件未列明的情形，则投标人应按照有关法律、法规和规章强制性规定执行。</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2、其他：</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rPr>
          <w:rStyle w:val="17"/>
          <w:rFonts w:hint="eastAsia" w:ascii="宋体" w:hAnsi="宋体" w:eastAsia="宋体" w:cs="宋体"/>
          <w:color w:val="auto"/>
          <w:spacing w:val="0"/>
          <w:sz w:val="31"/>
          <w:szCs w:val="31"/>
          <w:highlight w:val="none"/>
        </w:rPr>
      </w:pPr>
      <w:r>
        <w:rPr>
          <w:rStyle w:val="17"/>
          <w:rFonts w:hint="eastAsia" w:ascii="宋体" w:hAnsi="宋体" w:eastAsia="宋体" w:cs="宋体"/>
          <w:color w:val="auto"/>
          <w:spacing w:val="0"/>
          <w:sz w:val="31"/>
          <w:szCs w:val="31"/>
          <w:highlight w:val="none"/>
        </w:rPr>
        <w:br w:type="page"/>
      </w:r>
    </w:p>
    <w:p>
      <w:pPr>
        <w:pStyle w:val="14"/>
        <w:keepNext w:val="0"/>
        <w:keepLines w:val="0"/>
        <w:widowControl/>
        <w:suppressLineNumbers w:val="0"/>
        <w:spacing w:before="75" w:beforeAutospacing="0" w:after="75" w:afterAutospacing="0"/>
        <w:ind w:left="0" w:right="0" w:firstLine="0"/>
        <w:jc w:val="center"/>
        <w:outlineLvl w:val="0"/>
        <w:rPr>
          <w:rFonts w:hint="eastAsia" w:ascii="宋体" w:hAnsi="宋体" w:eastAsia="宋体" w:cs="宋体"/>
          <w:color w:val="auto"/>
          <w:highlight w:val="none"/>
        </w:rPr>
      </w:pPr>
      <w:bookmarkStart w:id="9" w:name="_Toc12863"/>
      <w:r>
        <w:rPr>
          <w:rStyle w:val="17"/>
          <w:rFonts w:hint="eastAsia" w:ascii="宋体" w:hAnsi="宋体" w:eastAsia="宋体" w:cs="宋体"/>
          <w:color w:val="auto"/>
          <w:spacing w:val="0"/>
          <w:sz w:val="31"/>
          <w:szCs w:val="31"/>
          <w:highlight w:val="none"/>
        </w:rPr>
        <w:t>第六章   政府采购合同（参考文本）</w:t>
      </w:r>
      <w:bookmarkEnd w:id="9"/>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编制说明</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1、签订合同应遵守政府采购法、民法典。</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14"/>
        <w:keepNext w:val="0"/>
        <w:keepLines w:val="0"/>
        <w:widowControl/>
        <w:suppressLineNumbers w:val="0"/>
        <w:spacing w:before="75" w:beforeAutospacing="0" w:after="240" w:afterAutospacing="0"/>
        <w:ind w:left="0" w:right="0" w:firstLine="0"/>
        <w:rPr>
          <w:rFonts w:hint="eastAsia" w:ascii="宋体" w:hAnsi="宋体" w:eastAsia="宋体" w:cs="宋体"/>
          <w:color w:val="auto"/>
          <w:highlight w:val="none"/>
        </w:rPr>
      </w:pPr>
      <w:r>
        <w:rPr>
          <w:rStyle w:val="17"/>
          <w:rFonts w:hint="eastAsia" w:ascii="宋体" w:hAnsi="宋体" w:eastAsia="宋体" w:cs="宋体"/>
          <w:color w:val="auto"/>
          <w:spacing w:val="0"/>
          <w:sz w:val="24"/>
          <w:szCs w:val="24"/>
          <w:highlight w:val="none"/>
        </w:rPr>
        <w:t>3、国家有关部门对若干合同有规范文本的，可使用相应合同文本。</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甲方：</w:t>
      </w:r>
      <w:r>
        <w:rPr>
          <w:rFonts w:hint="eastAsia" w:ascii="宋体" w:hAnsi="宋体" w:eastAsia="宋体" w:cs="宋体"/>
          <w:color w:val="auto"/>
          <w:spacing w:val="0"/>
          <w:sz w:val="24"/>
          <w:szCs w:val="24"/>
          <w:highlight w:val="none"/>
          <w:u w:val="single"/>
        </w:rPr>
        <w:t>（采购人全称）</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乙方：</w:t>
      </w:r>
      <w:r>
        <w:rPr>
          <w:rFonts w:hint="eastAsia" w:ascii="宋体" w:hAnsi="宋体" w:eastAsia="宋体" w:cs="宋体"/>
          <w:color w:val="auto"/>
          <w:spacing w:val="0"/>
          <w:sz w:val="24"/>
          <w:szCs w:val="24"/>
          <w:highlight w:val="none"/>
          <w:u w:val="single"/>
        </w:rPr>
        <w:t>（中标人全称）</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根据项目编号为</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rPr>
        <w:t>（填写“项目名称”）</w:t>
      </w:r>
      <w:r>
        <w:rPr>
          <w:rFonts w:hint="eastAsia" w:ascii="宋体" w:hAnsi="宋体" w:eastAsia="宋体" w:cs="宋体"/>
          <w:color w:val="auto"/>
          <w:spacing w:val="0"/>
          <w:sz w:val="24"/>
          <w:szCs w:val="24"/>
          <w:highlight w:val="none"/>
        </w:rPr>
        <w:t>项目（以下简称：“本项目”）的招标结果，乙方为中标人。现经甲乙双方友好协商，就以下事项达成一致并签订本合同：</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1、下列合同文件是构成本合同不可分割的部分：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1.1合同条款；</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1.2招标文件、乙方的投标文件；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1.3其他文件或材料：□无。□</w:t>
      </w:r>
      <w:r>
        <w:rPr>
          <w:rFonts w:hint="eastAsia" w:ascii="宋体" w:hAnsi="宋体" w:eastAsia="宋体" w:cs="宋体"/>
          <w:color w:val="auto"/>
          <w:spacing w:val="0"/>
          <w:highlight w:val="none"/>
        </w:rPr>
        <w:t>（若有联合协议或分包意向协议）。</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2、合同标的</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u w:val="single"/>
        </w:rPr>
        <w:t>（按照实际情况编制填写，可以是表格或文字描述）</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3、合同总金额</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3.1合同总金额为人民币大写：</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元（￥</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4、合同标的交付时间、地点和条件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4.1交付时间：</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4.2交付地点：</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4.3交付条件：</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5、合同标的应符合招标文件、乙方投标文件的规定或约定，具体如下：</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u w:val="single"/>
        </w:rPr>
        <w:t>（按照实际情况编制填写，可以是表格或文字描述）</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6、验收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6.1验收应按照招标文件、乙方投标文件的规定或约定进行，具体如下：</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u w:val="single"/>
        </w:rPr>
        <w:t>（按照实际情况编制填写，可以是表格或文字描述）</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6.2本项目是否邀请其他投标人参与验收：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□不邀请。□邀请，具体如下：</w:t>
      </w:r>
      <w:r>
        <w:rPr>
          <w:rFonts w:hint="eastAsia" w:ascii="宋体" w:hAnsi="宋体" w:eastAsia="宋体" w:cs="宋体"/>
          <w:color w:val="auto"/>
          <w:spacing w:val="0"/>
          <w:sz w:val="24"/>
          <w:szCs w:val="24"/>
          <w:highlight w:val="none"/>
          <w:u w:val="single"/>
        </w:rPr>
        <w:t>（按照招标文件规定填写）</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7、合同款项的支付应按照招标文件的规定进行，具体如下：</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u w:val="single"/>
        </w:rPr>
        <w:t>（按照实际情况编制填写，可以是表格或文字描述，包括一次性支付或分期支付等）</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8、履约保证金</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□无。□有，具体如下：</w:t>
      </w:r>
      <w:r>
        <w:rPr>
          <w:rFonts w:hint="eastAsia" w:ascii="宋体" w:hAnsi="宋体" w:eastAsia="宋体" w:cs="宋体"/>
          <w:color w:val="auto"/>
          <w:spacing w:val="0"/>
          <w:sz w:val="24"/>
          <w:szCs w:val="24"/>
          <w:highlight w:val="none"/>
          <w:u w:val="single"/>
        </w:rPr>
        <w:t>（按照招标文件规定填写）</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9、合同有效期</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u w:val="single"/>
        </w:rPr>
        <w:t>（按照实际情况编制填写，可以是表格或文字描述）</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10、违约责任</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u w:val="single"/>
        </w:rPr>
        <w:t>（按照实际情况编制填写，可以是表格或文字描述）</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11、知识产权</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pacing w:val="0"/>
          <w:sz w:val="24"/>
          <w:szCs w:val="24"/>
          <w:highlight w:val="none"/>
          <w:u w:val="single"/>
        </w:rPr>
        <w:t>（按照实际情况编制填写）</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12、解决争议的方法</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12.1甲、乙双方协商解决。</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12.2若协商解决不成，则通过下列途径之一解决：</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□提交仲裁委员会仲裁，具体如下：</w:t>
      </w:r>
      <w:r>
        <w:rPr>
          <w:rFonts w:hint="eastAsia" w:ascii="宋体" w:hAnsi="宋体" w:eastAsia="宋体" w:cs="宋体"/>
          <w:color w:val="auto"/>
          <w:spacing w:val="0"/>
          <w:sz w:val="24"/>
          <w:szCs w:val="24"/>
          <w:highlight w:val="none"/>
          <w:u w:val="single"/>
        </w:rPr>
        <w:t>（按照实际情况编制填写）</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（按照实际情况编制填写）</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13、不可抗力</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14、合同条款</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15、其他约定</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15.1合同文件与本合同具有同等法律效力。</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15.2本合同未尽事宜，双方可另行补充。</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15.4本合同一式</w:t>
      </w:r>
      <w:r>
        <w:rPr>
          <w:rFonts w:hint="eastAsia" w:ascii="宋体" w:hAnsi="宋体" w:eastAsia="宋体" w:cs="宋体"/>
          <w:color w:val="auto"/>
          <w:spacing w:val="0"/>
          <w:sz w:val="24"/>
          <w:szCs w:val="24"/>
          <w:highlight w:val="none"/>
          <w:u w:val="single"/>
        </w:rPr>
        <w:t>（填写具体份数）</w:t>
      </w:r>
      <w:r>
        <w:rPr>
          <w:rFonts w:hint="eastAsia" w:ascii="宋体" w:hAnsi="宋体" w:eastAsia="宋体" w:cs="宋体"/>
          <w:color w:val="auto"/>
          <w:spacing w:val="0"/>
          <w:sz w:val="24"/>
          <w:szCs w:val="24"/>
          <w:highlight w:val="none"/>
        </w:rPr>
        <w:t>份，经双方授权代表签字并盖章后生效。甲方、乙方各执</w:t>
      </w:r>
      <w:r>
        <w:rPr>
          <w:rFonts w:hint="eastAsia" w:ascii="宋体" w:hAnsi="宋体" w:eastAsia="宋体" w:cs="宋体"/>
          <w:color w:val="auto"/>
          <w:spacing w:val="0"/>
          <w:sz w:val="24"/>
          <w:szCs w:val="24"/>
          <w:highlight w:val="none"/>
          <w:u w:val="single"/>
        </w:rPr>
        <w:t>（填写具体份数）</w:t>
      </w:r>
      <w:r>
        <w:rPr>
          <w:rFonts w:hint="eastAsia" w:ascii="宋体" w:hAnsi="宋体" w:eastAsia="宋体" w:cs="宋体"/>
          <w:color w:val="auto"/>
          <w:spacing w:val="0"/>
          <w:sz w:val="24"/>
          <w:szCs w:val="24"/>
          <w:highlight w:val="none"/>
        </w:rPr>
        <w:t>份，送</w:t>
      </w:r>
      <w:r>
        <w:rPr>
          <w:rFonts w:hint="eastAsia" w:ascii="宋体" w:hAnsi="宋体" w:eastAsia="宋体" w:cs="宋体"/>
          <w:color w:val="auto"/>
          <w:spacing w:val="0"/>
          <w:sz w:val="24"/>
          <w:szCs w:val="24"/>
          <w:highlight w:val="none"/>
          <w:u w:val="single"/>
        </w:rPr>
        <w:t>（填写需要备案的监管部门的全称）</w:t>
      </w:r>
      <w:r>
        <w:rPr>
          <w:rFonts w:hint="eastAsia" w:ascii="宋体" w:hAnsi="宋体" w:eastAsia="宋体" w:cs="宋体"/>
          <w:color w:val="auto"/>
          <w:spacing w:val="0"/>
          <w:sz w:val="24"/>
          <w:szCs w:val="24"/>
          <w:highlight w:val="none"/>
        </w:rPr>
        <w:t>备案</w:t>
      </w:r>
      <w:r>
        <w:rPr>
          <w:rFonts w:hint="eastAsia" w:ascii="宋体" w:hAnsi="宋体" w:eastAsia="宋体" w:cs="宋体"/>
          <w:color w:val="auto"/>
          <w:spacing w:val="0"/>
          <w:sz w:val="24"/>
          <w:szCs w:val="24"/>
          <w:highlight w:val="none"/>
          <w:u w:val="single"/>
        </w:rPr>
        <w:t>（填写具体份数）</w:t>
      </w:r>
      <w:r>
        <w:rPr>
          <w:rFonts w:hint="eastAsia" w:ascii="宋体" w:hAnsi="宋体" w:eastAsia="宋体" w:cs="宋体"/>
          <w:color w:val="auto"/>
          <w:spacing w:val="0"/>
          <w:sz w:val="24"/>
          <w:szCs w:val="24"/>
          <w:highlight w:val="none"/>
        </w:rPr>
        <w:t>份，具有同等效力。</w:t>
      </w:r>
    </w:p>
    <w:p>
      <w:pPr>
        <w:pStyle w:val="14"/>
        <w:keepNext w:val="0"/>
        <w:keepLines w:val="0"/>
        <w:widowControl/>
        <w:suppressLineNumbers w:val="0"/>
        <w:spacing w:before="75" w:beforeAutospacing="0" w:after="75" w:afterAutospacing="0"/>
        <w:ind w:left="0" w:right="0" w:firstLine="48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15.5其他：□无。□</w:t>
      </w:r>
      <w:r>
        <w:rPr>
          <w:rFonts w:hint="eastAsia" w:ascii="宋体" w:hAnsi="宋体" w:eastAsia="宋体" w:cs="宋体"/>
          <w:color w:val="auto"/>
          <w:spacing w:val="0"/>
          <w:sz w:val="24"/>
          <w:szCs w:val="24"/>
          <w:highlight w:val="none"/>
          <w:u w:val="single"/>
        </w:rPr>
        <w:t>（按照实际情况编制填写需要增加的内容）</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（以下无正文）</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甲方：                 乙方：</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住所：                 住所：</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单位负责人：              单位负责人：</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委托代理人：              委托代理人：</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联系方法：                   联系方法：</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纳税人识别号：                 纳税人识别号：</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开户银行：               开户银行：</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账号：                 账号：</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签订地点：</w:t>
      </w:r>
      <w:r>
        <w:rPr>
          <w:rFonts w:hint="eastAsia" w:ascii="宋体" w:hAnsi="宋体" w:eastAsia="宋体" w:cs="宋体"/>
          <w:color w:val="auto"/>
          <w:spacing w:val="0"/>
          <w:sz w:val="24"/>
          <w:szCs w:val="24"/>
          <w:highlight w:val="none"/>
          <w:u w:val="single"/>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签订日期：</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日</w:t>
      </w:r>
    </w:p>
    <w:p>
      <w:pPr>
        <w:pStyle w:val="14"/>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240"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1"/>
          <w:szCs w:val="21"/>
          <w:highlight w:val="none"/>
        </w:rPr>
        <w:t>                                                                                  </w:t>
      </w:r>
    </w:p>
    <w:p>
      <w:pPr>
        <w:rPr>
          <w:rStyle w:val="17"/>
          <w:rFonts w:hint="eastAsia" w:ascii="宋体" w:hAnsi="宋体" w:eastAsia="宋体" w:cs="宋体"/>
          <w:color w:val="auto"/>
          <w:spacing w:val="0"/>
          <w:sz w:val="31"/>
          <w:szCs w:val="31"/>
          <w:highlight w:val="none"/>
        </w:rPr>
      </w:pPr>
      <w:r>
        <w:rPr>
          <w:rStyle w:val="17"/>
          <w:rFonts w:hint="eastAsia" w:ascii="宋体" w:hAnsi="宋体" w:eastAsia="宋体" w:cs="宋体"/>
          <w:color w:val="auto"/>
          <w:spacing w:val="0"/>
          <w:sz w:val="31"/>
          <w:szCs w:val="31"/>
          <w:highlight w:val="none"/>
        </w:rPr>
        <w:br w:type="page"/>
      </w:r>
    </w:p>
    <w:p>
      <w:pPr>
        <w:pStyle w:val="14"/>
        <w:keepNext w:val="0"/>
        <w:keepLines w:val="0"/>
        <w:widowControl/>
        <w:suppressLineNumbers w:val="0"/>
        <w:spacing w:before="75" w:beforeAutospacing="0" w:after="75" w:afterAutospacing="0"/>
        <w:ind w:left="0" w:right="0" w:firstLine="0"/>
        <w:jc w:val="center"/>
        <w:outlineLvl w:val="0"/>
        <w:rPr>
          <w:rFonts w:hint="eastAsia" w:ascii="宋体" w:hAnsi="宋体" w:eastAsia="宋体" w:cs="宋体"/>
          <w:color w:val="auto"/>
          <w:highlight w:val="none"/>
        </w:rPr>
      </w:pPr>
      <w:bookmarkStart w:id="10" w:name="_Toc30408"/>
      <w:r>
        <w:rPr>
          <w:rStyle w:val="17"/>
          <w:rFonts w:hint="eastAsia" w:ascii="宋体" w:hAnsi="宋体" w:eastAsia="宋体" w:cs="宋体"/>
          <w:color w:val="auto"/>
          <w:spacing w:val="0"/>
          <w:sz w:val="31"/>
          <w:szCs w:val="31"/>
          <w:highlight w:val="none"/>
        </w:rPr>
        <w:t>第七章   投标文件格式</w:t>
      </w:r>
      <w:bookmarkEnd w:id="10"/>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编制说明</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1、除招标文件另有规定外，本章中：</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1.1涉及投标人的</w:t>
      </w:r>
      <w:r>
        <w:rPr>
          <w:rStyle w:val="17"/>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rPr>
        <w:t>：</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（1）不接受联合体投标的，指</w:t>
      </w:r>
      <w:r>
        <w:rPr>
          <w:rStyle w:val="17"/>
          <w:rFonts w:hint="eastAsia" w:ascii="宋体" w:hAnsi="宋体" w:eastAsia="宋体" w:cs="宋体"/>
          <w:color w:val="auto"/>
          <w:sz w:val="24"/>
          <w:szCs w:val="24"/>
          <w:highlight w:val="none"/>
        </w:rPr>
        <w:t>投标人的全称</w:t>
      </w:r>
      <w:r>
        <w:rPr>
          <w:rFonts w:hint="eastAsia" w:ascii="宋体" w:hAnsi="宋体" w:eastAsia="宋体" w:cs="宋体"/>
          <w:color w:val="auto"/>
          <w:sz w:val="24"/>
          <w:szCs w:val="24"/>
          <w:highlight w:val="none"/>
        </w:rPr>
        <w:t>。</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（2）接受联合体投标且投标人为联合体的，指</w:t>
      </w:r>
      <w:r>
        <w:rPr>
          <w:rStyle w:val="17"/>
          <w:rFonts w:hint="eastAsia" w:ascii="宋体" w:hAnsi="宋体" w:eastAsia="宋体" w:cs="宋体"/>
          <w:color w:val="auto"/>
          <w:sz w:val="24"/>
          <w:szCs w:val="24"/>
          <w:highlight w:val="none"/>
        </w:rPr>
        <w:t>牵头方的全称</w:t>
      </w:r>
      <w:r>
        <w:rPr>
          <w:rFonts w:hint="eastAsia" w:ascii="宋体" w:hAnsi="宋体" w:eastAsia="宋体" w:cs="宋体"/>
          <w:color w:val="auto"/>
          <w:sz w:val="24"/>
          <w:szCs w:val="24"/>
          <w:highlight w:val="none"/>
        </w:rPr>
        <w:t>并加注</w:t>
      </w:r>
      <w:r>
        <w:rPr>
          <w:rStyle w:val="17"/>
          <w:rFonts w:hint="eastAsia" w:ascii="宋体" w:hAnsi="宋体" w:eastAsia="宋体" w:cs="宋体"/>
          <w:color w:val="auto"/>
          <w:sz w:val="24"/>
          <w:szCs w:val="24"/>
          <w:highlight w:val="none"/>
        </w:rPr>
        <w:t>（联合体牵头方）</w:t>
      </w:r>
      <w:r>
        <w:rPr>
          <w:rFonts w:hint="eastAsia" w:ascii="宋体" w:hAnsi="宋体" w:eastAsia="宋体" w:cs="宋体"/>
          <w:color w:val="auto"/>
          <w:sz w:val="24"/>
          <w:szCs w:val="24"/>
          <w:highlight w:val="none"/>
        </w:rPr>
        <w:t>，即应表述为：</w:t>
      </w:r>
      <w:r>
        <w:rPr>
          <w:rStyle w:val="17"/>
          <w:rFonts w:hint="eastAsia" w:ascii="宋体" w:hAnsi="宋体" w:eastAsia="宋体" w:cs="宋体"/>
          <w:color w:val="auto"/>
          <w:sz w:val="24"/>
          <w:szCs w:val="24"/>
          <w:highlight w:val="none"/>
        </w:rPr>
        <w:t>“牵头方的全称（联合体牵头方）”</w:t>
      </w:r>
      <w:r>
        <w:rPr>
          <w:rFonts w:hint="eastAsia" w:ascii="宋体" w:hAnsi="宋体" w:eastAsia="宋体" w:cs="宋体"/>
          <w:color w:val="auto"/>
          <w:sz w:val="24"/>
          <w:szCs w:val="24"/>
          <w:highlight w:val="none"/>
        </w:rPr>
        <w:t>。</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1.2涉及投标人</w:t>
      </w:r>
      <w:r>
        <w:rPr>
          <w:rStyle w:val="17"/>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rPr>
        <w:t>：</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（1）不接受联合体投标的，指</w:t>
      </w:r>
      <w:r>
        <w:rPr>
          <w:rStyle w:val="17"/>
          <w:rFonts w:hint="eastAsia" w:ascii="宋体" w:hAnsi="宋体" w:eastAsia="宋体" w:cs="宋体"/>
          <w:color w:val="auto"/>
          <w:sz w:val="24"/>
          <w:szCs w:val="24"/>
          <w:highlight w:val="none"/>
        </w:rPr>
        <w:t>加盖投标人的单位公章</w:t>
      </w:r>
      <w:r>
        <w:rPr>
          <w:rFonts w:hint="eastAsia" w:ascii="宋体" w:hAnsi="宋体" w:eastAsia="宋体" w:cs="宋体"/>
          <w:color w:val="auto"/>
          <w:sz w:val="24"/>
          <w:szCs w:val="24"/>
          <w:highlight w:val="none"/>
        </w:rPr>
        <w:t>。</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（2）接受联合体投标且投标人为联合体的，指</w:t>
      </w:r>
      <w:r>
        <w:rPr>
          <w:rStyle w:val="17"/>
          <w:rFonts w:hint="eastAsia" w:ascii="宋体" w:hAnsi="宋体" w:eastAsia="宋体" w:cs="宋体"/>
          <w:color w:val="auto"/>
          <w:sz w:val="24"/>
          <w:szCs w:val="24"/>
          <w:highlight w:val="none"/>
        </w:rPr>
        <w:t>加盖联合体牵头方的单位公章</w:t>
      </w:r>
      <w:r>
        <w:rPr>
          <w:rFonts w:hint="eastAsia" w:ascii="宋体" w:hAnsi="宋体" w:eastAsia="宋体" w:cs="宋体"/>
          <w:color w:val="auto"/>
          <w:sz w:val="24"/>
          <w:szCs w:val="24"/>
          <w:highlight w:val="none"/>
        </w:rPr>
        <w:t>。</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1.3涉及</w:t>
      </w:r>
      <w:r>
        <w:rPr>
          <w:rStyle w:val="17"/>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rPr>
        <w:t>：</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（1）不接受联合体投标的，指由</w:t>
      </w:r>
      <w:r>
        <w:rPr>
          <w:rStyle w:val="17"/>
          <w:rFonts w:hint="eastAsia" w:ascii="宋体" w:hAnsi="宋体" w:eastAsia="宋体" w:cs="宋体"/>
          <w:color w:val="auto"/>
          <w:sz w:val="24"/>
          <w:szCs w:val="24"/>
          <w:highlight w:val="none"/>
        </w:rPr>
        <w:t>投标人的单位负责人或其授权的委托代理人签字</w:t>
      </w:r>
      <w:r>
        <w:rPr>
          <w:rFonts w:hint="eastAsia" w:ascii="宋体" w:hAnsi="宋体" w:eastAsia="宋体" w:cs="宋体"/>
          <w:color w:val="auto"/>
          <w:sz w:val="24"/>
          <w:szCs w:val="24"/>
          <w:highlight w:val="none"/>
        </w:rPr>
        <w:t>，由委托代理人签字的，应提供“单位授权书”。</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（2）接受联合体投标且投标人为联合体的，指由</w:t>
      </w:r>
      <w:r>
        <w:rPr>
          <w:rStyle w:val="17"/>
          <w:rFonts w:hint="eastAsia" w:ascii="宋体" w:hAnsi="宋体" w:eastAsia="宋体" w:cs="宋体"/>
          <w:color w:val="auto"/>
          <w:sz w:val="24"/>
          <w:szCs w:val="24"/>
          <w:highlight w:val="none"/>
        </w:rPr>
        <w:t>联合体牵头方的单位负责人或其授权的委托代理人签字</w:t>
      </w:r>
      <w:r>
        <w:rPr>
          <w:rFonts w:hint="eastAsia" w:ascii="宋体" w:hAnsi="宋体" w:eastAsia="宋体" w:cs="宋体"/>
          <w:color w:val="auto"/>
          <w:sz w:val="24"/>
          <w:szCs w:val="24"/>
          <w:highlight w:val="none"/>
        </w:rPr>
        <w:t>，由委托代理人签字的，应提供“单位授权书”。</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1.4</w:t>
      </w:r>
      <w:r>
        <w:rPr>
          <w:rStyle w:val="17"/>
          <w:rFonts w:hint="eastAsia" w:ascii="宋体" w:hAnsi="宋体" w:eastAsia="宋体" w:cs="宋体"/>
          <w:color w:val="auto"/>
          <w:sz w:val="24"/>
          <w:szCs w:val="24"/>
          <w:highlight w:val="none"/>
        </w:rPr>
        <w:t>“其他组织”</w:t>
      </w:r>
      <w:r>
        <w:rPr>
          <w:rFonts w:hint="eastAsia" w:ascii="宋体" w:hAnsi="宋体" w:eastAsia="宋体" w:cs="宋体"/>
          <w:color w:val="auto"/>
          <w:sz w:val="24"/>
          <w:szCs w:val="24"/>
          <w:highlight w:val="none"/>
        </w:rPr>
        <w:t>指合伙企业、非企业专业服务机构、个体工商户、农村承包经营户等。</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1.5</w:t>
      </w:r>
      <w:r>
        <w:rPr>
          <w:rStyle w:val="17"/>
          <w:rFonts w:hint="eastAsia" w:ascii="宋体" w:hAnsi="宋体" w:eastAsia="宋体" w:cs="宋体"/>
          <w:color w:val="auto"/>
          <w:sz w:val="24"/>
          <w:szCs w:val="24"/>
          <w:highlight w:val="none"/>
        </w:rPr>
        <w:t>“自然人”</w:t>
      </w:r>
      <w:r>
        <w:rPr>
          <w:rFonts w:hint="eastAsia" w:ascii="宋体" w:hAnsi="宋体" w:eastAsia="宋体" w:cs="宋体"/>
          <w:color w:val="auto"/>
          <w:sz w:val="24"/>
          <w:szCs w:val="24"/>
          <w:highlight w:val="none"/>
        </w:rPr>
        <w:t>指具有完全民事行为能力、能够承担民事责任和义务的中国公民。</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2、除招标文件另有规定外，本章中</w:t>
      </w:r>
      <w:r>
        <w:rPr>
          <w:rStyle w:val="17"/>
          <w:rFonts w:hint="eastAsia" w:ascii="宋体" w:hAnsi="宋体" w:eastAsia="宋体" w:cs="宋体"/>
          <w:color w:val="auto"/>
          <w:sz w:val="24"/>
          <w:szCs w:val="24"/>
          <w:highlight w:val="none"/>
        </w:rPr>
        <w:t>“投标人的资格及资信证明文件”</w:t>
      </w:r>
      <w:r>
        <w:rPr>
          <w:rFonts w:hint="eastAsia" w:ascii="宋体" w:hAnsi="宋体" w:eastAsia="宋体" w:cs="宋体"/>
          <w:color w:val="auto"/>
          <w:sz w:val="24"/>
          <w:szCs w:val="24"/>
          <w:highlight w:val="none"/>
        </w:rPr>
        <w:t>：</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2.1投标人应按照招标文件第四章第1.3条第（2）款规定及本章规定进行编制，如有必要，可增加附页，附页作为资格及资信文件的组成部分。</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2.2接受联合体投标且投标人为联合体的，联合体中的各方均应按照本章第2.1条规定提交相应的全部资料。</w:t>
      </w:r>
    </w:p>
    <w:p>
      <w:pPr>
        <w:pStyle w:val="14"/>
        <w:keepNext w:val="0"/>
        <w:keepLines w:val="0"/>
        <w:widowControl/>
        <w:suppressLineNumbers w:val="0"/>
        <w:ind w:lef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3、投标人对投标文件的索引应编制页码。</w:t>
      </w:r>
    </w:p>
    <w:p>
      <w:pPr>
        <w:pStyle w:val="14"/>
        <w:keepNext w:val="0"/>
        <w:keepLines w:val="0"/>
        <w:widowControl/>
        <w:suppressLineNumbers w:val="0"/>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4、本章提供格式仅供参考，投标人应根据自身实际情况制作投标文件。</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8"/>
          <w:szCs w:val="28"/>
          <w:highlight w:val="none"/>
        </w:rPr>
        <w:t>封面格式</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48"/>
          <w:szCs w:val="48"/>
          <w:highlight w:val="none"/>
        </w:rPr>
        <w:t>福建省政府采购投标文件</w:t>
      </w:r>
    </w:p>
    <w:p>
      <w:pPr>
        <w:pStyle w:val="14"/>
        <w:keepNext w:val="0"/>
        <w:keepLines w:val="0"/>
        <w:widowControl/>
        <w:suppressLineNumbers w:val="0"/>
        <w:jc w:val="center"/>
        <w:outlineLvl w:val="1"/>
        <w:rPr>
          <w:rFonts w:hint="eastAsia" w:ascii="宋体" w:hAnsi="宋体" w:eastAsia="宋体" w:cs="宋体"/>
          <w:color w:val="auto"/>
          <w:highlight w:val="none"/>
        </w:rPr>
      </w:pPr>
      <w:bookmarkStart w:id="11" w:name="_Toc20032"/>
      <w:r>
        <w:rPr>
          <w:rStyle w:val="17"/>
          <w:rFonts w:hint="eastAsia" w:ascii="宋体" w:hAnsi="宋体" w:eastAsia="宋体" w:cs="宋体"/>
          <w:color w:val="auto"/>
          <w:sz w:val="48"/>
          <w:szCs w:val="48"/>
          <w:highlight w:val="none"/>
        </w:rPr>
        <w:t>（资格及资信证明部分）</w:t>
      </w:r>
      <w:bookmarkEnd w:id="11"/>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36"/>
          <w:szCs w:val="36"/>
          <w:highlight w:val="none"/>
          <w:u w:val="single"/>
        </w:rPr>
        <w:t>（填写正本或副本）</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4"/>
        <w:keepNext w:val="0"/>
        <w:keepLines w:val="0"/>
        <w:widowControl/>
        <w:suppressLineNumbers w:val="0"/>
        <w:ind w:left="0" w:firstLine="1920"/>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项目名称：</w:t>
      </w:r>
      <w:r>
        <w:rPr>
          <w:rStyle w:val="17"/>
          <w:rFonts w:hint="eastAsia" w:ascii="宋体" w:hAnsi="宋体" w:eastAsia="宋体" w:cs="宋体"/>
          <w:color w:val="auto"/>
          <w:sz w:val="31"/>
          <w:szCs w:val="31"/>
          <w:highlight w:val="none"/>
          <w:u w:val="single"/>
        </w:rPr>
        <w:t>（由投标人填写）</w:t>
      </w:r>
    </w:p>
    <w:p>
      <w:pPr>
        <w:pStyle w:val="14"/>
        <w:keepNext w:val="0"/>
        <w:keepLines w:val="0"/>
        <w:widowControl/>
        <w:suppressLineNumbers w:val="0"/>
        <w:ind w:left="0" w:firstLine="1920"/>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备案编号：</w:t>
      </w:r>
      <w:r>
        <w:rPr>
          <w:rStyle w:val="17"/>
          <w:rFonts w:hint="eastAsia" w:ascii="宋体" w:hAnsi="宋体" w:eastAsia="宋体" w:cs="宋体"/>
          <w:color w:val="auto"/>
          <w:sz w:val="31"/>
          <w:szCs w:val="31"/>
          <w:highlight w:val="none"/>
          <w:u w:val="single"/>
        </w:rPr>
        <w:t>（由投标人填写）</w:t>
      </w:r>
    </w:p>
    <w:p>
      <w:pPr>
        <w:pStyle w:val="14"/>
        <w:keepNext w:val="0"/>
        <w:keepLines w:val="0"/>
        <w:widowControl/>
        <w:suppressLineNumbers w:val="0"/>
        <w:ind w:left="0" w:firstLine="1920"/>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项目编号：</w:t>
      </w:r>
      <w:r>
        <w:rPr>
          <w:rStyle w:val="17"/>
          <w:rFonts w:hint="eastAsia" w:ascii="宋体" w:hAnsi="宋体" w:eastAsia="宋体" w:cs="宋体"/>
          <w:color w:val="auto"/>
          <w:sz w:val="31"/>
          <w:szCs w:val="31"/>
          <w:highlight w:val="none"/>
          <w:u w:val="single"/>
        </w:rPr>
        <w:t>（由投标人填写）</w:t>
      </w:r>
    </w:p>
    <w:p>
      <w:pPr>
        <w:pStyle w:val="14"/>
        <w:keepNext w:val="0"/>
        <w:keepLines w:val="0"/>
        <w:widowControl/>
        <w:suppressLineNumbers w:val="0"/>
        <w:ind w:left="0" w:firstLine="1920"/>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所投采购包：</w:t>
      </w:r>
      <w:r>
        <w:rPr>
          <w:rStyle w:val="17"/>
          <w:rFonts w:hint="eastAsia" w:ascii="宋体" w:hAnsi="宋体" w:eastAsia="宋体" w:cs="宋体"/>
          <w:color w:val="auto"/>
          <w:sz w:val="31"/>
          <w:szCs w:val="31"/>
          <w:highlight w:val="none"/>
          <w:u w:val="single"/>
        </w:rPr>
        <w:t>（由投标人填写）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投标人：</w:t>
      </w:r>
      <w:r>
        <w:rPr>
          <w:rStyle w:val="17"/>
          <w:rFonts w:hint="eastAsia" w:ascii="宋体" w:hAnsi="宋体" w:eastAsia="宋体" w:cs="宋体"/>
          <w:color w:val="auto"/>
          <w:sz w:val="31"/>
          <w:szCs w:val="31"/>
          <w:highlight w:val="none"/>
          <w:u w:val="single"/>
        </w:rPr>
        <w:t>（填写“全称”）</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u w:val="single"/>
        </w:rPr>
        <w:t>（由投标人填写）</w:t>
      </w:r>
      <w:r>
        <w:rPr>
          <w:rStyle w:val="17"/>
          <w:rFonts w:hint="eastAsia" w:ascii="宋体" w:hAnsi="宋体" w:eastAsia="宋体" w:cs="宋体"/>
          <w:color w:val="auto"/>
          <w:sz w:val="31"/>
          <w:szCs w:val="31"/>
          <w:highlight w:val="none"/>
        </w:rPr>
        <w:t>年</w:t>
      </w:r>
      <w:r>
        <w:rPr>
          <w:rStyle w:val="17"/>
          <w:rFonts w:hint="eastAsia" w:ascii="宋体" w:hAnsi="宋体" w:eastAsia="宋体" w:cs="宋体"/>
          <w:color w:val="auto"/>
          <w:sz w:val="31"/>
          <w:szCs w:val="31"/>
          <w:highlight w:val="none"/>
          <w:u w:val="single"/>
        </w:rPr>
        <w:t>（由投标人填写）</w:t>
      </w:r>
      <w:r>
        <w:rPr>
          <w:rStyle w:val="17"/>
          <w:rFonts w:hint="eastAsia" w:ascii="宋体" w:hAnsi="宋体" w:eastAsia="宋体" w:cs="宋体"/>
          <w:color w:val="auto"/>
          <w:sz w:val="31"/>
          <w:szCs w:val="31"/>
          <w:highlight w:val="none"/>
        </w:rPr>
        <w:t>月</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8"/>
          <w:szCs w:val="28"/>
          <w:highlight w:val="none"/>
        </w:rPr>
        <w:t>索引</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一、投标函</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二、投标人的资格及资信证明文件</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三、投标保证金</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资格及资信证明部分中不得出现报价部分的全部或部分的投标报价信息（或组成资料），否则</w:t>
      </w:r>
      <w:r>
        <w:rPr>
          <w:rStyle w:val="17"/>
          <w:rFonts w:hint="eastAsia" w:ascii="宋体" w:hAnsi="宋体" w:eastAsia="宋体" w:cs="宋体"/>
          <w:color w:val="auto"/>
          <w:sz w:val="21"/>
          <w:szCs w:val="21"/>
          <w:highlight w:val="none"/>
        </w:rPr>
        <w:t>资格审查不合格</w:t>
      </w:r>
      <w:r>
        <w:rPr>
          <w:rFonts w:hint="eastAsia" w:ascii="宋体" w:hAnsi="宋体" w:eastAsia="宋体" w:cs="宋体"/>
          <w:color w:val="auto"/>
          <w:sz w:val="21"/>
          <w:szCs w:val="21"/>
          <w:highlight w:val="none"/>
        </w:rPr>
        <w:t>。（联合体协议及分包意向协议中的比例规定，不适用本条款）</w:t>
      </w:r>
    </w:p>
    <w:p>
      <w:pPr>
        <w:pStyle w:val="14"/>
        <w:keepNext w:val="0"/>
        <w:keepLines w:val="0"/>
        <w:widowControl/>
        <w:suppressLineNumbers w:val="0"/>
        <w:rPr>
          <w:rFonts w:hint="eastAsia" w:ascii="宋体" w:hAnsi="宋体" w:eastAsia="宋体" w:cs="宋体"/>
          <w:color w:val="auto"/>
          <w:highlight w:val="none"/>
        </w:rPr>
      </w:pPr>
    </w:p>
    <w:p>
      <w:pP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br w:type="page"/>
      </w:r>
    </w:p>
    <w:p>
      <w:pPr>
        <w:pStyle w:val="14"/>
        <w:keepNext w:val="0"/>
        <w:keepLines w:val="0"/>
        <w:widowControl/>
        <w:suppressLineNumbers w:val="0"/>
        <w:jc w:val="center"/>
        <w:outlineLvl w:val="2"/>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一、投标函</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兹收到贵单位关于</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）的投标邀请，本投标人代表</w:t>
      </w:r>
      <w:r>
        <w:rPr>
          <w:rFonts w:hint="eastAsia" w:ascii="宋体" w:hAnsi="宋体" w:eastAsia="宋体" w:cs="宋体"/>
          <w:color w:val="auto"/>
          <w:sz w:val="21"/>
          <w:szCs w:val="21"/>
          <w:highlight w:val="none"/>
          <w:u w:val="single"/>
        </w:rPr>
        <w:t>（填写“全名”）</w:t>
      </w:r>
      <w:r>
        <w:rPr>
          <w:rFonts w:hint="eastAsia" w:ascii="宋体" w:hAnsi="宋体" w:eastAsia="宋体" w:cs="宋体"/>
          <w:color w:val="auto"/>
          <w:sz w:val="21"/>
          <w:szCs w:val="21"/>
          <w:highlight w:val="none"/>
        </w:rPr>
        <w:t>已获得我方正式授权并代表投标人</w:t>
      </w:r>
      <w:r>
        <w:rPr>
          <w:rFonts w:hint="eastAsia" w:ascii="宋体" w:hAnsi="宋体" w:eastAsia="宋体" w:cs="宋体"/>
          <w:color w:val="auto"/>
          <w:sz w:val="21"/>
          <w:szCs w:val="21"/>
          <w:highlight w:val="none"/>
          <w:u w:val="single"/>
        </w:rPr>
        <w:t>（填写“全称”）</w:t>
      </w:r>
      <w:r>
        <w:rPr>
          <w:rFonts w:hint="eastAsia" w:ascii="宋体" w:hAnsi="宋体" w:eastAsia="宋体" w:cs="宋体"/>
          <w:color w:val="auto"/>
          <w:sz w:val="21"/>
          <w:szCs w:val="21"/>
          <w:highlight w:val="none"/>
        </w:rPr>
        <w:t>参加投标，并提交招标文件。我方提交的全部投标文件均由下述部分组成：</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（1）资格及资信证明部分</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①投标函</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②投标人的资格及资信证明文件</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③投标保证金</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（2）报价部分</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①开标一览表</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②投标分项报价表</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③招标文件规定的价格扣除证明材料（若有）</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④招标文件规定的加分证明材料（若有）</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（3）技术商务部分</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①标的说明一览表</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②技术和服务要求响应表</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③商务条件响应表</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④投标人提交的其他资料（若有）</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根据本函，本投标人代表宣布我方保证遵守招标文件的全部规定，同时：</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r>
        <w:rPr>
          <w:rStyle w:val="17"/>
          <w:rFonts w:hint="eastAsia" w:ascii="宋体" w:hAnsi="宋体" w:eastAsia="宋体" w:cs="宋体"/>
          <w:color w:val="auto"/>
          <w:sz w:val="21"/>
          <w:szCs w:val="21"/>
          <w:highlight w:val="none"/>
        </w:rPr>
        <w:t>确认：</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1.1所投采购包的投标报价详见“开标一览表”及“投标分项报价表”。</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1.2我方已详细审查全部招标文件[包括但不限于：有关附件（若有）、澄清或修改（若有）等]，并自行承担因对全部招标文件理解不正确或误解而产生的相应后果和责任。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Style w:val="17"/>
          <w:rFonts w:hint="eastAsia" w:ascii="宋体" w:hAnsi="宋体" w:eastAsia="宋体" w:cs="宋体"/>
          <w:color w:val="auto"/>
          <w:sz w:val="21"/>
          <w:szCs w:val="21"/>
          <w:highlight w:val="none"/>
        </w:rPr>
        <w:t>承诺及声明：</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2.1我方具备招标文件第一章载明的“投标人的资格要求”且符合招标文件第三章载明的“二、投标人”之规定，否则</w:t>
      </w:r>
      <w:r>
        <w:rPr>
          <w:rStyle w:val="17"/>
          <w:rFonts w:hint="eastAsia" w:ascii="宋体" w:hAnsi="宋体" w:eastAsia="宋体" w:cs="宋体"/>
          <w:color w:val="auto"/>
          <w:sz w:val="21"/>
          <w:szCs w:val="21"/>
          <w:highlight w:val="none"/>
        </w:rPr>
        <w:t>投标无效。</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2.2我方提交的投标文件各组成部分的全部内容及资料是不可割离且真实、有效、准确、完整和不具有任何误导性的，否则产生不利后果由我方承担责任。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2.3我方提供的标的价格不高于同期市场价格，否则产生不利后果由我方承担责任。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2.4投标保证金：若出现招标文件第三章规定的不予退还情形，同意贵单位不予退还。</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2.5投标有效期：按照招标文件第三章规定执行，并在招标文件第二章载明的期限内保持有效。</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2.6若中标，将按照招标文件、我方投标文件及政府采购合同履行责任和义务。</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2.7若贵单位要求，我方同意提供与本项目投标有关的一切资料、数据或文件，并完全理解贵单位不一定要接受最低的投标报价或收到的任何投标。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2.8我方承诺投标文件所提供的全部资料真实可靠，并接受评标委员会、采购人、采购代理机构、监管部门进一步审查其中任何资料真实性的要求。</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2.9除招标文件另有规定外，对于贵单位按照下述联络方式发出的任何信息或通知，均视为我方已收悉前述信息或通知的全部内容：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none"/>
        </w:rPr>
        <w:t>通信地址：                                        </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rPr>
        <w:t>  邮编：                                           </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rPr>
        <w:t>  联系方法：（包括但不限于：联系人、联系电话、手机、传真、电子邮箱等）</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rPr>
        <w:t>  投标人：（全称并加盖单位公章）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none"/>
        </w:rPr>
        <w:t>日期：    年   月   日</w:t>
      </w:r>
    </w:p>
    <w:p>
      <w:pPr>
        <w:pStyle w:val="14"/>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textWrapping"/>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jc w:val="center"/>
        <w:outlineLvl w:val="2"/>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二、投标人的资格及资信证明文件</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二-1单位授权书（若有）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我方的单位负责人</w:t>
      </w:r>
      <w:r>
        <w:rPr>
          <w:rFonts w:hint="eastAsia" w:ascii="宋体" w:hAnsi="宋体" w:eastAsia="宋体" w:cs="宋体"/>
          <w:color w:val="auto"/>
          <w:sz w:val="21"/>
          <w:szCs w:val="21"/>
          <w:highlight w:val="none"/>
          <w:u w:val="single"/>
        </w:rPr>
        <w:t>（填写“单位负责人全名”）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（填写“投标人代表全名”）</w:t>
      </w:r>
      <w:r>
        <w:rPr>
          <w:rFonts w:hint="eastAsia" w:ascii="宋体" w:hAnsi="宋体" w:eastAsia="宋体" w:cs="宋体"/>
          <w:color w:val="auto"/>
          <w:sz w:val="21"/>
          <w:szCs w:val="21"/>
          <w:highlight w:val="none"/>
        </w:rPr>
        <w:t>为投标人代表，代表我方参加</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投标人代表无转委权。特此授权。</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（以下无正文）</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单位负责人：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手机：</w:t>
      </w:r>
      <w:r>
        <w:rPr>
          <w:rFonts w:hint="eastAsia" w:ascii="宋体" w:hAnsi="宋体" w:eastAsia="宋体" w:cs="宋体"/>
          <w:color w:val="auto"/>
          <w:sz w:val="21"/>
          <w:szCs w:val="21"/>
          <w:highlight w:val="none"/>
          <w:u w:val="singl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投标人代表：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手机：</w:t>
      </w:r>
      <w:r>
        <w:rPr>
          <w:rFonts w:hint="eastAsia" w:ascii="宋体" w:hAnsi="宋体" w:eastAsia="宋体" w:cs="宋体"/>
          <w:color w:val="auto"/>
          <w:sz w:val="21"/>
          <w:szCs w:val="21"/>
          <w:highlight w:val="none"/>
          <w:u w:val="singl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授权方</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jc w:val="right"/>
        <w:rPr>
          <w:rFonts w:hint="eastAsia" w:ascii="宋体" w:hAnsi="宋体" w:eastAsia="宋体" w:cs="宋体"/>
          <w:color w:val="auto"/>
          <w:highlight w:val="none"/>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附：单位负责人、投标人代表的身份证正反面复印件</w:t>
      </w:r>
    </w:p>
    <w:tbl>
      <w:tblPr>
        <w:tblStyle w:val="1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60"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要求：真实有效且内容完整、清晰、整洁。</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tc>
      </w:tr>
    </w:tbl>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1、企业（银行、保险、石油石化、电力、电信等行业除外）、事业单位和社会团体法人的“单位负责人”指</w:t>
      </w:r>
      <w:r>
        <w:rPr>
          <w:rStyle w:val="17"/>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rPr>
        <w:t>，即与实际提交的“营业执照等证明文件”载明的一致。</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4"/>
        <w:keepNext w:val="0"/>
        <w:keepLines w:val="0"/>
        <w:widowControl/>
        <w:suppressLineNumbers w:val="0"/>
        <w:spacing w:after="24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4、投标人为自然人的，可不填写本授权书。</w:t>
      </w:r>
    </w:p>
    <w:p>
      <w:pPr>
        <w:pStyle w:val="14"/>
        <w:keepNext w:val="0"/>
        <w:keepLines w:val="0"/>
        <w:widowControl/>
        <w:suppressLineNumbers w:val="0"/>
        <w:rPr>
          <w:rFonts w:hint="eastAsia" w:ascii="宋体" w:hAnsi="宋体" w:eastAsia="宋体" w:cs="宋体"/>
          <w:color w:val="auto"/>
          <w:highlight w:val="none"/>
        </w:rPr>
      </w:pP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二-2营业执照等证明文件</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）投标人为法人（包括企业、事业单位和社会团体）的</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签发的我方统一社会信用代码</w:t>
      </w:r>
      <w:r>
        <w:rPr>
          <w:rFonts w:hint="eastAsia" w:ascii="宋体" w:hAnsi="宋体" w:eastAsia="宋体" w:cs="宋体"/>
          <w:color w:val="auto"/>
          <w:sz w:val="21"/>
          <w:szCs w:val="21"/>
          <w:highlight w:val="none"/>
          <w:u w:val="single"/>
        </w:rPr>
        <w:t>（请填写法人的具体证照名称）</w:t>
      </w:r>
      <w:r>
        <w:rPr>
          <w:rFonts w:hint="eastAsia" w:ascii="宋体" w:hAnsi="宋体" w:eastAsia="宋体" w:cs="宋体"/>
          <w:color w:val="auto"/>
          <w:sz w:val="21"/>
          <w:szCs w:val="21"/>
          <w:highlight w:val="none"/>
        </w:rPr>
        <w:t>复印件，该证明材料真实有效，否则我方负全部责任。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）投标人为非法人（包括其他组织、自然人）的</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w:t>
      </w:r>
      <w:r>
        <w:rPr>
          <w:rFonts w:hint="eastAsia" w:ascii="宋体" w:hAnsi="宋体" w:eastAsia="宋体" w:cs="宋体"/>
          <w:color w:val="auto"/>
          <w:sz w:val="21"/>
          <w:szCs w:val="21"/>
          <w:highlight w:val="none"/>
          <w:u w:val="single"/>
        </w:rPr>
        <w:t>（请填写非自然人的非法人的具体证照名称）</w:t>
      </w:r>
      <w:r>
        <w:rPr>
          <w:rFonts w:hint="eastAsia" w:ascii="宋体" w:hAnsi="宋体" w:eastAsia="宋体" w:cs="宋体"/>
          <w:color w:val="auto"/>
          <w:sz w:val="21"/>
          <w:szCs w:val="21"/>
          <w:highlight w:val="none"/>
        </w:rPr>
        <w:t>复印件，该证明材料真实有效，否则我方负全部责任。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w:t>
      </w:r>
      <w:r>
        <w:rPr>
          <w:rFonts w:hint="eastAsia" w:ascii="宋体" w:hAnsi="宋体" w:eastAsia="宋体" w:cs="宋体"/>
          <w:color w:val="auto"/>
          <w:sz w:val="21"/>
          <w:szCs w:val="21"/>
          <w:highlight w:val="none"/>
          <w:u w:val="single"/>
        </w:rPr>
        <w:t>（请填写自然人的身份证件名称）</w:t>
      </w:r>
      <w:r>
        <w:rPr>
          <w:rFonts w:hint="eastAsia" w:ascii="宋体" w:hAnsi="宋体" w:eastAsia="宋体" w:cs="宋体"/>
          <w:color w:val="auto"/>
          <w:sz w:val="21"/>
          <w:szCs w:val="21"/>
          <w:highlight w:val="none"/>
        </w:rPr>
        <w:t>复印件，该证明材料真实有效，否则我方负全部责任。</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1、请投标人按照实际情况编制填写，在相应的（）中打“√”并选择相应的“□”（若有）后，再按照本格式的要求提供相应证明材料的复印件。</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二-3财务状况报告（财务报告、或资信证明）</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）投标人提供财务报告的</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□企业适用：现附上我方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□事业单位适用：现附上我方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□社会团体、民办非企适用：现附上我方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财务报告复印件，包括资产负债表、业务活动表、现金流量表、会计师事务所营业执照和注册会计师资格证书，上述证明材料真实有效，否则我方负全部责任。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）投标人提供资信证明的</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□非自然人适用（包括企业、事业单位、社会团体和其他组织）：现附上我方银行：（填写“开户银行全称”）出具的资信证明复印件，上述证明材料真实有效，否则我方负全部责任。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□自然人适用：现附上我方银行：</w:t>
      </w:r>
      <w:r>
        <w:rPr>
          <w:rFonts w:hint="eastAsia" w:ascii="宋体" w:hAnsi="宋体" w:eastAsia="宋体" w:cs="宋体"/>
          <w:color w:val="auto"/>
          <w:sz w:val="21"/>
          <w:szCs w:val="21"/>
          <w:highlight w:val="none"/>
          <w:u w:val="single"/>
        </w:rPr>
        <w:t>（填写自然人的“个人账户的开户银行全称”）</w:t>
      </w:r>
      <w:r>
        <w:rPr>
          <w:rFonts w:hint="eastAsia" w:ascii="宋体" w:hAnsi="宋体" w:eastAsia="宋体" w:cs="宋体"/>
          <w:color w:val="auto"/>
          <w:sz w:val="21"/>
          <w:szCs w:val="21"/>
          <w:highlight w:val="none"/>
        </w:rPr>
        <w:t>出具的资信证明复印件，上述证明材料真实有效，否则我方负全部责任。</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1、请投标人按照实际情况编制填写，在相应的（）中打“√”并选择相应的“□”（若有）后，再按照本格式的要求提供相应证明材料的复印件。</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2、投标人提供的财务报告复印件（成立年限按照投标截止时间推算）应符合下列规定：</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2.1成立年限满1年及以上的投标人，提供经审计的招标文件规定的年度财务报告。</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2.2成立年限满半年但不足1年的投标人，提供该半年度中任一季度的季度财务报告或该半年度的半年度财务报告。</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4"/>
        <w:keepNext w:val="0"/>
        <w:keepLines w:val="0"/>
        <w:widowControl/>
        <w:suppressLineNumbers w:val="0"/>
        <w:spacing w:after="240" w:afterAutospacing="0"/>
        <w:rPr>
          <w:rFonts w:hint="eastAsia" w:ascii="宋体" w:hAnsi="宋体" w:eastAsia="宋体" w:cs="宋体"/>
          <w:color w:val="auto"/>
          <w:highlight w:val="none"/>
        </w:rPr>
      </w:pP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二</w:t>
      </w:r>
      <w:r>
        <w:rPr>
          <w:rStyle w:val="17"/>
          <w:rFonts w:hint="eastAsia" w:ascii="宋体" w:hAnsi="宋体" w:eastAsia="宋体" w:cs="宋体"/>
          <w:color w:val="auto"/>
          <w:sz w:val="21"/>
          <w:szCs w:val="21"/>
          <w:highlight w:val="none"/>
        </w:rPr>
        <w:t>-4依法缴纳税收证明材料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1、依法缴纳税收的投标人</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）法人（包括企业、事业单位和社会团体）的</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日期间我方缴纳</w:t>
      </w:r>
      <w:r>
        <w:rPr>
          <w:rFonts w:hint="eastAsia" w:ascii="宋体" w:hAnsi="宋体" w:eastAsia="宋体" w:cs="宋体"/>
          <w:color w:val="auto"/>
          <w:sz w:val="21"/>
          <w:szCs w:val="21"/>
          <w:highlight w:val="none"/>
          <w:u w:val="single"/>
        </w:rPr>
        <w:t>（包括但不限于税务机关出具的专用收据、税收缴纳证明或税收代缴银行的缴款收讫凭证）等</w:t>
      </w:r>
      <w:r>
        <w:rPr>
          <w:rFonts w:hint="eastAsia" w:ascii="宋体" w:hAnsi="宋体" w:eastAsia="宋体" w:cs="宋体"/>
          <w:color w:val="auto"/>
          <w:sz w:val="21"/>
          <w:szCs w:val="21"/>
          <w:highlight w:val="none"/>
        </w:rPr>
        <w:t>税收凭据复印件，上述证明材料真实有效，否则我方负全部责任。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）非法人（包括其他组织、自然人）的</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日期间我方缴纳</w:t>
      </w:r>
      <w:r>
        <w:rPr>
          <w:rFonts w:hint="eastAsia" w:ascii="宋体" w:hAnsi="宋体" w:eastAsia="宋体" w:cs="宋体"/>
          <w:color w:val="auto"/>
          <w:sz w:val="21"/>
          <w:szCs w:val="21"/>
          <w:highlight w:val="none"/>
          <w:u w:val="single"/>
        </w:rPr>
        <w:t>（包括但不限于税务机关出具的专用收据、税收缴纳证明或税收代缴银行的缴款收讫凭证）等</w:t>
      </w:r>
      <w:r>
        <w:rPr>
          <w:rFonts w:hint="eastAsia" w:ascii="宋体" w:hAnsi="宋体" w:eastAsia="宋体" w:cs="宋体"/>
          <w:color w:val="auto"/>
          <w:sz w:val="21"/>
          <w:szCs w:val="21"/>
          <w:highlight w:val="none"/>
        </w:rPr>
        <w:t>税收凭据复印件，上述证明材料真实有效，否则我方负全部责任。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2、依法免税的投标人</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）现附上我方依法免税证明材料复印件，上述证明材料真实有效，否则我方负全部责任。</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1、请投标人按照实际情况编制填写，在相应的（）中打“√”，并按照本格式的要求提供相应证明材料的复印件。</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2、投标人提供的税收凭据复印件应符合下列规定：</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2.1投标截止时间前（不含投标截止时间的当月）已依法缴纳税收的投标人，提供投标截止时间前六个月（不含投标截止时间的当月）中任一月份的税收凭据复印件。</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2.2投标截止时间的当月成立且已依法缴纳税收的投标人，提供投标截止时间当月的税收凭据复印件。</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2.3投标截止时间的当月成立但因税务机关原因导致其尚未依法缴纳税收的投标人，提供依法缴纳税收承诺书（格式自拟），该承诺书视同税收凭据。</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二-5依法缴纳社会保障资金证明材料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1、依法缴纳社会保障资金的投标人</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）法人（包括企业、事业单位和社会团体）的</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）非法人（包括其他组织、自然人）的</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2、依法不需要缴纳社会保障资金的投标人</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）现附上我方依法不需要缴纳社会保障资金证明材料复印件，上述证明材料真实有效，否则我方负全部责任。</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1、请投标人按照实际情况编制填写，在相应的（）中打“√”，并按照本格式的要求提供相应证明材料的复印件。</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2、投标人提供的社会保险凭据复印件应符合下列规定：</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2.1投标截止时间前（不含投标截止时间的当月）已依法缴纳社会保障资金的投标人，提供投标截止时间前六个月（不含投标截止时间的当月）中任一月份的社会保险凭据复印件。</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2.2投标截止时间的当月成立且已依法缴纳社会保障资金的投标人，提供投标截止时间当月的社会保险凭据复印件。</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2.3投标截止时间的当月成立但因税务机关/社会保障资金管理机关原因导致其尚未依法缴纳社会保障资金的投标人，提供依法缴纳社会保障资金承诺书（格式自拟），该承诺书视同社会保险凭据。</w:t>
      </w:r>
    </w:p>
    <w:p>
      <w:pPr>
        <w:pStyle w:val="14"/>
        <w:keepNext w:val="0"/>
        <w:keepLines w:val="0"/>
        <w:widowControl/>
        <w:suppressLineNumbers w:val="0"/>
        <w:rPr>
          <w:rFonts w:hint="eastAsia" w:ascii="宋体" w:hAnsi="宋体" w:eastAsia="宋体" w:cs="宋体"/>
          <w:color w:val="auto"/>
          <w:highlight w:val="none"/>
        </w:rPr>
      </w:pP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二</w:t>
      </w:r>
      <w:r>
        <w:rPr>
          <w:rStyle w:val="17"/>
          <w:rFonts w:hint="eastAsia" w:ascii="宋体" w:hAnsi="宋体" w:eastAsia="宋体" w:cs="宋体"/>
          <w:color w:val="auto"/>
          <w:sz w:val="21"/>
          <w:szCs w:val="21"/>
          <w:highlight w:val="none"/>
        </w:rPr>
        <w:t>-6具备履行合同所必需设备和专业技术能力的声明函（若有）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我方具备履行合同所必需的设备和专业技术能力，否则产生不利后果由我方承担责任。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特此声明。</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1、招标文件未要求投标人提供“具备履行合同所必需的设备和专业技术能力专项证明材料”的，投标人应提供本声明函。</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2、招标文件要求投标人提供“具备履行合同所必需的设备和专业技术能力专项证明材料”的，投标人可不提供本声明函。</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3、请投标人根据实际情况如实声明，否则</w:t>
      </w:r>
      <w:r>
        <w:rPr>
          <w:rStyle w:val="17"/>
          <w:rFonts w:hint="eastAsia" w:ascii="宋体" w:hAnsi="宋体" w:eastAsia="宋体" w:cs="宋体"/>
          <w:color w:val="auto"/>
          <w:sz w:val="21"/>
          <w:szCs w:val="21"/>
          <w:highlight w:val="none"/>
        </w:rPr>
        <w:t>视为提供虚假材料。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二</w:t>
      </w:r>
      <w:r>
        <w:rPr>
          <w:rStyle w:val="17"/>
          <w:rFonts w:hint="eastAsia" w:ascii="宋体" w:hAnsi="宋体" w:eastAsia="宋体" w:cs="宋体"/>
          <w:color w:val="auto"/>
          <w:sz w:val="21"/>
          <w:szCs w:val="21"/>
          <w:highlight w:val="none"/>
        </w:rPr>
        <w:t>-7参加采购活动前三年内在经营活动中没有重大违法记录书面声明</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特此声明。</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请投标人根据实际情况如实声明，否则</w:t>
      </w:r>
      <w:r>
        <w:rPr>
          <w:rStyle w:val="17"/>
          <w:rFonts w:hint="eastAsia" w:ascii="宋体" w:hAnsi="宋体" w:eastAsia="宋体" w:cs="宋体"/>
          <w:color w:val="auto"/>
          <w:sz w:val="21"/>
          <w:szCs w:val="21"/>
          <w:highlight w:val="none"/>
        </w:rPr>
        <w:t>视为提供虚假材料。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二</w:t>
      </w:r>
      <w:r>
        <w:rPr>
          <w:rStyle w:val="17"/>
          <w:rFonts w:hint="eastAsia" w:ascii="宋体" w:hAnsi="宋体" w:eastAsia="宋体" w:cs="宋体"/>
          <w:color w:val="auto"/>
          <w:sz w:val="21"/>
          <w:szCs w:val="21"/>
          <w:highlight w:val="none"/>
        </w:rPr>
        <w:t>-8信用记录查询提示</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highlight w:val="none"/>
        </w:rPr>
        <w:t>  1、由资格审查小组通过网站查询并打印投标人的信用记录。</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highlight w:val="none"/>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highlight w:val="none"/>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4"/>
        <w:keepNext w:val="0"/>
        <w:keepLines w:val="0"/>
        <w:widowControl/>
        <w:suppressLineNumbers w:val="0"/>
        <w:rPr>
          <w:rFonts w:hint="eastAsia" w:ascii="宋体" w:hAnsi="宋体" w:eastAsia="宋体" w:cs="宋体"/>
          <w:color w:val="auto"/>
          <w:highlight w:val="none"/>
        </w:rPr>
      </w:pP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Style w:val="17"/>
          <w:rFonts w:hint="eastAsia" w:ascii="宋体" w:hAnsi="宋体" w:eastAsia="宋体" w:cs="宋体"/>
          <w:color w:val="auto"/>
          <w:highlight w:val="none"/>
        </w:rPr>
      </w:pPr>
      <w:r>
        <w:rPr>
          <w:rStyle w:val="17"/>
          <w:rFonts w:hint="eastAsia" w:ascii="宋体" w:hAnsi="宋体" w:eastAsia="宋体" w:cs="宋体"/>
          <w:color w:val="auto"/>
          <w:highlight w:val="none"/>
        </w:rPr>
        <w:br w:type="page"/>
      </w:r>
    </w:p>
    <w:p>
      <w:pPr>
        <w:keepNext w:val="0"/>
        <w:keepLines w:val="0"/>
        <w:widowControl/>
        <w:suppressLineNumbers w:val="0"/>
        <w:spacing w:before="150" w:beforeAutospacing="0" w:after="150" w:afterAutospacing="0"/>
        <w:jc w:val="center"/>
        <w:outlineLvl w:val="9"/>
        <w:rPr>
          <w:rFonts w:hint="eastAsia" w:ascii="宋体" w:hAnsi="宋体" w:eastAsia="宋体" w:cs="宋体"/>
          <w:color w:val="auto"/>
          <w:highlight w:val="none"/>
        </w:rPr>
      </w:pPr>
      <w:r>
        <w:rPr>
          <w:rStyle w:val="17"/>
          <w:rFonts w:hint="eastAsia" w:ascii="宋体" w:hAnsi="宋体" w:eastAsia="宋体" w:cs="宋体"/>
          <w:color w:val="auto"/>
          <w:highlight w:val="none"/>
        </w:rPr>
        <w:t>二-9中小企业声明函</w:t>
      </w:r>
    </w:p>
    <w:p>
      <w:pPr>
        <w:pStyle w:val="14"/>
        <w:keepNext w:val="0"/>
        <w:keepLines w:val="0"/>
        <w:widowControl/>
        <w:suppressLineNumbers w:val="0"/>
        <w:spacing w:after="240" w:afterAutospacing="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（以资格条件落实中小企业扶持政策时适用，若有）</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中小企业声明函（货物）</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1. </w:t>
      </w:r>
      <w:r>
        <w:rPr>
          <w:rFonts w:hint="eastAsia" w:ascii="宋体" w:hAnsi="宋体" w:eastAsia="宋体" w:cs="宋体"/>
          <w:color w:val="auto"/>
          <w:sz w:val="21"/>
          <w:szCs w:val="21"/>
          <w:highlight w:val="none"/>
          <w:u w:val="single"/>
        </w:rPr>
        <w:t>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2. </w:t>
      </w:r>
      <w:r>
        <w:rPr>
          <w:rFonts w:hint="eastAsia" w:ascii="宋体" w:hAnsi="宋体" w:eastAsia="宋体" w:cs="宋体"/>
          <w:color w:val="auto"/>
          <w:sz w:val="21"/>
          <w:szCs w:val="21"/>
          <w:highlight w:val="none"/>
          <w:u w:val="single"/>
        </w:rPr>
        <w:t>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（采购文件中明确的所属行业 ）行业；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企业名称（盖章）：</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日期：</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ind w:right="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※注意：</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1、从业人员、营业收入、资产总额填报上一年度数据，无上一年度数据的新成立企业可不填报。</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keepNext w:val="0"/>
        <w:keepLines w:val="0"/>
        <w:widowControl/>
        <w:suppressLineNumbers w:val="0"/>
        <w:spacing w:after="240" w:afterAutospacing="0"/>
        <w:rPr>
          <w:rFonts w:hint="eastAsia" w:ascii="宋体" w:hAnsi="宋体" w:eastAsia="宋体" w:cs="宋体"/>
          <w:color w:val="auto"/>
          <w:highlight w:val="none"/>
        </w:rPr>
      </w:pPr>
    </w:p>
    <w:p>
      <w:pPr>
        <w:keepNext w:val="0"/>
        <w:keepLines w:val="0"/>
        <w:widowControl/>
        <w:suppressLineNumbers w:val="0"/>
        <w:spacing w:before="150" w:beforeAutospacing="0" w:after="150" w:afterAutospacing="0"/>
        <w:jc w:val="center"/>
        <w:outlineLvl w:val="9"/>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中小企业声明函（工程、服务）</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2.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以上企业，不属于大企业的分支机构，不存在控股股东为大企业的情形，也不存在与大企业的负责人为同一人的情形。</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本企业对上述声明内容的真实性负责。如有虚假，将依法承担相应责任。</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企业名称（盖章）：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ind w:right="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※注意：</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1、从业人员、营业收入、资产总额填报上一年度数据，无上一年度数据的新成立企业可不填报。</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7"/>
          <w:rFonts w:hint="eastAsia" w:ascii="宋体" w:hAnsi="宋体" w:eastAsia="宋体" w:cs="宋体"/>
          <w:color w:val="auto"/>
          <w:sz w:val="21"/>
          <w:szCs w:val="21"/>
          <w:highlight w:val="none"/>
        </w:rPr>
        <w:br w:type="textWrapping"/>
      </w:r>
      <w:r>
        <w:rPr>
          <w:rStyle w:val="17"/>
          <w:rFonts w:hint="eastAsia" w:ascii="宋体" w:hAnsi="宋体" w:eastAsia="宋体" w:cs="宋体"/>
          <w:color w:val="auto"/>
          <w:sz w:val="21"/>
          <w:szCs w:val="21"/>
          <w:highlight w:val="none"/>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     </w:t>
      </w:r>
      <w:r>
        <w:rPr>
          <w:rFonts w:hint="eastAsia" w:ascii="宋体" w:hAnsi="宋体" w:eastAsia="宋体" w:cs="宋体"/>
          <w:color w:val="auto"/>
          <w:sz w:val="21"/>
          <w:szCs w:val="21"/>
          <w:highlight w:val="none"/>
        </w:rPr>
        <w:t>          </w:t>
      </w:r>
    </w:p>
    <w:p>
      <w:pPr>
        <w:pStyle w:val="14"/>
        <w:keepNext w:val="0"/>
        <w:keepLines w:val="0"/>
        <w:widowControl/>
        <w:suppressLineNumbers w:val="0"/>
        <w:spacing w:after="240"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textWrapping"/>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附：</w:t>
      </w:r>
    </w:p>
    <w:p>
      <w:pPr>
        <w:pStyle w:val="14"/>
        <w:keepNext w:val="0"/>
        <w:keepLines w:val="0"/>
        <w:widowControl/>
        <w:suppressLineNumbers w:val="0"/>
        <w:spacing w:before="75" w:beforeAutospacing="0" w:after="75" w:afterAutospacing="0"/>
        <w:jc w:val="center"/>
        <w:rPr>
          <w:rFonts w:hint="eastAsia" w:ascii="宋体" w:hAnsi="宋体" w:eastAsia="宋体" w:cs="宋体"/>
          <w:color w:val="auto"/>
          <w:highlight w:val="none"/>
        </w:rPr>
      </w:pPr>
      <w:r>
        <w:rPr>
          <w:rStyle w:val="17"/>
          <w:rFonts w:hint="eastAsia" w:ascii="宋体" w:hAnsi="宋体" w:eastAsia="宋体" w:cs="宋体"/>
          <w:color w:val="auto"/>
          <w:highlight w:val="none"/>
        </w:rPr>
        <w:t>残疾人福利性单位声明函</w:t>
      </w:r>
    </w:p>
    <w:p>
      <w:pPr>
        <w:pStyle w:val="14"/>
        <w:keepNext w:val="0"/>
        <w:keepLines w:val="0"/>
        <w:widowControl/>
        <w:suppressLineNumbers w:val="0"/>
        <w:spacing w:before="75" w:beforeAutospacing="0" w:after="75" w:afterAutospacing="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（以资格条件落实中小企业扶持政策时适用，若有）</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项目采购活动：</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）提供本投标人制造的</w:t>
      </w:r>
      <w:r>
        <w:rPr>
          <w:rFonts w:hint="eastAsia" w:ascii="宋体" w:hAnsi="宋体" w:eastAsia="宋体" w:cs="宋体"/>
          <w:color w:val="auto"/>
          <w:sz w:val="21"/>
          <w:szCs w:val="21"/>
          <w:highlight w:val="none"/>
          <w:u w:val="single"/>
        </w:rPr>
        <w:t>（填写“所投采购包、品目号”）</w:t>
      </w:r>
      <w:r>
        <w:rPr>
          <w:rFonts w:hint="eastAsia" w:ascii="宋体" w:hAnsi="宋体" w:eastAsia="宋体" w:cs="宋体"/>
          <w:color w:val="auto"/>
          <w:sz w:val="21"/>
          <w:szCs w:val="21"/>
          <w:highlight w:val="none"/>
        </w:rPr>
        <w:t>货物，或提供其他残疾人福利性单位制造的</w:t>
      </w:r>
      <w:r>
        <w:rPr>
          <w:rFonts w:hint="eastAsia" w:ascii="宋体" w:hAnsi="宋体" w:eastAsia="宋体" w:cs="宋体"/>
          <w:color w:val="auto"/>
          <w:sz w:val="21"/>
          <w:szCs w:val="21"/>
          <w:highlight w:val="none"/>
          <w:u w:val="single"/>
        </w:rPr>
        <w:t>（填写“所投采购包、品目号”）</w:t>
      </w:r>
      <w:r>
        <w:rPr>
          <w:rFonts w:hint="eastAsia" w:ascii="宋体" w:hAnsi="宋体" w:eastAsia="宋体" w:cs="宋体"/>
          <w:color w:val="auto"/>
          <w:sz w:val="21"/>
          <w:szCs w:val="21"/>
          <w:highlight w:val="none"/>
        </w:rPr>
        <w:t>货物（不包括使用非残疾人福利性单位注册商标的货物）。（说明：只有部分货物由残疾人福利企业制造的，在该货物后标</w:t>
      </w:r>
      <w:r>
        <w:rPr>
          <w:rFonts w:hint="eastAsia" w:ascii="宋体" w:hAnsi="宋体" w:eastAsia="宋体" w:cs="宋体"/>
          <w:color w:val="auto"/>
          <w:sz w:val="19"/>
          <w:szCs w:val="19"/>
          <w:highlight w:val="none"/>
          <w:shd w:val="clear" w:fill="FFFFFF"/>
        </w:rPr>
        <w:t>※</w:t>
      </w:r>
      <w:r>
        <w:rPr>
          <w:rFonts w:hint="eastAsia" w:ascii="宋体" w:hAnsi="宋体" w:eastAsia="宋体" w:cs="宋体"/>
          <w:color w:val="auto"/>
          <w:sz w:val="21"/>
          <w:szCs w:val="21"/>
          <w:highlight w:val="none"/>
        </w:rPr>
        <w:t>）</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）由本投标人承建的（填写“所投采购包、品目号”）工程</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）由本投标人承接的（填写“所投采购包、品目号”）服务；</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本投标人对上述声明的真实性负责。如有虚假，将依法承担相应责任。</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备注：</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1、请投标人按照实际情况编制填写本声明函，并在相应的（）中打“√”。</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2、若《残疾人福利性单位声明函》内容不真实，</w:t>
      </w:r>
      <w:r>
        <w:rPr>
          <w:rStyle w:val="17"/>
          <w:rFonts w:hint="eastAsia" w:ascii="宋体" w:hAnsi="宋体" w:eastAsia="宋体" w:cs="宋体"/>
          <w:color w:val="auto"/>
          <w:sz w:val="21"/>
          <w:szCs w:val="21"/>
          <w:highlight w:val="none"/>
        </w:rPr>
        <w:t>视为提供虚假材料。</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4"/>
        <w:keepNext w:val="0"/>
        <w:keepLines w:val="0"/>
        <w:widowControl/>
        <w:suppressLineNumbers w:val="0"/>
        <w:spacing w:before="75" w:beforeAutospacing="0" w:after="75" w:afterAutospacing="0"/>
        <w:ind w:left="0" w:firstLine="0"/>
        <w:rPr>
          <w:rFonts w:hint="eastAsia" w:ascii="宋体" w:hAnsi="宋体" w:eastAsia="宋体" w:cs="宋体"/>
          <w:color w:val="auto"/>
          <w:highlight w:val="none"/>
        </w:rPr>
      </w:pPr>
      <w:r>
        <w:rPr>
          <w:rFonts w:hint="eastAsia" w:ascii="宋体" w:hAnsi="宋体" w:eastAsia="宋体" w:cs="宋体"/>
          <w:color w:val="auto"/>
          <w:sz w:val="21"/>
          <w:szCs w:val="21"/>
          <w:highlight w:val="none"/>
        </w:rPr>
        <w:t>附：                          </w:t>
      </w:r>
    </w:p>
    <w:p>
      <w:pPr>
        <w:pStyle w:val="14"/>
        <w:keepNext w:val="0"/>
        <w:keepLines w:val="0"/>
        <w:widowControl/>
        <w:suppressLineNumbers w:val="0"/>
        <w:spacing w:before="75" w:beforeAutospacing="0" w:after="75" w:afterAutospacing="0"/>
        <w:ind w:left="0" w:firstLine="0"/>
        <w:jc w:val="center"/>
        <w:rPr>
          <w:rFonts w:hint="eastAsia" w:ascii="宋体" w:hAnsi="宋体" w:eastAsia="宋体" w:cs="宋体"/>
          <w:color w:val="auto"/>
          <w:highlight w:val="none"/>
        </w:rPr>
      </w:pPr>
      <w:r>
        <w:rPr>
          <w:rStyle w:val="17"/>
          <w:rFonts w:hint="eastAsia" w:ascii="宋体" w:hAnsi="宋体" w:eastAsia="宋体" w:cs="宋体"/>
          <w:color w:val="auto"/>
          <w:highlight w:val="none"/>
        </w:rPr>
        <w:t>监狱企业证明材料</w:t>
      </w:r>
    </w:p>
    <w:p>
      <w:pPr>
        <w:pStyle w:val="14"/>
        <w:keepNext w:val="0"/>
        <w:keepLines w:val="0"/>
        <w:widowControl/>
        <w:suppressLineNumbers w:val="0"/>
        <w:spacing w:before="75" w:beforeAutospacing="0" w:after="75" w:afterAutospacing="0"/>
        <w:ind w:left="0" w:firstLine="0"/>
        <w:jc w:val="center"/>
        <w:rPr>
          <w:rFonts w:hint="eastAsia" w:ascii="宋体" w:hAnsi="宋体" w:eastAsia="宋体" w:cs="宋体"/>
          <w:color w:val="auto"/>
          <w:highlight w:val="none"/>
        </w:rPr>
      </w:pPr>
      <w:r>
        <w:rPr>
          <w:rStyle w:val="17"/>
          <w:rFonts w:hint="eastAsia" w:ascii="宋体" w:hAnsi="宋体" w:eastAsia="宋体" w:cs="宋体"/>
          <w:color w:val="auto"/>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fill="FFFFFF"/>
        </w:rPr>
        <w:t>投标人为监狱企业，提供本单位制造的货物（承接的服务），并在投标文件中提供省级以上监狱管理局、戒毒管理局（含新疆生产建设兵团）出具的属于监狱企业的证明文件。</w:t>
      </w:r>
    </w:p>
    <w:p>
      <w:pPr>
        <w:pStyle w:val="14"/>
        <w:keepNext w:val="0"/>
        <w:keepLines w:val="0"/>
        <w:widowControl/>
        <w:suppressLineNumbers w:val="0"/>
        <w:spacing w:after="24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p>
    <w:p>
      <w:pP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二-10联合体协议</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兹有</w:t>
      </w:r>
      <w:r>
        <w:rPr>
          <w:rFonts w:hint="eastAsia" w:ascii="宋体" w:hAnsi="宋体" w:eastAsia="宋体" w:cs="宋体"/>
          <w:color w:val="auto"/>
          <w:sz w:val="21"/>
          <w:szCs w:val="21"/>
          <w:highlight w:val="none"/>
          <w:u w:val="single"/>
        </w:rPr>
        <w:t>（填写“联合体中各方的全称”，各方的全称之间请用“、”分割）</w:t>
      </w:r>
      <w:r>
        <w:rPr>
          <w:rFonts w:hint="eastAsia" w:ascii="宋体" w:hAnsi="宋体" w:eastAsia="宋体" w:cs="宋体"/>
          <w:color w:val="auto"/>
          <w:sz w:val="21"/>
          <w:szCs w:val="21"/>
          <w:highlight w:val="none"/>
        </w:rPr>
        <w:t>自愿组成联合体，共同参加</w:t>
      </w:r>
      <w:r>
        <w:rPr>
          <w:rFonts w:hint="eastAsia" w:ascii="宋体" w:hAnsi="宋体" w:eastAsia="宋体" w:cs="宋体"/>
          <w:color w:val="auto"/>
          <w:sz w:val="21"/>
          <w:szCs w:val="21"/>
          <w:highlight w:val="none"/>
          <w:u w:val="single"/>
        </w:rPr>
        <w:t>（填写“项目名称”）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）的投标。现就联合体参加本项目投标的有关事宜达成下列协议：</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一、联合体各方应承担的工作和义务具体如下：</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1、牵头方（</w:t>
      </w:r>
      <w:r>
        <w:rPr>
          <w:rFonts w:hint="eastAsia" w:ascii="宋体" w:hAnsi="宋体" w:eastAsia="宋体" w:cs="宋体"/>
          <w:color w:val="auto"/>
          <w:sz w:val="21"/>
          <w:szCs w:val="21"/>
          <w:highlight w:val="none"/>
          <w:u w:val="single"/>
        </w:rPr>
        <w:t>全称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（填写“工作及义务的具体内容”） </w:t>
      </w:r>
      <w:r>
        <w:rPr>
          <w:rFonts w:hint="eastAsia" w:ascii="宋体" w:hAnsi="宋体" w:eastAsia="宋体" w:cs="宋体"/>
          <w:color w:val="auto"/>
          <w:sz w:val="21"/>
          <w:szCs w:val="21"/>
          <w:highlight w:val="none"/>
        </w:rPr>
        <w:t>；</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2、成员方：</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u w:val="single"/>
        </w:rPr>
        <w:t>（成员一的全称）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（填写“工作及义务的具体内容”） </w:t>
      </w:r>
      <w:r>
        <w:rPr>
          <w:rFonts w:hint="eastAsia" w:ascii="宋体" w:hAnsi="宋体" w:eastAsia="宋体" w:cs="宋体"/>
          <w:color w:val="auto"/>
          <w:sz w:val="21"/>
          <w:szCs w:val="21"/>
          <w:highlight w:val="none"/>
        </w:rPr>
        <w:t>；</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p>
      <w:pPr>
        <w:pStyle w:val="14"/>
        <w:keepNext w:val="0"/>
        <w:keepLines w:val="0"/>
        <w:widowControl/>
        <w:suppressLineNumbers w:val="0"/>
        <w:spacing w:before="75" w:beforeAutospacing="0" w:after="75" w:afterAutospacing="0" w:line="360" w:lineRule="atLeast"/>
        <w:ind w:left="0" w:firstLine="435"/>
        <w:rPr>
          <w:rFonts w:hint="eastAsia" w:ascii="宋体" w:hAnsi="宋体" w:eastAsia="宋体" w:cs="宋体"/>
          <w:color w:val="auto"/>
          <w:highlight w:val="none"/>
        </w:rPr>
      </w:pPr>
      <w:r>
        <w:rPr>
          <w:rFonts w:hint="eastAsia" w:ascii="宋体" w:hAnsi="宋体" w:eastAsia="宋体" w:cs="宋体"/>
          <w:color w:val="auto"/>
          <w:sz w:val="21"/>
          <w:szCs w:val="21"/>
          <w:highlight w:val="none"/>
        </w:rPr>
        <w:t>二、联合体各方的合同金额占比，具体如下：</w:t>
      </w:r>
    </w:p>
    <w:p>
      <w:pPr>
        <w:pStyle w:val="14"/>
        <w:keepNext w:val="0"/>
        <w:keepLines w:val="0"/>
        <w:widowControl/>
        <w:suppressLineNumbers w:val="0"/>
        <w:spacing w:line="360" w:lineRule="atLeast"/>
        <w:ind w:left="0" w:firstLine="435"/>
        <w:rPr>
          <w:rFonts w:hint="eastAsia" w:ascii="宋体" w:hAnsi="宋体" w:eastAsia="宋体" w:cs="宋体"/>
          <w:color w:val="auto"/>
          <w:highlight w:val="none"/>
        </w:rPr>
      </w:pPr>
      <w:r>
        <w:rPr>
          <w:rFonts w:hint="eastAsia" w:ascii="宋体" w:hAnsi="宋体" w:eastAsia="宋体" w:cs="宋体"/>
          <w:color w:val="auto"/>
          <w:sz w:val="21"/>
          <w:szCs w:val="21"/>
          <w:highlight w:val="none"/>
        </w:rPr>
        <w:t>1.牵头方（</w:t>
      </w:r>
      <w:r>
        <w:rPr>
          <w:rFonts w:hint="eastAsia" w:ascii="宋体" w:hAnsi="宋体" w:eastAsia="宋体" w:cs="宋体"/>
          <w:color w:val="auto"/>
          <w:sz w:val="21"/>
          <w:szCs w:val="21"/>
          <w:highlight w:val="none"/>
          <w:u w:val="single"/>
        </w:rPr>
        <w:t>  全称 </w:t>
      </w:r>
      <w:r>
        <w:rPr>
          <w:rFonts w:hint="eastAsia" w:ascii="宋体" w:hAnsi="宋体" w:eastAsia="宋体" w:cs="宋体"/>
          <w:color w:val="auto"/>
          <w:sz w:val="21"/>
          <w:szCs w:val="21"/>
          <w:highlight w:val="none"/>
        </w:rPr>
        <w:t>）的合同金额占合同总额的＿%；</w:t>
      </w:r>
    </w:p>
    <w:p>
      <w:pPr>
        <w:pStyle w:val="14"/>
        <w:keepNext w:val="0"/>
        <w:keepLines w:val="0"/>
        <w:widowControl/>
        <w:suppressLineNumbers w:val="0"/>
        <w:spacing w:line="360" w:lineRule="atLeast"/>
        <w:ind w:left="0" w:firstLine="435"/>
        <w:rPr>
          <w:rFonts w:hint="eastAsia" w:ascii="宋体" w:hAnsi="宋体" w:eastAsia="宋体" w:cs="宋体"/>
          <w:color w:val="auto"/>
          <w:highlight w:val="none"/>
        </w:rPr>
      </w:pPr>
      <w:r>
        <w:rPr>
          <w:rFonts w:hint="eastAsia" w:ascii="宋体" w:hAnsi="宋体" w:eastAsia="宋体" w:cs="宋体"/>
          <w:color w:val="auto"/>
          <w:sz w:val="21"/>
          <w:szCs w:val="21"/>
          <w:highlight w:val="none"/>
        </w:rPr>
        <w:t>2.成员方：</w:t>
      </w:r>
    </w:p>
    <w:p>
      <w:pPr>
        <w:pStyle w:val="14"/>
        <w:keepNext w:val="0"/>
        <w:keepLines w:val="0"/>
        <w:widowControl/>
        <w:suppressLineNumbers w:val="0"/>
        <w:spacing w:line="360" w:lineRule="atLeast"/>
        <w:ind w:left="0" w:firstLine="435"/>
        <w:rPr>
          <w:rFonts w:hint="eastAsia" w:ascii="宋体" w:hAnsi="宋体" w:eastAsia="宋体" w:cs="宋体"/>
          <w:color w:val="auto"/>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u w:val="single"/>
        </w:rPr>
        <w:t> 成员1的全称 </w:t>
      </w:r>
      <w:r>
        <w:rPr>
          <w:rFonts w:hint="eastAsia" w:ascii="宋体" w:hAnsi="宋体" w:eastAsia="宋体" w:cs="宋体"/>
          <w:color w:val="auto"/>
          <w:sz w:val="21"/>
          <w:szCs w:val="21"/>
          <w:highlight w:val="none"/>
        </w:rPr>
        <w:t>）的合同金额占合同总额的＿%；</w:t>
      </w:r>
    </w:p>
    <w:p>
      <w:pPr>
        <w:pStyle w:val="14"/>
        <w:keepNext w:val="0"/>
        <w:keepLines w:val="0"/>
        <w:widowControl/>
        <w:suppressLineNumbers w:val="0"/>
        <w:spacing w:before="75" w:beforeAutospacing="0" w:after="75" w:afterAutospacing="0" w:line="360" w:lineRule="atLeast"/>
        <w:ind w:left="0" w:right="0" w:firstLine="435"/>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三、联合体各方约定：</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1、由</w:t>
      </w:r>
      <w:r>
        <w:rPr>
          <w:rFonts w:hint="eastAsia" w:ascii="宋体" w:hAnsi="宋体" w:eastAsia="宋体" w:cs="宋体"/>
          <w:color w:val="auto"/>
          <w:sz w:val="21"/>
          <w:szCs w:val="21"/>
          <w:highlight w:val="none"/>
          <w:u w:val="single"/>
        </w:rPr>
        <w:t>（填写“牵头方的全称”）</w:t>
      </w:r>
      <w:r>
        <w:rPr>
          <w:rFonts w:hint="eastAsia" w:ascii="宋体" w:hAnsi="宋体" w:eastAsia="宋体" w:cs="宋体"/>
          <w:color w:val="auto"/>
          <w:sz w:val="21"/>
          <w:szCs w:val="21"/>
          <w:highlight w:val="none"/>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2、联合体各方约定由</w:t>
      </w:r>
      <w:r>
        <w:rPr>
          <w:rFonts w:hint="eastAsia" w:ascii="宋体" w:hAnsi="宋体" w:eastAsia="宋体" w:cs="宋体"/>
          <w:color w:val="auto"/>
          <w:sz w:val="21"/>
          <w:szCs w:val="21"/>
          <w:highlight w:val="none"/>
          <w:u w:val="single"/>
        </w:rPr>
        <w:t>（填写“牵头方的全称”）</w:t>
      </w:r>
      <w:r>
        <w:rPr>
          <w:rFonts w:hint="eastAsia" w:ascii="宋体" w:hAnsi="宋体" w:eastAsia="宋体" w:cs="宋体"/>
          <w:color w:val="auto"/>
          <w:sz w:val="21"/>
          <w:szCs w:val="21"/>
          <w:highlight w:val="none"/>
        </w:rPr>
        <w:t>代表联合体办理投标保证金事宜。</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3、</w:t>
      </w:r>
      <w:r>
        <w:rPr>
          <w:rFonts w:hint="eastAsia" w:ascii="宋体" w:hAnsi="宋体" w:eastAsia="宋体" w:cs="宋体"/>
          <w:i w:val="0"/>
          <w:iCs w:val="0"/>
          <w:color w:val="auto"/>
          <w:spacing w:val="0"/>
          <w:sz w:val="21"/>
          <w:szCs w:val="21"/>
          <w:highlight w:val="none"/>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auto"/>
          <w:spacing w:val="0"/>
          <w:sz w:val="21"/>
          <w:szCs w:val="21"/>
          <w:highlight w:val="none"/>
          <w:u w:val="single"/>
        </w:rPr>
        <w:t>（应填写“其中一方的全称”，如：联合体确定以成员一的条件参与商务部分的评标，则填写“成员一的全称”…；否则填写“无”）</w:t>
      </w:r>
      <w:r>
        <w:rPr>
          <w:rFonts w:hint="eastAsia" w:ascii="宋体" w:hAnsi="宋体" w:eastAsia="宋体" w:cs="宋体"/>
          <w:i w:val="0"/>
          <w:iCs w:val="0"/>
          <w:color w:val="auto"/>
          <w:spacing w:val="0"/>
          <w:sz w:val="21"/>
          <w:szCs w:val="21"/>
          <w:highlight w:val="none"/>
        </w:rPr>
        <w:t>的条件参与商务部分的评标。</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五、本协议自签署之日起生效，政府采购合同履行完毕后自动失效。</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六、本协议一式</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份，联合体各方各执一份，投标文件中提交一份。</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（以下无正文）</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牵头方：</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（签字或盖章）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成员一：</w:t>
      </w:r>
      <w:r>
        <w:rPr>
          <w:rFonts w:hint="eastAsia" w:ascii="宋体" w:hAnsi="宋体" w:eastAsia="宋体" w:cs="宋体"/>
          <w:color w:val="auto"/>
          <w:sz w:val="21"/>
          <w:szCs w:val="21"/>
          <w:highlight w:val="none"/>
          <w:u w:val="single"/>
        </w:rPr>
        <w:t>（全称并加盖成员一的单位公章）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（签字或盖章）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成员**：</w:t>
      </w:r>
      <w:r>
        <w:rPr>
          <w:rFonts w:hint="eastAsia" w:ascii="宋体" w:hAnsi="宋体" w:eastAsia="宋体" w:cs="宋体"/>
          <w:color w:val="auto"/>
          <w:sz w:val="21"/>
          <w:szCs w:val="21"/>
          <w:highlight w:val="none"/>
          <w:u w:val="single"/>
        </w:rPr>
        <w:t>（全称并加盖成员**的单位公章）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（签字或盖章）  </w:t>
      </w:r>
    </w:p>
    <w:p>
      <w:pPr>
        <w:pStyle w:val="14"/>
        <w:keepNext w:val="0"/>
        <w:keepLines w:val="0"/>
        <w:widowControl/>
        <w:suppressLineNumbers w:val="0"/>
        <w:jc w:val="right"/>
        <w:rPr>
          <w:rFonts w:hint="eastAsia" w:ascii="宋体" w:hAnsi="宋体" w:eastAsia="宋体" w:cs="宋体"/>
          <w:color w:val="auto"/>
          <w:sz w:val="21"/>
          <w:szCs w:val="21"/>
          <w:highlight w:val="none"/>
        </w:rPr>
      </w:pPr>
    </w:p>
    <w:p>
      <w:pPr>
        <w:pStyle w:val="14"/>
        <w:keepNext w:val="0"/>
        <w:keepLines w:val="0"/>
        <w:widowControl/>
        <w:suppressLineNumbers w:val="0"/>
        <w:jc w:val="right"/>
        <w:rPr>
          <w:rFonts w:hint="eastAsia" w:ascii="宋体" w:hAnsi="宋体" w:eastAsia="宋体" w:cs="宋体"/>
          <w:color w:val="auto"/>
          <w:highlight w:val="none"/>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1、招标文件接受联合体投标且投标人为联合体的，投标人应提供本协议；否则无须提供。</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2、本协议由委托代理人签字或盖章的，应按照本章载明的格式提供“单位授权书”。</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3、在以联合体形式落实中小企业预留份额项目中，投标人除了要提供《中小企业声明函》，还需提供本协议。 </w:t>
      </w:r>
    </w:p>
    <w:p>
      <w:pPr>
        <w:pStyle w:val="14"/>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val="0"/>
        <w:keepLines w:val="0"/>
        <w:widowControl/>
        <w:suppressLineNumbers w:val="0"/>
        <w:spacing w:before="0" w:beforeAutospacing="0" w:after="240" w:afterAutospacing="0"/>
        <w:jc w:val="center"/>
        <w:outlineLvl w:val="9"/>
        <w:rPr>
          <w:rFonts w:hint="eastAsia" w:ascii="宋体" w:hAnsi="宋体" w:eastAsia="宋体" w:cs="宋体"/>
          <w:color w:val="auto"/>
          <w:highlight w:val="none"/>
        </w:rPr>
      </w:pPr>
      <w:r>
        <w:rPr>
          <w:rStyle w:val="17"/>
          <w:rFonts w:hint="eastAsia" w:ascii="宋体" w:hAnsi="宋体" w:eastAsia="宋体" w:cs="宋体"/>
          <w:color w:val="auto"/>
          <w:highlight w:val="none"/>
        </w:rPr>
        <w:t>二-11分包意向协议</w:t>
      </w:r>
    </w:p>
    <w:p>
      <w:pPr>
        <w:pStyle w:val="14"/>
        <w:keepNext w:val="0"/>
        <w:keepLines w:val="0"/>
        <w:widowControl/>
        <w:suppressLineNumbers w:val="0"/>
        <w:spacing w:line="435" w:lineRule="atLeast"/>
        <w:rPr>
          <w:rFonts w:hint="eastAsia" w:ascii="宋体" w:hAnsi="宋体" w:eastAsia="宋体" w:cs="宋体"/>
          <w:color w:val="auto"/>
          <w:highlight w:val="none"/>
        </w:rPr>
      </w:pPr>
      <w:r>
        <w:rPr>
          <w:rFonts w:hint="eastAsia" w:ascii="宋体" w:hAnsi="宋体" w:eastAsia="宋体" w:cs="宋体"/>
          <w:color w:val="auto"/>
          <w:sz w:val="21"/>
          <w:szCs w:val="21"/>
          <w:highlight w:val="none"/>
        </w:rPr>
        <w:t>甲方（总包方）：</w:t>
      </w:r>
      <w:r>
        <w:rPr>
          <w:rFonts w:hint="eastAsia" w:ascii="宋体" w:hAnsi="宋体" w:eastAsia="宋体" w:cs="宋体"/>
          <w:color w:val="auto"/>
          <w:sz w:val="21"/>
          <w:szCs w:val="21"/>
          <w:highlight w:val="none"/>
          <w:u w:val="single"/>
        </w:rPr>
        <w:t>                          　　　     </w:t>
      </w:r>
      <w:r>
        <w:rPr>
          <w:rFonts w:hint="eastAsia" w:ascii="宋体" w:hAnsi="宋体" w:eastAsia="宋体" w:cs="宋体"/>
          <w:color w:val="auto"/>
          <w:highlight w:val="none"/>
          <w:u w:val="single"/>
        </w:rPr>
        <w:t>　</w:t>
      </w:r>
      <w:r>
        <w:rPr>
          <w:rFonts w:hint="eastAsia" w:ascii="宋体" w:hAnsi="宋体" w:eastAsia="宋体" w:cs="宋体"/>
          <w:color w:val="auto"/>
          <w:sz w:val="21"/>
          <w:szCs w:val="21"/>
          <w:highlight w:val="none"/>
        </w:rPr>
        <w:t>（即本项目的投标人）</w:t>
      </w:r>
    </w:p>
    <w:p>
      <w:pPr>
        <w:pStyle w:val="14"/>
        <w:keepNext w:val="0"/>
        <w:keepLines w:val="0"/>
        <w:widowControl/>
        <w:suppressLineNumbers w:val="0"/>
        <w:spacing w:before="75" w:beforeAutospacing="0" w:after="75" w:afterAutospacing="0" w:line="360" w:lineRule="atLeast"/>
        <w:rPr>
          <w:rFonts w:hint="eastAsia" w:ascii="宋体" w:hAnsi="宋体" w:eastAsia="宋体" w:cs="宋体"/>
          <w:color w:val="auto"/>
          <w:highlight w:val="none"/>
        </w:rPr>
      </w:pPr>
      <w:r>
        <w:rPr>
          <w:rFonts w:hint="eastAsia" w:ascii="宋体" w:hAnsi="宋体" w:eastAsia="宋体" w:cs="宋体"/>
          <w:color w:val="auto"/>
          <w:sz w:val="21"/>
          <w:szCs w:val="21"/>
          <w:highlight w:val="none"/>
        </w:rPr>
        <w:t>乙方（分包方）：</w:t>
      </w:r>
      <w:r>
        <w:rPr>
          <w:rFonts w:hint="eastAsia" w:ascii="宋体" w:hAnsi="宋体" w:eastAsia="宋体" w:cs="宋体"/>
          <w:color w:val="auto"/>
          <w:sz w:val="21"/>
          <w:szCs w:val="21"/>
          <w:highlight w:val="none"/>
          <w:u w:val="single"/>
        </w:rPr>
        <w:t>                     　　　　　　　    </w:t>
      </w:r>
    </w:p>
    <w:p>
      <w:pPr>
        <w:pStyle w:val="14"/>
        <w:keepNext w:val="0"/>
        <w:keepLines w:val="0"/>
        <w:widowControl/>
        <w:suppressLineNumbers w:val="0"/>
        <w:spacing w:before="75" w:beforeAutospacing="0" w:after="75" w:afterAutospacing="0" w:line="360" w:lineRule="atLeast"/>
        <w:ind w:left="0" w:firstLine="435"/>
        <w:rPr>
          <w:rFonts w:hint="eastAsia" w:ascii="宋体" w:hAnsi="宋体" w:eastAsia="宋体" w:cs="宋体"/>
          <w:color w:val="auto"/>
          <w:highlight w:val="none"/>
        </w:rPr>
      </w:pPr>
      <w:r>
        <w:rPr>
          <w:rFonts w:hint="eastAsia" w:ascii="宋体" w:hAnsi="宋体" w:eastAsia="宋体" w:cs="宋体"/>
          <w:color w:val="auto"/>
          <w:sz w:val="21"/>
          <w:szCs w:val="21"/>
          <w:highlight w:val="none"/>
        </w:rPr>
        <w:t>兹有甲方参加</w:t>
      </w:r>
      <w:r>
        <w:rPr>
          <w:rFonts w:hint="eastAsia" w:ascii="宋体" w:hAnsi="宋体" w:eastAsia="宋体" w:cs="宋体"/>
          <w:color w:val="auto"/>
          <w:sz w:val="21"/>
          <w:szCs w:val="21"/>
          <w:highlight w:val="none"/>
          <w:u w:val="single"/>
        </w:rPr>
        <w:t>（填写“项目名称”）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）的政府采购活动。甲方期望将采购项目的部分采购标的分包给乙方完成，而乙方保证能够向甲方提供本协议项下的采购标的，甲、乙双方就合同分包的有关事宜达成下列协议：</w:t>
      </w:r>
    </w:p>
    <w:p>
      <w:pPr>
        <w:pStyle w:val="14"/>
        <w:keepNext w:val="0"/>
        <w:keepLines w:val="0"/>
        <w:widowControl/>
        <w:suppressLineNumbers w:val="0"/>
        <w:spacing w:before="0" w:beforeAutospacing="0" w:after="0" w:afterAutospacing="0" w:line="360" w:lineRule="atLeast"/>
        <w:ind w:left="0" w:firstLine="48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一、分包标的</w:t>
      </w:r>
    </w:p>
    <w:p>
      <w:pPr>
        <w:pStyle w:val="14"/>
        <w:keepNext w:val="0"/>
        <w:keepLines w:val="0"/>
        <w:widowControl/>
        <w:suppressLineNumbers w:val="0"/>
        <w:spacing w:before="0" w:beforeAutospacing="0" w:after="0" w:afterAutospacing="0" w:line="360" w:lineRule="atLeast"/>
        <w:ind w:left="0" w:firstLine="480"/>
        <w:rPr>
          <w:rFonts w:hint="eastAsia" w:ascii="宋体" w:hAnsi="宋体" w:eastAsia="宋体" w:cs="宋体"/>
          <w:color w:val="auto"/>
          <w:highlight w:val="none"/>
        </w:rPr>
      </w:pPr>
      <w:r>
        <w:rPr>
          <w:rFonts w:hint="eastAsia" w:ascii="宋体" w:hAnsi="宋体" w:eastAsia="宋体" w:cs="宋体"/>
          <w:color w:val="auto"/>
          <w:sz w:val="21"/>
          <w:szCs w:val="21"/>
          <w:highlight w:val="none"/>
          <w:u w:val="single"/>
        </w:rPr>
        <w:t>（根据双方的意向填写，可以是表格或文字描述）</w:t>
      </w:r>
      <w:r>
        <w:rPr>
          <w:rFonts w:hint="eastAsia" w:ascii="宋体" w:hAnsi="宋体" w:eastAsia="宋体" w:cs="宋体"/>
          <w:color w:val="auto"/>
          <w:sz w:val="21"/>
          <w:szCs w:val="21"/>
          <w:highlight w:val="none"/>
        </w:rPr>
        <w:t>。</w:t>
      </w:r>
    </w:p>
    <w:p>
      <w:pPr>
        <w:pStyle w:val="14"/>
        <w:keepNext w:val="0"/>
        <w:keepLines w:val="0"/>
        <w:widowControl/>
        <w:suppressLineNumbers w:val="0"/>
        <w:spacing w:before="0" w:beforeAutospacing="0" w:after="0" w:afterAutospacing="0" w:line="360" w:lineRule="atLeast"/>
        <w:ind w:left="0" w:firstLine="48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二、分包合同金额占比</w:t>
      </w:r>
    </w:p>
    <w:p>
      <w:pPr>
        <w:pStyle w:val="14"/>
        <w:keepNext w:val="0"/>
        <w:keepLines w:val="0"/>
        <w:widowControl/>
        <w:suppressLineNumbers w:val="0"/>
        <w:spacing w:before="0" w:beforeAutospacing="0" w:after="0" w:afterAutospacing="0" w:line="360" w:lineRule="atLeast"/>
        <w:ind w:left="0" w:firstLine="480"/>
        <w:rPr>
          <w:rFonts w:hint="eastAsia" w:ascii="宋体" w:hAnsi="宋体" w:eastAsia="宋体" w:cs="宋体"/>
          <w:color w:val="auto"/>
          <w:highlight w:val="none"/>
        </w:rPr>
      </w:pPr>
      <w:r>
        <w:rPr>
          <w:rFonts w:hint="eastAsia" w:ascii="宋体" w:hAnsi="宋体" w:eastAsia="宋体" w:cs="宋体"/>
          <w:color w:val="auto"/>
          <w:sz w:val="21"/>
          <w:szCs w:val="21"/>
          <w:highlight w:val="none"/>
        </w:rPr>
        <w:t>分包合同价占投标总价的比例：　　%</w:t>
      </w:r>
    </w:p>
    <w:p>
      <w:pPr>
        <w:pStyle w:val="14"/>
        <w:keepNext w:val="0"/>
        <w:keepLines w:val="0"/>
        <w:widowControl/>
        <w:suppressLineNumbers w:val="0"/>
        <w:spacing w:before="0" w:beforeAutospacing="0" w:after="0" w:afterAutospacing="0" w:line="360" w:lineRule="atLeast"/>
        <w:ind w:left="0" w:firstLine="48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三、其他条款</w:t>
      </w:r>
    </w:p>
    <w:p>
      <w:pPr>
        <w:pStyle w:val="14"/>
        <w:keepNext w:val="0"/>
        <w:keepLines w:val="0"/>
        <w:widowControl/>
        <w:suppressLineNumbers w:val="0"/>
        <w:spacing w:before="0" w:beforeAutospacing="0" w:after="0" w:afterAutospacing="0" w:line="360" w:lineRule="atLeast"/>
        <w:ind w:left="0" w:firstLine="480"/>
        <w:rPr>
          <w:rFonts w:hint="eastAsia" w:ascii="宋体" w:hAnsi="宋体" w:eastAsia="宋体" w:cs="宋体"/>
          <w:color w:val="auto"/>
          <w:highlight w:val="none"/>
        </w:rPr>
      </w:pPr>
      <w:r>
        <w:rPr>
          <w:rFonts w:hint="eastAsia" w:ascii="宋体" w:hAnsi="宋体" w:eastAsia="宋体" w:cs="宋体"/>
          <w:color w:val="auto"/>
          <w:sz w:val="21"/>
          <w:szCs w:val="21"/>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4"/>
        <w:keepNext w:val="0"/>
        <w:keepLines w:val="0"/>
        <w:widowControl/>
        <w:suppressLineNumbers w:val="0"/>
        <w:spacing w:before="0" w:beforeAutospacing="0" w:after="0" w:afterAutospacing="0" w:line="360" w:lineRule="atLeast"/>
        <w:ind w:left="0" w:firstLine="48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tbl>
      <w:tblPr>
        <w:tblStyle w:val="15"/>
        <w:tblW w:w="840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29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24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甲方：</w:t>
            </w:r>
          </w:p>
        </w:tc>
        <w:tc>
          <w:tcPr>
            <w:tcW w:w="406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住所：</w:t>
            </w:r>
          </w:p>
        </w:tc>
        <w:tc>
          <w:tcPr>
            <w:tcW w:w="406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24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单</w:t>
            </w:r>
            <w:r>
              <w:rPr>
                <w:rFonts w:hint="eastAsia" w:ascii="宋体" w:hAnsi="宋体" w:eastAsia="宋体" w:cs="宋体"/>
                <w:color w:val="auto"/>
                <w:spacing w:val="-15"/>
                <w:sz w:val="21"/>
                <w:szCs w:val="21"/>
                <w:highlight w:val="none"/>
              </w:rPr>
              <w:t>位负责人或委托代理人：</w:t>
            </w:r>
          </w:p>
        </w:tc>
        <w:tc>
          <w:tcPr>
            <w:tcW w:w="406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单</w:t>
            </w:r>
            <w:r>
              <w:rPr>
                <w:rFonts w:hint="eastAsia" w:ascii="宋体" w:hAnsi="宋体" w:eastAsia="宋体" w:cs="宋体"/>
                <w:color w:val="auto"/>
                <w:spacing w:val="-15"/>
                <w:sz w:val="21"/>
                <w:szCs w:val="21"/>
                <w:highlight w:val="none"/>
              </w:rPr>
              <w:t>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联系方法：</w:t>
            </w:r>
          </w:p>
        </w:tc>
        <w:tc>
          <w:tcPr>
            <w:tcW w:w="406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24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开户银行：</w:t>
            </w:r>
          </w:p>
        </w:tc>
        <w:tc>
          <w:tcPr>
            <w:tcW w:w="406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账号：</w:t>
            </w:r>
          </w:p>
        </w:tc>
        <w:tc>
          <w:tcPr>
            <w:tcW w:w="4065" w:type="dxa"/>
            <w:shd w:val="clear" w:color="auto" w:fill="auto"/>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340" w:type="dxa"/>
            <w:gridSpan w:val="2"/>
            <w:shd w:val="clear" w:color="auto" w:fill="auto"/>
            <w:tcMar>
              <w:top w:w="0" w:type="dxa"/>
              <w:left w:w="105" w:type="dxa"/>
              <w:bottom w:w="0" w:type="dxa"/>
              <w:right w:w="105" w:type="dxa"/>
            </w:tcMar>
            <w:vAlign w:val="top"/>
          </w:tcPr>
          <w:p>
            <w:pPr>
              <w:pStyle w:val="14"/>
              <w:keepNext w:val="0"/>
              <w:keepLines w:val="0"/>
              <w:widowControl/>
              <w:suppressLineNumbers w:val="0"/>
              <w:spacing w:before="150" w:beforeAutospacing="0" w:after="0" w:afterAutospacing="0"/>
              <w:ind w:left="3045"/>
              <w:rPr>
                <w:rFonts w:hint="eastAsia" w:ascii="宋体" w:hAnsi="宋体" w:eastAsia="宋体" w:cs="宋体"/>
                <w:color w:val="auto"/>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w:t>
            </w:r>
          </w:p>
          <w:p>
            <w:pPr>
              <w:pStyle w:val="14"/>
              <w:keepNext w:val="0"/>
              <w:keepLines w:val="0"/>
              <w:widowControl/>
              <w:suppressLineNumbers w:val="0"/>
              <w:spacing w:before="0" w:beforeAutospacing="0" w:after="0" w:afterAutospacing="0" w:line="360" w:lineRule="atLeast"/>
              <w:ind w:left="3045"/>
              <w:rPr>
                <w:rFonts w:hint="eastAsia" w:ascii="宋体" w:hAnsi="宋体" w:eastAsia="宋体" w:cs="宋体"/>
                <w:color w:val="auto"/>
                <w:highlight w:val="none"/>
              </w:rPr>
            </w:pPr>
            <w:r>
              <w:rPr>
                <w:rFonts w:hint="eastAsia" w:ascii="宋体" w:hAnsi="宋体" w:eastAsia="宋体" w:cs="宋体"/>
                <w:color w:val="auto"/>
                <w:sz w:val="21"/>
                <w:szCs w:val="21"/>
                <w:highlight w:val="none"/>
              </w:rPr>
              <w:t>签订日期：    年   月   日</w:t>
            </w:r>
          </w:p>
        </w:tc>
      </w:tr>
    </w:tbl>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※注意：</w:t>
      </w:r>
    </w:p>
    <w:p>
      <w:pPr>
        <w:pStyle w:val="14"/>
        <w:keepNext w:val="0"/>
        <w:keepLines w:val="0"/>
        <w:widowControl/>
        <w:suppressLineNumbers w:val="0"/>
        <w:spacing w:line="360" w:lineRule="atLeast"/>
        <w:ind w:left="0" w:firstLine="435"/>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1.招标文件接受合同分包且投标人拟将合同分包的，应提供本协议；否则无须提供。</w:t>
      </w:r>
    </w:p>
    <w:p>
      <w:pPr>
        <w:pStyle w:val="14"/>
        <w:keepNext w:val="0"/>
        <w:keepLines w:val="0"/>
        <w:widowControl/>
        <w:suppressLineNumbers w:val="0"/>
        <w:spacing w:line="360" w:lineRule="atLeast"/>
        <w:ind w:left="0" w:firstLine="435"/>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2.本协议由委托代理人签字或盖章的，应按照本章载明的格式提供“单位授权书”。</w:t>
      </w:r>
    </w:p>
    <w:p>
      <w:pPr>
        <w:pStyle w:val="14"/>
        <w:keepNext w:val="0"/>
        <w:keepLines w:val="0"/>
        <w:widowControl/>
        <w:suppressLineNumbers w:val="0"/>
        <w:spacing w:line="360" w:lineRule="atLeast"/>
        <w:ind w:left="0" w:firstLine="435"/>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t>3.在以合同分包形式落实中小企业预留份额项目中，投标人除了要提供《中小企业声明函》，还需提供本协议。 </w:t>
      </w:r>
    </w:p>
    <w:p>
      <w:pP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二-12其他资格证明文件（若有）</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二</w:t>
      </w:r>
      <w:r>
        <w:rPr>
          <w:rStyle w:val="17"/>
          <w:rFonts w:hint="eastAsia" w:ascii="宋体" w:hAnsi="宋体" w:eastAsia="宋体" w:cs="宋体"/>
          <w:color w:val="auto"/>
          <w:sz w:val="21"/>
          <w:szCs w:val="21"/>
          <w:highlight w:val="none"/>
        </w:rPr>
        <w:t>-12-①具备履行合同所必需设备和专业技术能力专项证明材料（若有）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现附上我方具备履行合同所必需的设备和专业技术能力的专项证明材料复印件（具体附后），上述证明材料真实有效，否则我方负全部责任。</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1、招标文件要求投标人提供“具备履行合同所必需的设备和专业技术能力专项证明材料”的，投标人应按照招标文件规定在此项下提供相应证明材料复印件。</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2、投标人提供的相应证明材料复印件均应符合：内容完整、清晰、整洁，并由投标人加盖其单位公章。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after="240"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spacing w:after="240" w:afterAutospacing="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二-12-②招标文件规定的其他资格证明文件（若有）</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编制说明</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除招标文件另有规定外，招标文件要求提交的除前述资格证明文件外的其他资格证明文件（若有）加盖投标人的单位公章后应在此项下提交。</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jc w:val="center"/>
        <w:outlineLvl w:val="2"/>
        <w:rPr>
          <w:rFonts w:hint="eastAsia" w:ascii="宋体" w:hAnsi="宋体" w:eastAsia="宋体" w:cs="宋体"/>
          <w:color w:val="auto"/>
          <w:highlight w:val="none"/>
        </w:rPr>
      </w:pPr>
      <w:r>
        <w:rPr>
          <w:rFonts w:hint="eastAsia" w:ascii="宋体" w:hAnsi="宋体" w:eastAsia="宋体" w:cs="宋体"/>
          <w:color w:val="auto"/>
          <w:sz w:val="21"/>
          <w:szCs w:val="21"/>
          <w:highlight w:val="none"/>
        </w:rPr>
        <w:t>三</w:t>
      </w:r>
      <w:r>
        <w:rPr>
          <w:rStyle w:val="17"/>
          <w:rFonts w:hint="eastAsia" w:ascii="宋体" w:hAnsi="宋体" w:eastAsia="宋体" w:cs="宋体"/>
          <w:color w:val="auto"/>
          <w:sz w:val="21"/>
          <w:szCs w:val="21"/>
          <w:highlight w:val="none"/>
        </w:rPr>
        <w:t>、投标保证金</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编制说明</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1、在此项下提交的</w:t>
      </w:r>
      <w:r>
        <w:rPr>
          <w:rStyle w:val="17"/>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rPr>
        <w:t>材料可使用转账凭证复印件或从福建省政府采购网上公开信息系统中下载的有关原始页面的打印件。</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2、投标保证金是否已提交的认定按照招标文件第三章规定执行。</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8"/>
          <w:szCs w:val="28"/>
          <w:highlight w:val="none"/>
        </w:rPr>
        <w:t>封面格式</w:t>
      </w:r>
    </w:p>
    <w:p>
      <w:pPr>
        <w:pStyle w:val="14"/>
        <w:keepNext w:val="0"/>
        <w:keepLines w:val="0"/>
        <w:widowControl/>
        <w:suppressLineNumbers w:val="0"/>
        <w:rPr>
          <w:rFonts w:hint="eastAsia" w:ascii="宋体" w:hAnsi="宋体" w:eastAsia="宋体" w:cs="宋体"/>
          <w:color w:val="auto"/>
          <w:highlight w:val="none"/>
        </w:rPr>
      </w:pP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48"/>
          <w:szCs w:val="48"/>
          <w:highlight w:val="none"/>
        </w:rPr>
        <w:t>福建省政府采购投标文件</w:t>
      </w:r>
    </w:p>
    <w:p>
      <w:pPr>
        <w:pStyle w:val="14"/>
        <w:keepNext w:val="0"/>
        <w:keepLines w:val="0"/>
        <w:widowControl/>
        <w:suppressLineNumbers w:val="0"/>
        <w:jc w:val="center"/>
        <w:outlineLvl w:val="1"/>
        <w:rPr>
          <w:rFonts w:hint="eastAsia" w:ascii="宋体" w:hAnsi="宋体" w:eastAsia="宋体" w:cs="宋体"/>
          <w:color w:val="auto"/>
          <w:highlight w:val="none"/>
        </w:rPr>
      </w:pPr>
      <w:bookmarkStart w:id="12" w:name="_Toc21072"/>
      <w:r>
        <w:rPr>
          <w:rStyle w:val="17"/>
          <w:rFonts w:hint="eastAsia" w:ascii="宋体" w:hAnsi="宋体" w:eastAsia="宋体" w:cs="宋体"/>
          <w:color w:val="auto"/>
          <w:sz w:val="48"/>
          <w:szCs w:val="48"/>
          <w:highlight w:val="none"/>
        </w:rPr>
        <w:t>（报价部分）</w:t>
      </w:r>
      <w:bookmarkEnd w:id="12"/>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36"/>
          <w:szCs w:val="36"/>
          <w:highlight w:val="none"/>
          <w:u w:val="single"/>
        </w:rPr>
        <w:t>（填写正本或副本）</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4"/>
        <w:keepNext w:val="0"/>
        <w:keepLines w:val="0"/>
        <w:widowControl/>
        <w:suppressLineNumbers w:val="0"/>
        <w:ind w:left="0" w:firstLine="1920"/>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项目名称：</w:t>
      </w:r>
      <w:r>
        <w:rPr>
          <w:rStyle w:val="17"/>
          <w:rFonts w:hint="eastAsia" w:ascii="宋体" w:hAnsi="宋体" w:eastAsia="宋体" w:cs="宋体"/>
          <w:color w:val="auto"/>
          <w:sz w:val="31"/>
          <w:szCs w:val="31"/>
          <w:highlight w:val="none"/>
          <w:u w:val="single"/>
        </w:rPr>
        <w:t>（由投标人填写）</w:t>
      </w:r>
    </w:p>
    <w:p>
      <w:pPr>
        <w:pStyle w:val="14"/>
        <w:keepNext w:val="0"/>
        <w:keepLines w:val="0"/>
        <w:widowControl/>
        <w:suppressLineNumbers w:val="0"/>
        <w:ind w:left="0" w:firstLine="1920"/>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备案编号：</w:t>
      </w:r>
      <w:r>
        <w:rPr>
          <w:rStyle w:val="17"/>
          <w:rFonts w:hint="eastAsia" w:ascii="宋体" w:hAnsi="宋体" w:eastAsia="宋体" w:cs="宋体"/>
          <w:color w:val="auto"/>
          <w:sz w:val="31"/>
          <w:szCs w:val="31"/>
          <w:highlight w:val="none"/>
          <w:u w:val="single"/>
        </w:rPr>
        <w:t>（由投标人填写）</w:t>
      </w:r>
    </w:p>
    <w:p>
      <w:pPr>
        <w:pStyle w:val="14"/>
        <w:keepNext w:val="0"/>
        <w:keepLines w:val="0"/>
        <w:widowControl/>
        <w:suppressLineNumbers w:val="0"/>
        <w:ind w:left="0" w:firstLine="1920"/>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项目编号：</w:t>
      </w:r>
      <w:r>
        <w:rPr>
          <w:rStyle w:val="17"/>
          <w:rFonts w:hint="eastAsia" w:ascii="宋体" w:hAnsi="宋体" w:eastAsia="宋体" w:cs="宋体"/>
          <w:color w:val="auto"/>
          <w:sz w:val="31"/>
          <w:szCs w:val="31"/>
          <w:highlight w:val="none"/>
          <w:u w:val="single"/>
        </w:rPr>
        <w:t>（由投标人填写）</w:t>
      </w:r>
    </w:p>
    <w:p>
      <w:pPr>
        <w:pStyle w:val="14"/>
        <w:keepNext w:val="0"/>
        <w:keepLines w:val="0"/>
        <w:widowControl/>
        <w:suppressLineNumbers w:val="0"/>
        <w:ind w:left="0" w:firstLine="1920"/>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所投采购包：</w:t>
      </w:r>
      <w:r>
        <w:rPr>
          <w:rStyle w:val="17"/>
          <w:rFonts w:hint="eastAsia" w:ascii="宋体" w:hAnsi="宋体" w:eastAsia="宋体" w:cs="宋体"/>
          <w:color w:val="auto"/>
          <w:sz w:val="31"/>
          <w:szCs w:val="31"/>
          <w:highlight w:val="none"/>
          <w:u w:val="single"/>
        </w:rPr>
        <w:t>（由投标人填写）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投标人：</w:t>
      </w:r>
      <w:r>
        <w:rPr>
          <w:rStyle w:val="17"/>
          <w:rFonts w:hint="eastAsia" w:ascii="宋体" w:hAnsi="宋体" w:eastAsia="宋体" w:cs="宋体"/>
          <w:color w:val="auto"/>
          <w:sz w:val="31"/>
          <w:szCs w:val="31"/>
          <w:highlight w:val="none"/>
          <w:u w:val="single"/>
        </w:rPr>
        <w:t>（填写“全称”）</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u w:val="single"/>
        </w:rPr>
        <w:t>（由投标人填写）</w:t>
      </w:r>
      <w:r>
        <w:rPr>
          <w:rStyle w:val="17"/>
          <w:rFonts w:hint="eastAsia" w:ascii="宋体" w:hAnsi="宋体" w:eastAsia="宋体" w:cs="宋体"/>
          <w:color w:val="auto"/>
          <w:sz w:val="31"/>
          <w:szCs w:val="31"/>
          <w:highlight w:val="none"/>
        </w:rPr>
        <w:t>年</w:t>
      </w:r>
      <w:r>
        <w:rPr>
          <w:rStyle w:val="17"/>
          <w:rFonts w:hint="eastAsia" w:ascii="宋体" w:hAnsi="宋体" w:eastAsia="宋体" w:cs="宋体"/>
          <w:color w:val="auto"/>
          <w:sz w:val="31"/>
          <w:szCs w:val="31"/>
          <w:highlight w:val="none"/>
          <w:u w:val="single"/>
        </w:rPr>
        <w:t>（由投标人填写）</w:t>
      </w:r>
      <w:r>
        <w:rPr>
          <w:rStyle w:val="17"/>
          <w:rFonts w:hint="eastAsia" w:ascii="宋体" w:hAnsi="宋体" w:eastAsia="宋体" w:cs="宋体"/>
          <w:color w:val="auto"/>
          <w:sz w:val="31"/>
          <w:szCs w:val="31"/>
          <w:highlight w:val="none"/>
        </w:rPr>
        <w:t>月</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8"/>
          <w:szCs w:val="28"/>
          <w:highlight w:val="none"/>
        </w:rPr>
        <w:t>索引</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一、开标一览表</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二、投标分项报价表</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三、招标文件规定的价格扣除证明材料（若有）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四、招标文件规定的加分证明材料（若有）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br w:type="page"/>
      </w:r>
    </w:p>
    <w:p>
      <w:pPr>
        <w:pStyle w:val="14"/>
        <w:keepNext w:val="0"/>
        <w:keepLines w:val="0"/>
        <w:widowControl/>
        <w:suppressLineNumbers w:val="0"/>
        <w:jc w:val="center"/>
        <w:outlineLvl w:val="2"/>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一、开标一览表</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p>
      <w:pPr>
        <w:pStyle w:val="14"/>
        <w:keepNext w:val="0"/>
        <w:keepLines w:val="0"/>
        <w:widowControl/>
        <w:suppressLineNumbers w:val="0"/>
        <w:jc w:val="right"/>
        <w:rPr>
          <w:rFonts w:hint="eastAsia" w:ascii="宋体" w:hAnsi="宋体" w:eastAsia="宋体" w:cs="宋体"/>
          <w:color w:val="auto"/>
          <w:highlight w:val="none"/>
        </w:rPr>
      </w:pPr>
      <w:r>
        <w:rPr>
          <w:rFonts w:hint="eastAsia" w:ascii="宋体" w:hAnsi="宋体" w:eastAsia="宋体" w:cs="宋体"/>
          <w:color w:val="auto"/>
          <w:sz w:val="21"/>
          <w:szCs w:val="21"/>
          <w:highlight w:val="none"/>
        </w:rPr>
        <w:t>货币及单位：人民币元</w:t>
      </w:r>
    </w:p>
    <w:tbl>
      <w:tblPr>
        <w:tblStyle w:val="1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28"/>
        <w:gridCol w:w="3275"/>
        <w:gridCol w:w="1890"/>
        <w:gridCol w:w="23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15" w:type="dxa"/>
        </w:trPr>
        <w:tc>
          <w:tcPr>
            <w:tcW w:w="983"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采购包</w:t>
            </w:r>
          </w:p>
        </w:tc>
        <w:tc>
          <w:tcPr>
            <w:tcW w:w="3245"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投标报价</w:t>
            </w:r>
          </w:p>
        </w:tc>
        <w:tc>
          <w:tcPr>
            <w:tcW w:w="1860"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保证金</w:t>
            </w:r>
          </w:p>
        </w:tc>
        <w:tc>
          <w:tcPr>
            <w:tcW w:w="2282"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0" w:hRule="atLeast"/>
          <w:tblCellSpacing w:w="15" w:type="dxa"/>
        </w:trPr>
        <w:tc>
          <w:tcPr>
            <w:tcW w:w="983"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3245"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投标总价（大写金额）：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c>
          <w:tcPr>
            <w:tcW w:w="18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2282"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a.投标报价的明细：详见《投标分项报价表》。</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83"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3245"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投标总价（大写金额）：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c>
          <w:tcPr>
            <w:tcW w:w="18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2282"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r>
    </w:tbl>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1、本表应按照下列规定填写：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1.1投标人应按照本表格式填写所投的采购包的“投标报价”。</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1.2本表中列示的“采购包”应与《投标分项报价表》中列示的“采购包”保持一致，即：若本表中列示的“采购包”为“1”时，《投标分项报价表》中列示的“采购包”亦应为“1”，以此类推。</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1.3“大写金额”指“投标报价”应用“壹、贰、叁、肆、伍、陆、柒、捌、玖、拾、佰、仟、万、亿、元、角、分、零”等进行填写。</w:t>
      </w:r>
    </w:p>
    <w:p>
      <w:pPr>
        <w:pStyle w:val="14"/>
        <w:keepNext w:val="0"/>
        <w:keepLines w:val="0"/>
        <w:widowControl/>
        <w:suppressLineNumbers w:val="0"/>
        <w:rPr>
          <w:rFonts w:hint="eastAsia" w:ascii="宋体" w:hAnsi="宋体" w:eastAsia="宋体" w:cs="宋体"/>
          <w:color w:val="auto"/>
          <w:highlight w:val="none"/>
        </w:rPr>
      </w:pP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jc w:val="center"/>
        <w:outlineLvl w:val="2"/>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二、投标分项报价表</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p>
      <w:pPr>
        <w:pStyle w:val="14"/>
        <w:keepNext w:val="0"/>
        <w:keepLines w:val="0"/>
        <w:widowControl/>
        <w:suppressLineNumbers w:val="0"/>
        <w:jc w:val="right"/>
        <w:rPr>
          <w:rFonts w:hint="eastAsia" w:ascii="宋体" w:hAnsi="宋体" w:eastAsia="宋体" w:cs="宋体"/>
          <w:color w:val="auto"/>
          <w:highlight w:val="none"/>
        </w:rPr>
      </w:pPr>
      <w:r>
        <w:rPr>
          <w:rFonts w:hint="eastAsia" w:ascii="宋体" w:hAnsi="宋体" w:eastAsia="宋体" w:cs="宋体"/>
          <w:color w:val="auto"/>
          <w:sz w:val="21"/>
          <w:szCs w:val="21"/>
          <w:highlight w:val="none"/>
        </w:rPr>
        <w:t>货币及单位：人民币元</w:t>
      </w:r>
    </w:p>
    <w:tbl>
      <w:tblPr>
        <w:tblStyle w:val="15"/>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85"/>
        <w:gridCol w:w="956"/>
        <w:gridCol w:w="1498"/>
        <w:gridCol w:w="1236"/>
        <w:gridCol w:w="851"/>
        <w:gridCol w:w="992"/>
        <w:gridCol w:w="589"/>
        <w:gridCol w:w="10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采购包</w:t>
            </w:r>
          </w:p>
        </w:tc>
        <w:tc>
          <w:tcPr>
            <w:tcW w:w="926"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品目号</w:t>
            </w:r>
          </w:p>
        </w:tc>
        <w:tc>
          <w:tcPr>
            <w:tcW w:w="1468"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投标标的</w:t>
            </w:r>
          </w:p>
        </w:tc>
        <w:tc>
          <w:tcPr>
            <w:tcW w:w="1206"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规格</w:t>
            </w:r>
          </w:p>
        </w:tc>
        <w:tc>
          <w:tcPr>
            <w:tcW w:w="82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来源地</w:t>
            </w:r>
          </w:p>
        </w:tc>
        <w:tc>
          <w:tcPr>
            <w:tcW w:w="96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单价</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（现场）</w:t>
            </w:r>
          </w:p>
        </w:tc>
        <w:tc>
          <w:tcPr>
            <w:tcW w:w="559"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数量</w:t>
            </w:r>
          </w:p>
        </w:tc>
        <w:tc>
          <w:tcPr>
            <w:tcW w:w="1058"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总价</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（现场）</w:t>
            </w:r>
          </w:p>
        </w:tc>
        <w:tc>
          <w:tcPr>
            <w:tcW w:w="78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926"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1468"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206"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821"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962"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559"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058"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780"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926"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468"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206"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821"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962"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559"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058"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780"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926"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468"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206"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821"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962"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559"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058"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780"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r>
    </w:tbl>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1、本表应按照下列规定填写：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1.2“投标标的”为货物的：</w:t>
      </w:r>
      <w:r>
        <w:rPr>
          <w:rStyle w:val="17"/>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项下应填写货物制造厂商赋予的品牌（属于节能、环保清单产品的货物，填写的品牌名称应与清单载明的品牌名称保持一致）及具体型号。</w:t>
      </w:r>
      <w:r>
        <w:rPr>
          <w:rStyle w:val="17"/>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应填写货物的原产地。</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1.3“投标标的”为服务的：</w:t>
      </w:r>
      <w:r>
        <w:rPr>
          <w:rStyle w:val="17"/>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项下应填写服务提供者提供的服务标准及品牌（若有）。</w:t>
      </w:r>
      <w:r>
        <w:rPr>
          <w:rStyle w:val="17"/>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应填写服务提供者的所在地。</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1.4同一采购包中，</w:t>
      </w:r>
      <w:r>
        <w:rPr>
          <w:rStyle w:val="17"/>
          <w:rFonts w:hint="eastAsia" w:ascii="宋体" w:hAnsi="宋体" w:eastAsia="宋体" w:cs="宋体"/>
          <w:color w:val="auto"/>
          <w:sz w:val="21"/>
          <w:szCs w:val="21"/>
          <w:highlight w:val="none"/>
        </w:rPr>
        <w:t>“单价（现场）”</w:t>
      </w:r>
      <w:r>
        <w:rPr>
          <w:rFonts w:hint="eastAsia" w:ascii="宋体" w:hAnsi="宋体" w:eastAsia="宋体" w:cs="宋体"/>
          <w:color w:val="auto"/>
          <w:sz w:val="21"/>
          <w:szCs w:val="21"/>
          <w:highlight w:val="none"/>
        </w:rPr>
        <w:t>×</w:t>
      </w:r>
      <w:r>
        <w:rPr>
          <w:rStyle w:val="17"/>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rPr>
        <w:t>=</w:t>
      </w:r>
      <w:r>
        <w:rPr>
          <w:rStyle w:val="17"/>
          <w:rFonts w:hint="eastAsia" w:ascii="宋体" w:hAnsi="宋体" w:eastAsia="宋体" w:cs="宋体"/>
          <w:color w:val="auto"/>
          <w:sz w:val="21"/>
          <w:szCs w:val="21"/>
          <w:highlight w:val="none"/>
        </w:rPr>
        <w:t>“总价（现场）”</w:t>
      </w:r>
      <w:r>
        <w:rPr>
          <w:rFonts w:hint="eastAsia" w:ascii="宋体" w:hAnsi="宋体" w:eastAsia="宋体" w:cs="宋体"/>
          <w:color w:val="auto"/>
          <w:sz w:val="21"/>
          <w:szCs w:val="21"/>
          <w:highlight w:val="none"/>
        </w:rPr>
        <w:t>，全部品目号</w:t>
      </w:r>
      <w:r>
        <w:rPr>
          <w:rStyle w:val="17"/>
          <w:rFonts w:hint="eastAsia" w:ascii="宋体" w:hAnsi="宋体" w:eastAsia="宋体" w:cs="宋体"/>
          <w:color w:val="auto"/>
          <w:sz w:val="21"/>
          <w:szCs w:val="21"/>
          <w:highlight w:val="none"/>
        </w:rPr>
        <w:t>“总价（现场）”</w:t>
      </w:r>
      <w:r>
        <w:rPr>
          <w:rFonts w:hint="eastAsia" w:ascii="宋体" w:hAnsi="宋体" w:eastAsia="宋体" w:cs="宋体"/>
          <w:color w:val="auto"/>
          <w:sz w:val="21"/>
          <w:szCs w:val="21"/>
          <w:highlight w:val="none"/>
        </w:rPr>
        <w:t>的合计金额应与《开标一览表》中相应采购包列示的</w:t>
      </w:r>
      <w:r>
        <w:rPr>
          <w:rStyle w:val="17"/>
          <w:rFonts w:hint="eastAsia" w:ascii="宋体" w:hAnsi="宋体" w:eastAsia="宋体" w:cs="宋体"/>
          <w:color w:val="auto"/>
          <w:sz w:val="21"/>
          <w:szCs w:val="21"/>
          <w:highlight w:val="none"/>
        </w:rPr>
        <w:t>“投标总价”</w:t>
      </w:r>
      <w:r>
        <w:rPr>
          <w:rFonts w:hint="eastAsia" w:ascii="宋体" w:hAnsi="宋体" w:eastAsia="宋体" w:cs="宋体"/>
          <w:color w:val="auto"/>
          <w:sz w:val="21"/>
          <w:szCs w:val="21"/>
          <w:highlight w:val="none"/>
        </w:rPr>
        <w:t>保持一致。</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1.5若招标文件要求投标人对“备品备件价格、专用工具价格、技术服务费、安装调试费、检验培训费、运输费、保险费、税收”等进行报价的，请在本表的</w:t>
      </w:r>
      <w:r>
        <w:rPr>
          <w:rStyle w:val="17"/>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rPr>
        <w:t>项下填写。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spacing w:after="240"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br w:type="textWrapping"/>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jc w:val="center"/>
        <w:outlineLvl w:val="2"/>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三、招标文件规定的价格扣除证明材料（若有）</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三-1优先类节能产品、环境标志产品价格扣除证明材料（若有）</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三-1-①优先类节能产品、环境标志产品统计表（价格扣除适用，若有）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p>
      <w:pPr>
        <w:pStyle w:val="14"/>
        <w:keepNext w:val="0"/>
        <w:keepLines w:val="0"/>
        <w:widowControl/>
        <w:suppressLineNumbers w:val="0"/>
        <w:jc w:val="right"/>
        <w:rPr>
          <w:rFonts w:hint="eastAsia" w:ascii="宋体" w:hAnsi="宋体" w:eastAsia="宋体" w:cs="宋体"/>
          <w:color w:val="auto"/>
          <w:highlight w:val="none"/>
        </w:rPr>
      </w:pPr>
      <w:r>
        <w:rPr>
          <w:rFonts w:hint="eastAsia" w:ascii="宋体" w:hAnsi="宋体" w:eastAsia="宋体" w:cs="宋体"/>
          <w:color w:val="auto"/>
          <w:sz w:val="21"/>
          <w:szCs w:val="21"/>
          <w:highlight w:val="none"/>
        </w:rPr>
        <w:t>货币及单位：人民币元</w:t>
      </w:r>
    </w:p>
    <w:tbl>
      <w:tblPr>
        <w:tblStyle w:val="15"/>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19"/>
        <w:gridCol w:w="1215"/>
        <w:gridCol w:w="1209"/>
        <w:gridCol w:w="1221"/>
        <w:gridCol w:w="1209"/>
        <w:gridCol w:w="122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174"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7256" w:type="dxa"/>
            <w:gridSpan w:val="6"/>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174"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采购包</w:t>
            </w:r>
          </w:p>
        </w:tc>
        <w:tc>
          <w:tcPr>
            <w:tcW w:w="1185"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品目号</w:t>
            </w:r>
          </w:p>
        </w:tc>
        <w:tc>
          <w:tcPr>
            <w:tcW w:w="1179"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货物名称</w:t>
            </w:r>
          </w:p>
        </w:tc>
        <w:tc>
          <w:tcPr>
            <w:tcW w:w="119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单价</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（现场）</w:t>
            </w:r>
          </w:p>
        </w:tc>
        <w:tc>
          <w:tcPr>
            <w:tcW w:w="1179"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数量</w:t>
            </w:r>
          </w:p>
        </w:tc>
        <w:tc>
          <w:tcPr>
            <w:tcW w:w="119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总价</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（现场）</w:t>
            </w:r>
          </w:p>
        </w:tc>
        <w:tc>
          <w:tcPr>
            <w:tcW w:w="118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174"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1185"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91"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92"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80"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4" w:type="dxa"/>
            <w:vMerge w:val="continue"/>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1185"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91"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92"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80"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4"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备注</w:t>
            </w:r>
          </w:p>
        </w:tc>
        <w:tc>
          <w:tcPr>
            <w:tcW w:w="7256" w:type="dxa"/>
            <w:gridSpan w:val="6"/>
            <w:shd w:val="clear" w:color="auto" w:fill="auto"/>
            <w:tcMar>
              <w:top w:w="0" w:type="dxa"/>
              <w:left w:w="105" w:type="dxa"/>
              <w:bottom w:w="0" w:type="dxa"/>
              <w:right w:w="105" w:type="dxa"/>
            </w:tcMar>
            <w:vAlign w:val="top"/>
          </w:tcPr>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a.采购包内属于节能、环境标志产品的报价总金额：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b.采购包投标总价（报价总金额）：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c.“采购包内属于节能、环境标志产品的报价总金额”占“采购包投标总价（报价总金额）”的比例（以%列示）：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r>
    </w:tbl>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1、对节能、环境标志产品计算价格扣除时，只依据投标文件</w:t>
      </w:r>
      <w:r>
        <w:rPr>
          <w:rStyle w:val="17"/>
          <w:rFonts w:hint="eastAsia" w:ascii="宋体" w:hAnsi="宋体" w:eastAsia="宋体" w:cs="宋体"/>
          <w:color w:val="auto"/>
          <w:sz w:val="21"/>
          <w:szCs w:val="21"/>
          <w:highlight w:val="none"/>
        </w:rPr>
        <w:t>“三-1-②优先类节能产品、环境标志产品证明材料（价格扣除适用，若有）”。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2、本表以采购包为单位，不同采购包请分别填写；同一采购包请按照其品目号顺序分别填写。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3、具体统计、计算：</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3.1若节能、环境标志产品仅是构成投标产品的部件、组件或零件，则该投标产品不享受鼓励优惠政策。同一品目中各认证证书不重复计算价格扣除。强制类节能产品不享受价格扣除。</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3.2计算结果若除不尽，可四舍五入保留到小数点后两位。</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3.3投标人应按照招标文件要求认真统计、计算，否则评标委员会不予认定。</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3.4若无节能、环境标志产品，不填写本表，否则，</w:t>
      </w:r>
      <w:r>
        <w:rPr>
          <w:rStyle w:val="17"/>
          <w:rFonts w:hint="eastAsia" w:ascii="宋体" w:hAnsi="宋体" w:eastAsia="宋体" w:cs="宋体"/>
          <w:color w:val="auto"/>
          <w:sz w:val="21"/>
          <w:szCs w:val="21"/>
          <w:highlight w:val="none"/>
        </w:rPr>
        <w:t>视为提供虚假材料。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三-1-②优先类节能产品、环境标志产品证明材料（价格扣除适用，若有）</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br w:type="textWrapping"/>
      </w:r>
      <w:r>
        <w:rPr>
          <w:rStyle w:val="17"/>
          <w:rFonts w:hint="eastAsia" w:ascii="宋体" w:hAnsi="宋体" w:eastAsia="宋体" w:cs="宋体"/>
          <w:color w:val="auto"/>
          <w:sz w:val="21"/>
          <w:szCs w:val="21"/>
          <w:highlight w:val="none"/>
        </w:rPr>
        <w:t>三-2小型、微型企业产品等价格扣除证明材料（若有）</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br w:type="textWrapping"/>
      </w:r>
      <w:r>
        <w:rPr>
          <w:rStyle w:val="17"/>
          <w:rFonts w:hint="eastAsia" w:ascii="宋体" w:hAnsi="宋体" w:eastAsia="宋体" w:cs="宋体"/>
          <w:color w:val="auto"/>
          <w:sz w:val="21"/>
          <w:szCs w:val="21"/>
          <w:highlight w:val="none"/>
        </w:rPr>
        <w:t>三-2-①中小企业声明函（价格扣除适用，若有）</w:t>
      </w:r>
    </w:p>
    <w:p>
      <w:pPr>
        <w:pStyle w:val="14"/>
        <w:keepNext w:val="0"/>
        <w:keepLines w:val="0"/>
        <w:widowControl/>
        <w:suppressLineNumbers w:val="0"/>
        <w:rPr>
          <w:rFonts w:hint="eastAsia" w:ascii="宋体" w:hAnsi="宋体" w:eastAsia="宋体" w:cs="宋体"/>
          <w:color w:val="auto"/>
          <w:highlight w:val="none"/>
        </w:rPr>
      </w:pPr>
    </w:p>
    <w:p>
      <w:pPr>
        <w:keepNext w:val="0"/>
        <w:keepLines w:val="0"/>
        <w:widowControl/>
        <w:suppressLineNumbers w:val="0"/>
        <w:spacing w:before="150" w:beforeAutospacing="0" w:after="150" w:afterAutospacing="0"/>
        <w:jc w:val="center"/>
        <w:outlineLvl w:val="9"/>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中小企业声明函（货物）</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1. </w:t>
      </w:r>
      <w:r>
        <w:rPr>
          <w:rFonts w:hint="eastAsia" w:ascii="宋体" w:hAnsi="宋体" w:eastAsia="宋体" w:cs="宋体"/>
          <w:color w:val="auto"/>
          <w:sz w:val="21"/>
          <w:szCs w:val="21"/>
          <w:highlight w:val="none"/>
          <w:u w:val="single"/>
        </w:rPr>
        <w:t>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行业；制造商为（企业名称），从业人员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2. </w:t>
      </w:r>
      <w:r>
        <w:rPr>
          <w:rFonts w:hint="eastAsia" w:ascii="宋体" w:hAnsi="宋体" w:eastAsia="宋体" w:cs="宋体"/>
          <w:color w:val="auto"/>
          <w:sz w:val="21"/>
          <w:szCs w:val="21"/>
          <w:highlight w:val="none"/>
          <w:u w:val="single"/>
        </w:rPr>
        <w:t> （标的名称） </w:t>
      </w:r>
      <w:r>
        <w:rPr>
          <w:rFonts w:hint="eastAsia" w:ascii="宋体" w:hAnsi="宋体" w:eastAsia="宋体" w:cs="宋体"/>
          <w:color w:val="auto"/>
          <w:sz w:val="21"/>
          <w:szCs w:val="21"/>
          <w:highlight w:val="none"/>
        </w:rPr>
        <w:t>， 属于</w:t>
      </w:r>
      <w:r>
        <w:rPr>
          <w:rFonts w:hint="eastAsia" w:ascii="宋体" w:hAnsi="宋体" w:eastAsia="宋体" w:cs="宋体"/>
          <w:color w:val="auto"/>
          <w:sz w:val="21"/>
          <w:szCs w:val="21"/>
          <w:highlight w:val="none"/>
          <w:u w:val="single"/>
        </w:rPr>
        <w:t> （采购文件中明确的所属行业 ）</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企业名称（盖章）：</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日期：</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1、从业人员、营业收入、资产总额填报上一年度数据，无上一年度数据的新成立企业可不填报。</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keepNext w:val="0"/>
        <w:keepLines w:val="0"/>
        <w:widowControl/>
        <w:suppressLineNumbers w:val="0"/>
        <w:spacing w:before="150" w:beforeAutospacing="0" w:after="150" w:afterAutospacing="0"/>
        <w:jc w:val="center"/>
        <w:outlineLvl w:val="9"/>
        <w:rPr>
          <w:rFonts w:hint="eastAsia" w:ascii="宋体" w:hAnsi="宋体" w:eastAsia="宋体" w:cs="宋体"/>
          <w:color w:val="auto"/>
          <w:highlight w:val="none"/>
        </w:rPr>
      </w:pPr>
      <w:r>
        <w:rPr>
          <w:rStyle w:val="17"/>
          <w:rFonts w:hint="eastAsia" w:ascii="宋体" w:hAnsi="宋体" w:eastAsia="宋体" w:cs="宋体"/>
          <w:color w:val="auto"/>
          <w:sz w:val="24"/>
          <w:szCs w:val="24"/>
          <w:highlight w:val="none"/>
        </w:rPr>
        <w:t>中小企业声明函（工程、服务</w:t>
      </w:r>
      <w:r>
        <w:rPr>
          <w:rStyle w:val="17"/>
          <w:rFonts w:hint="eastAsia" w:ascii="宋体" w:hAnsi="宋体" w:eastAsia="宋体" w:cs="宋体"/>
          <w:color w:val="auto"/>
          <w:sz w:val="21"/>
          <w:szCs w:val="21"/>
          <w:highlight w:val="none"/>
        </w:rPr>
        <w:t>）</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2.</w:t>
      </w:r>
      <w:r>
        <w:rPr>
          <w:rFonts w:hint="eastAsia" w:ascii="宋体" w:hAnsi="宋体" w:eastAsia="宋体" w:cs="宋体"/>
          <w:color w:val="auto"/>
          <w:sz w:val="21"/>
          <w:szCs w:val="21"/>
          <w:highlight w:val="none"/>
          <w:u w:val="single"/>
        </w:rPr>
        <w:t>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以上企业，不属于大企业的分支机构，不存在控股股东为大企业的情形，也不存在与大企业的负责人为同一人的情形。</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本企业对上述声明内容的真实性负责。如有虚假，将依法承担相应责任。</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企业名称（盖章）：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日期：</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1、从业人员、营业收入、资产总额填报上一年度数据，无上一年度数据的新成立企业可不填报。</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spacing w:after="24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三-2-②小型、微型企业等证明材料（价格扣除适用，若有）</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编制说明</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1、投标人应按照招标文件要求提供相应证明材料，证明材料应与《中小企业声明函》的内容相一致，否则视为《中小企业声明函》内容不真实。</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2、投标人为监狱企业的，根据其提供的由省级以上监狱管理局、戒毒管理局（含新疆生产建设兵团）出具的属于监狱企业的证明文件进行认定，监狱企业视同小型、微型企业。</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附：</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残疾人福利性单位声明函（价格扣除适用，若有）</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项目采购活动：</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）提供本投标人制造的</w:t>
      </w:r>
      <w:r>
        <w:rPr>
          <w:rFonts w:hint="eastAsia" w:ascii="宋体" w:hAnsi="宋体" w:eastAsia="宋体" w:cs="宋体"/>
          <w:color w:val="auto"/>
          <w:sz w:val="21"/>
          <w:szCs w:val="21"/>
          <w:highlight w:val="none"/>
          <w:u w:val="single"/>
        </w:rPr>
        <w:t>（填写“所投采购包、品目号”）</w:t>
      </w:r>
      <w:r>
        <w:rPr>
          <w:rFonts w:hint="eastAsia" w:ascii="宋体" w:hAnsi="宋体" w:eastAsia="宋体" w:cs="宋体"/>
          <w:color w:val="auto"/>
          <w:sz w:val="21"/>
          <w:szCs w:val="21"/>
          <w:highlight w:val="none"/>
        </w:rPr>
        <w:t>货物，或提供其他残疾人福利性单位制造的</w:t>
      </w:r>
      <w:r>
        <w:rPr>
          <w:rFonts w:hint="eastAsia" w:ascii="宋体" w:hAnsi="宋体" w:eastAsia="宋体" w:cs="宋体"/>
          <w:color w:val="auto"/>
          <w:sz w:val="21"/>
          <w:szCs w:val="21"/>
          <w:highlight w:val="none"/>
          <w:u w:val="single"/>
        </w:rPr>
        <w:t>（填写“所投采购包、品目号”）</w:t>
      </w:r>
      <w:r>
        <w:rPr>
          <w:rFonts w:hint="eastAsia" w:ascii="宋体" w:hAnsi="宋体" w:eastAsia="宋体" w:cs="宋体"/>
          <w:color w:val="auto"/>
          <w:sz w:val="21"/>
          <w:szCs w:val="21"/>
          <w:highlight w:val="none"/>
        </w:rPr>
        <w:t>货物（不包括使用非残疾人福利性单位注册商标的货物）。（说明：只有部分货物由残疾人福利企业制造的，在该货物后标</w:t>
      </w:r>
      <w:r>
        <w:rPr>
          <w:rFonts w:hint="eastAsia" w:ascii="宋体" w:hAnsi="宋体" w:eastAsia="宋体" w:cs="宋体"/>
          <w:color w:val="auto"/>
          <w:sz w:val="19"/>
          <w:szCs w:val="19"/>
          <w:highlight w:val="none"/>
          <w:shd w:val="clear" w:fill="FFFFFF"/>
        </w:rPr>
        <w:t>★</w:t>
      </w:r>
      <w:r>
        <w:rPr>
          <w:rFonts w:hint="eastAsia" w:ascii="宋体" w:hAnsi="宋体" w:eastAsia="宋体" w:cs="宋体"/>
          <w:color w:val="auto"/>
          <w:sz w:val="21"/>
          <w:szCs w:val="21"/>
          <w:highlight w:val="none"/>
        </w:rPr>
        <w:t>）</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）由本投标人承建的</w:t>
      </w:r>
      <w:r>
        <w:rPr>
          <w:rFonts w:hint="eastAsia" w:ascii="宋体" w:hAnsi="宋体" w:eastAsia="宋体" w:cs="宋体"/>
          <w:color w:val="auto"/>
          <w:sz w:val="21"/>
          <w:szCs w:val="21"/>
          <w:highlight w:val="none"/>
          <w:u w:val="single"/>
        </w:rPr>
        <w:t>（填写“所投采购包、品目号”）</w:t>
      </w:r>
      <w:r>
        <w:rPr>
          <w:rFonts w:hint="eastAsia" w:ascii="宋体" w:hAnsi="宋体" w:eastAsia="宋体" w:cs="宋体"/>
          <w:color w:val="auto"/>
          <w:sz w:val="21"/>
          <w:szCs w:val="21"/>
          <w:highlight w:val="none"/>
        </w:rPr>
        <w:t>工程</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）由本投标人承接的</w:t>
      </w:r>
      <w:r>
        <w:rPr>
          <w:rFonts w:hint="eastAsia" w:ascii="宋体" w:hAnsi="宋体" w:eastAsia="宋体" w:cs="宋体"/>
          <w:color w:val="auto"/>
          <w:sz w:val="21"/>
          <w:szCs w:val="21"/>
          <w:highlight w:val="none"/>
          <w:u w:val="single"/>
        </w:rPr>
        <w:t>（填写“所投采购包、品目号”）</w:t>
      </w:r>
      <w:r>
        <w:rPr>
          <w:rFonts w:hint="eastAsia" w:ascii="宋体" w:hAnsi="宋体" w:eastAsia="宋体" w:cs="宋体"/>
          <w:color w:val="auto"/>
          <w:sz w:val="21"/>
          <w:szCs w:val="21"/>
          <w:highlight w:val="none"/>
        </w:rPr>
        <w:t>服务；</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本投标人对上述声明的真实性负责。如有虚假，将依法承担相应责任。</w:t>
      </w:r>
    </w:p>
    <w:p>
      <w:pPr>
        <w:pStyle w:val="14"/>
        <w:keepNext w:val="0"/>
        <w:keepLines w:val="0"/>
        <w:widowControl/>
        <w:suppressLineNumbers w:val="0"/>
        <w:spacing w:before="75" w:beforeAutospacing="0" w:after="75" w:afterAutospacing="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备注：</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1、请投标人按照实际情况编制填写本声明函，并在相应的（）中打“√”。</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2、若《残疾人福利性单位声明函》内容不真实，</w:t>
      </w:r>
      <w:r>
        <w:rPr>
          <w:rStyle w:val="17"/>
          <w:rFonts w:hint="eastAsia" w:ascii="宋体" w:hAnsi="宋体" w:eastAsia="宋体" w:cs="宋体"/>
          <w:color w:val="auto"/>
          <w:sz w:val="21"/>
          <w:szCs w:val="21"/>
          <w:highlight w:val="none"/>
        </w:rPr>
        <w:t>视为提供虚假材料。</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spacing w:before="75" w:beforeAutospacing="0" w:after="24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spacing w:before="0" w:beforeAutospacing="0" w:after="0" w:afterAutospacing="0"/>
        <w:ind w:left="0" w:righ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附：</w:t>
      </w:r>
    </w:p>
    <w:p>
      <w:pPr>
        <w:pStyle w:val="14"/>
        <w:keepNext w:val="0"/>
        <w:keepLines w:val="0"/>
        <w:widowControl/>
        <w:suppressLineNumbers w:val="0"/>
        <w:spacing w:before="75" w:beforeAutospacing="0" w:after="75" w:afterAutospacing="0"/>
        <w:ind w:left="0" w:firstLine="0"/>
        <w:jc w:val="center"/>
        <w:rPr>
          <w:rFonts w:hint="eastAsia" w:ascii="宋体" w:hAnsi="宋体" w:eastAsia="宋体" w:cs="宋体"/>
          <w:color w:val="auto"/>
          <w:highlight w:val="none"/>
        </w:rPr>
      </w:pPr>
      <w:r>
        <w:rPr>
          <w:rStyle w:val="17"/>
          <w:rFonts w:hint="eastAsia" w:ascii="宋体" w:hAnsi="宋体" w:eastAsia="宋体" w:cs="宋体"/>
          <w:color w:val="auto"/>
          <w:highlight w:val="none"/>
        </w:rPr>
        <w:t>监狱企业证明材料</w:t>
      </w:r>
    </w:p>
    <w:p>
      <w:pPr>
        <w:pStyle w:val="14"/>
        <w:keepNext w:val="0"/>
        <w:keepLines w:val="0"/>
        <w:widowControl/>
        <w:suppressLineNumbers w:val="0"/>
        <w:spacing w:before="75" w:beforeAutospacing="0" w:after="75" w:afterAutospacing="0"/>
        <w:ind w:left="0" w:firstLine="0"/>
        <w:jc w:val="center"/>
        <w:rPr>
          <w:rFonts w:hint="eastAsia" w:ascii="宋体" w:hAnsi="宋体" w:eastAsia="宋体" w:cs="宋体"/>
          <w:color w:val="auto"/>
          <w:highlight w:val="none"/>
        </w:rPr>
      </w:pPr>
      <w:r>
        <w:rPr>
          <w:rStyle w:val="17"/>
          <w:rFonts w:hint="eastAsia" w:ascii="宋体" w:hAnsi="宋体" w:eastAsia="宋体" w:cs="宋体"/>
          <w:color w:val="auto"/>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  投标人为监狱企业，提供本单位制造的货物（承接的服务），并在投标文件中提供省级以上监狱管理局、戒毒管理局（含新疆生产建设兵团）出具的属于监狱企业的证明文件。</w:t>
      </w:r>
    </w:p>
    <w:p>
      <w:pPr>
        <w:pStyle w:val="14"/>
        <w:keepNext w:val="0"/>
        <w:keepLines w:val="0"/>
        <w:widowControl/>
        <w:suppressLineNumbers w:val="0"/>
        <w:spacing w:before="75" w:beforeAutospacing="0" w:after="24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p>
    <w:p>
      <w:pP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三-3招标文件规定的其他价格扣除证明材料（若有）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编制说明</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若投标人可享受招标文件规定的除</w:t>
      </w:r>
      <w:r>
        <w:rPr>
          <w:rStyle w:val="17"/>
          <w:rFonts w:hint="eastAsia" w:ascii="宋体" w:hAnsi="宋体" w:eastAsia="宋体" w:cs="宋体"/>
          <w:color w:val="auto"/>
          <w:sz w:val="21"/>
          <w:szCs w:val="21"/>
          <w:highlight w:val="none"/>
        </w:rPr>
        <w:t>“节能（非强制类）、环境标志产品价格扣除”及“小型、微型企业产品等价格扣除”</w:t>
      </w:r>
      <w:r>
        <w:rPr>
          <w:rFonts w:hint="eastAsia" w:ascii="宋体" w:hAnsi="宋体" w:eastAsia="宋体" w:cs="宋体"/>
          <w:color w:val="auto"/>
          <w:sz w:val="21"/>
          <w:szCs w:val="21"/>
          <w:highlight w:val="none"/>
        </w:rPr>
        <w:t>外的其他价格扣除优惠，则投标人应按照招标文件要求提供相应证明材料。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after="24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p>
    <w:p>
      <w:pP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br w:type="page"/>
      </w:r>
    </w:p>
    <w:p>
      <w:pPr>
        <w:pStyle w:val="14"/>
        <w:keepNext w:val="0"/>
        <w:keepLines w:val="0"/>
        <w:widowControl/>
        <w:suppressLineNumbers w:val="0"/>
        <w:jc w:val="center"/>
        <w:outlineLvl w:val="2"/>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四、招标文件规定的加分证明材料（若有）</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四-1优先类节能产品、环境标志产品加分证明材料（若有）</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四-1-①优先类节能产品、环境标志产品统计表（加分适用，若有）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p>
      <w:pPr>
        <w:pStyle w:val="14"/>
        <w:keepNext w:val="0"/>
        <w:keepLines w:val="0"/>
        <w:widowControl/>
        <w:suppressLineNumbers w:val="0"/>
        <w:jc w:val="right"/>
        <w:rPr>
          <w:rFonts w:hint="eastAsia" w:ascii="宋体" w:hAnsi="宋体" w:eastAsia="宋体" w:cs="宋体"/>
          <w:color w:val="auto"/>
          <w:highlight w:val="none"/>
        </w:rPr>
      </w:pPr>
      <w:r>
        <w:rPr>
          <w:rFonts w:hint="eastAsia" w:ascii="宋体" w:hAnsi="宋体" w:eastAsia="宋体" w:cs="宋体"/>
          <w:color w:val="auto"/>
          <w:sz w:val="21"/>
          <w:szCs w:val="21"/>
          <w:highlight w:val="none"/>
        </w:rPr>
        <w:t>货币及单位：人民币元</w:t>
      </w:r>
    </w:p>
    <w:tbl>
      <w:tblPr>
        <w:tblStyle w:val="15"/>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19"/>
        <w:gridCol w:w="1215"/>
        <w:gridCol w:w="1209"/>
        <w:gridCol w:w="1221"/>
        <w:gridCol w:w="1209"/>
        <w:gridCol w:w="122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174"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7256" w:type="dxa"/>
            <w:gridSpan w:val="6"/>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174"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采购包</w:t>
            </w:r>
          </w:p>
        </w:tc>
        <w:tc>
          <w:tcPr>
            <w:tcW w:w="1185"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品目号</w:t>
            </w:r>
          </w:p>
        </w:tc>
        <w:tc>
          <w:tcPr>
            <w:tcW w:w="1179"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货物名称</w:t>
            </w:r>
          </w:p>
        </w:tc>
        <w:tc>
          <w:tcPr>
            <w:tcW w:w="1191"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单价</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（现场）</w:t>
            </w:r>
          </w:p>
        </w:tc>
        <w:tc>
          <w:tcPr>
            <w:tcW w:w="1179"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数量</w:t>
            </w:r>
          </w:p>
        </w:tc>
        <w:tc>
          <w:tcPr>
            <w:tcW w:w="1192"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总价</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（现场）</w:t>
            </w:r>
          </w:p>
        </w:tc>
        <w:tc>
          <w:tcPr>
            <w:tcW w:w="118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4"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1185"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91"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92"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80"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4" w:type="dxa"/>
            <w:vMerge w:val="continue"/>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1185"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91"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92"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180"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4"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备注</w:t>
            </w:r>
          </w:p>
        </w:tc>
        <w:tc>
          <w:tcPr>
            <w:tcW w:w="7256" w:type="dxa"/>
            <w:gridSpan w:val="6"/>
            <w:shd w:val="clear" w:color="auto" w:fill="auto"/>
            <w:tcMar>
              <w:top w:w="0" w:type="dxa"/>
              <w:left w:w="105" w:type="dxa"/>
              <w:bottom w:w="0" w:type="dxa"/>
              <w:right w:w="105" w:type="dxa"/>
            </w:tcMar>
            <w:vAlign w:val="top"/>
          </w:tcPr>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a.采购包内属于节能、环境标志产品的报价总金额：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b.采购包投标总价（报价总金额）：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c.“采购包内属于节能、环境标志产品的报价总金额”占“采购包投标总价（报价总金额）”的比例（以%列示）：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r>
    </w:tbl>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1、对节能、环境标志产品计算加分时，只依据投标文件</w:t>
      </w:r>
      <w:r>
        <w:rPr>
          <w:rStyle w:val="17"/>
          <w:rFonts w:hint="eastAsia" w:ascii="宋体" w:hAnsi="宋体" w:eastAsia="宋体" w:cs="宋体"/>
          <w:color w:val="auto"/>
          <w:sz w:val="21"/>
          <w:szCs w:val="21"/>
          <w:highlight w:val="none"/>
        </w:rPr>
        <w:t>“四-1-②优先类节能产品、环境标志产品加分证明材料（加分适用，若有）”。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2、本表以采购包为单位，不同采购包请分别填写；同一采购包请按照其品目号顺序分别填写。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3、具体统计、计算：</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3.1 若节能、环境标志产品仅是构成投标产品的部件、组件或零件，则该投标产品不享受鼓励优惠政策。同一品目中各认证证书不重复计算加分。强制类节能产品不享受加分。</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3.2计算结果若除不尽，可四舍五入保留到小数点后两位。</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3.3投标人应按照招标文件要求认真统计、计算，否则评标委员会不予认定。</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3.4若无节能、环境标志产品，不填写本表，否则，</w:t>
      </w:r>
      <w:r>
        <w:rPr>
          <w:rStyle w:val="17"/>
          <w:rFonts w:hint="eastAsia" w:ascii="宋体" w:hAnsi="宋体" w:eastAsia="宋体" w:cs="宋体"/>
          <w:color w:val="auto"/>
          <w:sz w:val="21"/>
          <w:szCs w:val="21"/>
          <w:highlight w:val="none"/>
        </w:rPr>
        <w:t>视为提供虚假材料</w:t>
      </w:r>
      <w:r>
        <w:rPr>
          <w:rFonts w:hint="eastAsia" w:ascii="宋体" w:hAnsi="宋体" w:eastAsia="宋体" w:cs="宋体"/>
          <w:color w:val="auto"/>
          <w:sz w:val="21"/>
          <w:szCs w:val="21"/>
          <w:highlight w:val="none"/>
        </w:rPr>
        <w:t>。</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spacing w:after="240" w:afterAutospacing="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r>
        <w:rPr>
          <w:rStyle w:val="17"/>
          <w:rFonts w:hint="eastAsia" w:ascii="宋体" w:hAnsi="宋体" w:eastAsia="宋体" w:cs="宋体"/>
          <w:color w:val="auto"/>
          <w:sz w:val="21"/>
          <w:szCs w:val="21"/>
          <w:highlight w:val="none"/>
        </w:rPr>
        <w:br w:type="textWrapping"/>
      </w:r>
    </w:p>
    <w:p>
      <w:pP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四-1-②优先类节能产品、环境标志产品证明材料（加分适用，若有）</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四</w:t>
      </w:r>
      <w:r>
        <w:rPr>
          <w:rStyle w:val="17"/>
          <w:rFonts w:hint="eastAsia" w:ascii="宋体" w:hAnsi="宋体" w:eastAsia="宋体" w:cs="宋体"/>
          <w:color w:val="auto"/>
          <w:sz w:val="21"/>
          <w:szCs w:val="21"/>
          <w:highlight w:val="none"/>
        </w:rPr>
        <w:t>-2招标文件规定的其他加分证明材料（若有）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编制说明</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若投标人可享受招标文件规定的除</w:t>
      </w:r>
      <w:r>
        <w:rPr>
          <w:rStyle w:val="17"/>
          <w:rFonts w:hint="eastAsia" w:ascii="宋体" w:hAnsi="宋体" w:eastAsia="宋体" w:cs="宋体"/>
          <w:color w:val="auto"/>
          <w:sz w:val="21"/>
          <w:szCs w:val="21"/>
          <w:highlight w:val="none"/>
        </w:rPr>
        <w:t>“优先类节能产品、环境标志产品加分”</w:t>
      </w:r>
      <w:r>
        <w:rPr>
          <w:rFonts w:hint="eastAsia" w:ascii="宋体" w:hAnsi="宋体" w:eastAsia="宋体" w:cs="宋体"/>
          <w:color w:val="auto"/>
          <w:sz w:val="21"/>
          <w:szCs w:val="21"/>
          <w:highlight w:val="none"/>
        </w:rPr>
        <w:t>外的其他加分优惠，则投标人应按照招标文件要求提供相应证明材料。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rPr>
          <w:rFonts w:hint="eastAsia" w:ascii="宋体" w:hAnsi="宋体" w:eastAsia="宋体" w:cs="宋体"/>
          <w:color w:val="auto"/>
          <w:sz w:val="21"/>
          <w:szCs w:val="21"/>
          <w:highlight w:val="none"/>
        </w:rPr>
      </w:pP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8"/>
          <w:szCs w:val="28"/>
          <w:highlight w:val="none"/>
        </w:rPr>
        <w:t>封面格式</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48"/>
          <w:szCs w:val="48"/>
          <w:highlight w:val="none"/>
        </w:rPr>
        <w:t>福建省政府采购投标文件</w:t>
      </w:r>
    </w:p>
    <w:p>
      <w:pPr>
        <w:pStyle w:val="14"/>
        <w:keepNext w:val="0"/>
        <w:keepLines w:val="0"/>
        <w:widowControl/>
        <w:suppressLineNumbers w:val="0"/>
        <w:jc w:val="center"/>
        <w:outlineLvl w:val="1"/>
        <w:rPr>
          <w:rFonts w:hint="eastAsia" w:ascii="宋体" w:hAnsi="宋体" w:eastAsia="宋体" w:cs="宋体"/>
          <w:color w:val="auto"/>
          <w:highlight w:val="none"/>
        </w:rPr>
      </w:pPr>
      <w:bookmarkStart w:id="13" w:name="_Toc31143"/>
      <w:r>
        <w:rPr>
          <w:rStyle w:val="17"/>
          <w:rFonts w:hint="eastAsia" w:ascii="宋体" w:hAnsi="宋体" w:eastAsia="宋体" w:cs="宋体"/>
          <w:color w:val="auto"/>
          <w:sz w:val="48"/>
          <w:szCs w:val="48"/>
          <w:highlight w:val="none"/>
        </w:rPr>
        <w:t>（技术商务部分）</w:t>
      </w:r>
      <w:bookmarkEnd w:id="13"/>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36"/>
          <w:szCs w:val="36"/>
          <w:highlight w:val="none"/>
          <w:u w:val="single"/>
        </w:rPr>
        <w:t>（填写正本或副本）</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4"/>
        <w:keepNext w:val="0"/>
        <w:keepLines w:val="0"/>
        <w:widowControl/>
        <w:suppressLineNumbers w:val="0"/>
        <w:ind w:left="0" w:firstLine="1920"/>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项目名称：</w:t>
      </w:r>
      <w:r>
        <w:rPr>
          <w:rStyle w:val="17"/>
          <w:rFonts w:hint="eastAsia" w:ascii="宋体" w:hAnsi="宋体" w:eastAsia="宋体" w:cs="宋体"/>
          <w:color w:val="auto"/>
          <w:sz w:val="31"/>
          <w:szCs w:val="31"/>
          <w:highlight w:val="none"/>
          <w:u w:val="single"/>
        </w:rPr>
        <w:t>（由投标人填写）</w:t>
      </w:r>
    </w:p>
    <w:p>
      <w:pPr>
        <w:pStyle w:val="14"/>
        <w:keepNext w:val="0"/>
        <w:keepLines w:val="0"/>
        <w:widowControl/>
        <w:suppressLineNumbers w:val="0"/>
        <w:ind w:left="0" w:firstLine="1920"/>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备案编号：</w:t>
      </w:r>
      <w:r>
        <w:rPr>
          <w:rStyle w:val="17"/>
          <w:rFonts w:hint="eastAsia" w:ascii="宋体" w:hAnsi="宋体" w:eastAsia="宋体" w:cs="宋体"/>
          <w:color w:val="auto"/>
          <w:sz w:val="31"/>
          <w:szCs w:val="31"/>
          <w:highlight w:val="none"/>
          <w:u w:val="single"/>
        </w:rPr>
        <w:t>（由投标人填写）</w:t>
      </w:r>
    </w:p>
    <w:p>
      <w:pPr>
        <w:pStyle w:val="14"/>
        <w:keepNext w:val="0"/>
        <w:keepLines w:val="0"/>
        <w:widowControl/>
        <w:suppressLineNumbers w:val="0"/>
        <w:ind w:left="0" w:firstLine="1920"/>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项目编号：</w:t>
      </w:r>
      <w:r>
        <w:rPr>
          <w:rStyle w:val="17"/>
          <w:rFonts w:hint="eastAsia" w:ascii="宋体" w:hAnsi="宋体" w:eastAsia="宋体" w:cs="宋体"/>
          <w:color w:val="auto"/>
          <w:sz w:val="31"/>
          <w:szCs w:val="31"/>
          <w:highlight w:val="none"/>
          <w:u w:val="single"/>
        </w:rPr>
        <w:t>（由投标人填写）</w:t>
      </w:r>
    </w:p>
    <w:p>
      <w:pPr>
        <w:pStyle w:val="14"/>
        <w:keepNext w:val="0"/>
        <w:keepLines w:val="0"/>
        <w:widowControl/>
        <w:suppressLineNumbers w:val="0"/>
        <w:ind w:left="0" w:firstLine="1920"/>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所投采购包：</w:t>
      </w:r>
      <w:r>
        <w:rPr>
          <w:rStyle w:val="17"/>
          <w:rFonts w:hint="eastAsia" w:ascii="宋体" w:hAnsi="宋体" w:eastAsia="宋体" w:cs="宋体"/>
          <w:color w:val="auto"/>
          <w:sz w:val="31"/>
          <w:szCs w:val="31"/>
          <w:highlight w:val="none"/>
          <w:u w:val="single"/>
        </w:rPr>
        <w:t>（由投标人填写）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4"/>
        <w:keepNext w:val="0"/>
        <w:keepLines w:val="0"/>
        <w:widowControl/>
        <w:suppressLineNumbers w:val="0"/>
        <w:rPr>
          <w:rFonts w:hint="eastAsia" w:ascii="宋体" w:hAnsi="宋体" w:eastAsia="宋体" w:cs="宋体"/>
          <w:color w:val="auto"/>
          <w:highlight w:val="none"/>
        </w:rPr>
      </w:pP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rPr>
        <w:t>投标人：</w:t>
      </w:r>
      <w:r>
        <w:rPr>
          <w:rStyle w:val="17"/>
          <w:rFonts w:hint="eastAsia" w:ascii="宋体" w:hAnsi="宋体" w:eastAsia="宋体" w:cs="宋体"/>
          <w:color w:val="auto"/>
          <w:sz w:val="31"/>
          <w:szCs w:val="31"/>
          <w:highlight w:val="none"/>
          <w:u w:val="single"/>
        </w:rPr>
        <w:t>（填写“全称”）</w:t>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31"/>
          <w:szCs w:val="31"/>
          <w:highlight w:val="none"/>
          <w:u w:val="single"/>
        </w:rPr>
        <w:t>（由投标人填写）</w:t>
      </w:r>
      <w:r>
        <w:rPr>
          <w:rStyle w:val="17"/>
          <w:rFonts w:hint="eastAsia" w:ascii="宋体" w:hAnsi="宋体" w:eastAsia="宋体" w:cs="宋体"/>
          <w:color w:val="auto"/>
          <w:sz w:val="31"/>
          <w:szCs w:val="31"/>
          <w:highlight w:val="none"/>
        </w:rPr>
        <w:t>年</w:t>
      </w:r>
      <w:r>
        <w:rPr>
          <w:rStyle w:val="17"/>
          <w:rFonts w:hint="eastAsia" w:ascii="宋体" w:hAnsi="宋体" w:eastAsia="宋体" w:cs="宋体"/>
          <w:color w:val="auto"/>
          <w:sz w:val="31"/>
          <w:szCs w:val="31"/>
          <w:highlight w:val="none"/>
          <w:u w:val="single"/>
        </w:rPr>
        <w:t>（由投标人填写）</w:t>
      </w:r>
      <w:r>
        <w:rPr>
          <w:rStyle w:val="17"/>
          <w:rFonts w:hint="eastAsia" w:ascii="宋体" w:hAnsi="宋体" w:eastAsia="宋体" w:cs="宋体"/>
          <w:color w:val="auto"/>
          <w:sz w:val="31"/>
          <w:szCs w:val="31"/>
          <w:highlight w:val="none"/>
        </w:rPr>
        <w:t>月</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jc w:val="center"/>
        <w:rPr>
          <w:rFonts w:hint="eastAsia" w:ascii="宋体" w:hAnsi="宋体" w:eastAsia="宋体" w:cs="宋体"/>
          <w:color w:val="auto"/>
          <w:highlight w:val="none"/>
        </w:rPr>
      </w:pPr>
      <w:r>
        <w:rPr>
          <w:rStyle w:val="17"/>
          <w:rFonts w:hint="eastAsia" w:ascii="宋体" w:hAnsi="宋体" w:eastAsia="宋体" w:cs="宋体"/>
          <w:color w:val="auto"/>
          <w:sz w:val="28"/>
          <w:szCs w:val="28"/>
          <w:highlight w:val="none"/>
        </w:rPr>
        <w:t>索引</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一、标的说明一览表</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二、技术和服务要求响应表</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三、商务条件响应表</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四、投标人提交的其他资料（若有）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技术商务部分中不得出现报价部分的全部或部分的投标报价信息（或组成资料），否则</w:t>
      </w:r>
      <w:r>
        <w:rPr>
          <w:rStyle w:val="17"/>
          <w:rFonts w:hint="eastAsia" w:ascii="宋体" w:hAnsi="宋体" w:eastAsia="宋体" w:cs="宋体"/>
          <w:color w:val="auto"/>
          <w:sz w:val="21"/>
          <w:szCs w:val="21"/>
          <w:highlight w:val="none"/>
        </w:rPr>
        <w:t>符合性审查不合格</w:t>
      </w:r>
      <w:r>
        <w:rPr>
          <w:rFonts w:hint="eastAsia" w:ascii="宋体" w:hAnsi="宋体" w:eastAsia="宋体" w:cs="宋体"/>
          <w:color w:val="auto"/>
          <w:sz w:val="21"/>
          <w:szCs w:val="21"/>
          <w:highlight w:val="none"/>
        </w:rPr>
        <w:t>。</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ind w:left="0"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br w:type="page"/>
      </w:r>
    </w:p>
    <w:p>
      <w:pPr>
        <w:pStyle w:val="14"/>
        <w:keepNext w:val="0"/>
        <w:keepLines w:val="0"/>
        <w:widowControl/>
        <w:suppressLineNumbers w:val="0"/>
        <w:jc w:val="center"/>
        <w:outlineLvl w:val="2"/>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一、标的说明一览表</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15"/>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79"/>
        <w:gridCol w:w="870"/>
        <w:gridCol w:w="1663"/>
        <w:gridCol w:w="864"/>
        <w:gridCol w:w="1146"/>
        <w:gridCol w:w="113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934"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采购包</w:t>
            </w:r>
          </w:p>
        </w:tc>
        <w:tc>
          <w:tcPr>
            <w:tcW w:w="84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品目号</w:t>
            </w:r>
          </w:p>
        </w:tc>
        <w:tc>
          <w:tcPr>
            <w:tcW w:w="1633"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投标标的</w:t>
            </w:r>
          </w:p>
        </w:tc>
        <w:tc>
          <w:tcPr>
            <w:tcW w:w="834"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数量</w:t>
            </w:r>
          </w:p>
        </w:tc>
        <w:tc>
          <w:tcPr>
            <w:tcW w:w="1116"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规格（品牌/型号）</w:t>
            </w:r>
          </w:p>
        </w:tc>
        <w:tc>
          <w:tcPr>
            <w:tcW w:w="1105"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来源地</w:t>
            </w:r>
          </w:p>
        </w:tc>
        <w:tc>
          <w:tcPr>
            <w:tcW w:w="1818"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34"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4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1633"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834"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116"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105"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818"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34" w:type="dxa"/>
            <w:vMerge w:val="continue"/>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840"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1633"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834"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116"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105"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818"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934"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40"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633"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834"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116"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105"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818"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r>
    </w:tbl>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1、本表应按照下列规定填写：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1.1“采购包”、“品目号”、“投标标的”及“数量”应与招标文件《采购标的一览表》中的有关内容（“采购包”、“品目号”、“采购标的”及“数量”）保持一致。</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1.2“投标标的”为货物的：</w:t>
      </w:r>
      <w:r>
        <w:rPr>
          <w:rStyle w:val="17"/>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项下应填写货物制造厂商赋予的品牌（属于节能、环保清单产品的货物，填写的品牌名称应与清单载明的品牌名称保持一致）及具体型号。</w:t>
      </w:r>
      <w:r>
        <w:rPr>
          <w:rStyle w:val="17"/>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应填写货物的原产地。</w:t>
      </w:r>
      <w:r>
        <w:rPr>
          <w:rStyle w:val="17"/>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1.3“投标标的”为服务的：</w:t>
      </w:r>
      <w:r>
        <w:rPr>
          <w:rStyle w:val="17"/>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项下应填写服务提供者提供的服务标准及品牌（若有）。</w:t>
      </w:r>
      <w:r>
        <w:rPr>
          <w:rStyle w:val="17"/>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应填写服务提供者的所在地。</w:t>
      </w:r>
      <w:r>
        <w:rPr>
          <w:rStyle w:val="17"/>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rPr>
        <w:t>项下应填写关于服务标准所涵盖的具体项目或内容的说明等。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3、投标文件中涉及</w:t>
      </w:r>
      <w:r>
        <w:rPr>
          <w:rStyle w:val="17"/>
          <w:rFonts w:hint="eastAsia" w:ascii="宋体" w:hAnsi="宋体" w:eastAsia="宋体" w:cs="宋体"/>
          <w:color w:val="auto"/>
          <w:sz w:val="21"/>
          <w:szCs w:val="21"/>
          <w:highlight w:val="none"/>
        </w:rPr>
        <w:t>“投标标的”、“数量”、“规格”、“来源地”</w:t>
      </w:r>
      <w:r>
        <w:rPr>
          <w:rFonts w:hint="eastAsia" w:ascii="宋体" w:hAnsi="宋体" w:eastAsia="宋体" w:cs="宋体"/>
          <w:color w:val="auto"/>
          <w:sz w:val="21"/>
          <w:szCs w:val="21"/>
          <w:highlight w:val="none"/>
        </w:rPr>
        <w:t>的内容若不一致，</w:t>
      </w:r>
      <w:r>
        <w:rPr>
          <w:rStyle w:val="17"/>
          <w:rFonts w:hint="eastAsia" w:ascii="宋体" w:hAnsi="宋体" w:eastAsia="宋体" w:cs="宋体"/>
          <w:color w:val="auto"/>
          <w:sz w:val="21"/>
          <w:szCs w:val="21"/>
          <w:highlight w:val="none"/>
        </w:rPr>
        <w:t>应以本表为准</w:t>
      </w:r>
      <w:r>
        <w:rPr>
          <w:rFonts w:hint="eastAsia" w:ascii="宋体" w:hAnsi="宋体" w:eastAsia="宋体" w:cs="宋体"/>
          <w:color w:val="auto"/>
          <w:sz w:val="21"/>
          <w:szCs w:val="21"/>
          <w:highlight w:val="none"/>
        </w:rPr>
        <w:t>。</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4"/>
        <w:keepNext w:val="0"/>
        <w:keepLines w:val="0"/>
        <w:widowControl/>
        <w:suppressLineNumbers w:val="0"/>
        <w:jc w:val="center"/>
        <w:outlineLvl w:val="2"/>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二、技术和服务要求响应表</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15"/>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55" w:hRule="atLeast"/>
          <w:tblCellSpacing w:w="15" w:type="dxa"/>
        </w:trPr>
        <w:tc>
          <w:tcPr>
            <w:tcW w:w="945"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采购包</w:t>
            </w:r>
          </w:p>
        </w:tc>
        <w:tc>
          <w:tcPr>
            <w:tcW w:w="846"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品目号</w:t>
            </w:r>
          </w:p>
        </w:tc>
        <w:tc>
          <w:tcPr>
            <w:tcW w:w="2897"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技术和服务要求</w:t>
            </w:r>
          </w:p>
        </w:tc>
        <w:tc>
          <w:tcPr>
            <w:tcW w:w="1804"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投标响应</w:t>
            </w:r>
          </w:p>
        </w:tc>
        <w:tc>
          <w:tcPr>
            <w:tcW w:w="1848"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46"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2897"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804"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848"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continue"/>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846"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2897"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804"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848"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46"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2897"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804"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848"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r>
    </w:tbl>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1、本表应按照下列规定填写：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1.1“技术和服务要求”项下填写的内容应与招标文件第五章“技术和服务要求”的内容保持一致。</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4"/>
        <w:keepNext w:val="0"/>
        <w:keepLines w:val="0"/>
        <w:widowControl/>
        <w:suppressLineNumbers w:val="0"/>
        <w:spacing w:before="75" w:beforeAutospacing="0" w:after="75" w:afterAutospacing="0"/>
        <w:ind w:left="0" w:right="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br w:type="page"/>
      </w:r>
    </w:p>
    <w:p>
      <w:pPr>
        <w:pStyle w:val="14"/>
        <w:keepNext w:val="0"/>
        <w:keepLines w:val="0"/>
        <w:widowControl/>
        <w:suppressLineNumbers w:val="0"/>
        <w:jc w:val="center"/>
        <w:outlineLvl w:val="2"/>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三、商务条件响应表</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15"/>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采购包</w:t>
            </w:r>
          </w:p>
        </w:tc>
        <w:tc>
          <w:tcPr>
            <w:tcW w:w="846"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品目号</w:t>
            </w:r>
          </w:p>
        </w:tc>
        <w:tc>
          <w:tcPr>
            <w:tcW w:w="2897"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商务条件</w:t>
            </w:r>
          </w:p>
        </w:tc>
        <w:tc>
          <w:tcPr>
            <w:tcW w:w="1804"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投标响应</w:t>
            </w:r>
          </w:p>
        </w:tc>
        <w:tc>
          <w:tcPr>
            <w:tcW w:w="1848"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restart"/>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46"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2897"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804"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848"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continue"/>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846"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2897"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804"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c>
          <w:tcPr>
            <w:tcW w:w="1848" w:type="dxa"/>
            <w:shd w:val="clear" w:color="auto" w:fill="auto"/>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shd w:val="clear" w:color="auto" w:fill="auto"/>
            <w:tcMar>
              <w:top w:w="0" w:type="dxa"/>
              <w:left w:w="105" w:type="dxa"/>
              <w:bottom w:w="0" w:type="dxa"/>
              <w:right w:w="105" w:type="dxa"/>
            </w:tcMar>
            <w:vAlign w:val="center"/>
          </w:tcPr>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46"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2897"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804"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c>
          <w:tcPr>
            <w:tcW w:w="1848" w:type="dxa"/>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highlight w:val="none"/>
              </w:rPr>
            </w:pPr>
          </w:p>
        </w:tc>
      </w:tr>
    </w:tbl>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1、本表应按照下列规定填写：</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1.1“商务条件”项下填写的内容应与招标文件第五章“商务条件”的内容保持一致。</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1.2“投标响应”项下应填写具体的响应内容并与“商务条件”项下填写的内容逐项对应；对“商务条件”项下涉及“≥或＞”、“≤或＜”及某个区间值范围内的内容，应填写具体的数值。</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4"/>
        <w:keepNext w:val="0"/>
        <w:keepLines w:val="0"/>
        <w:widowControl/>
        <w:suppressLineNumbers w:val="0"/>
        <w:rPr>
          <w:rFonts w:hint="eastAsia" w:ascii="宋体" w:hAnsi="宋体" w:eastAsia="宋体" w:cs="宋体"/>
          <w:color w:val="auto"/>
          <w:highlight w:val="none"/>
        </w:rPr>
      </w:pP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after="24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br w:type="textWrapping"/>
      </w:r>
    </w:p>
    <w:p>
      <w:pP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br w:type="page"/>
      </w:r>
    </w:p>
    <w:p>
      <w:pPr>
        <w:pStyle w:val="14"/>
        <w:keepNext w:val="0"/>
        <w:keepLines w:val="0"/>
        <w:widowControl/>
        <w:suppressLineNumbers w:val="0"/>
        <w:jc w:val="center"/>
        <w:outlineLvl w:val="2"/>
        <w:rPr>
          <w:rFonts w:hint="eastAsia" w:ascii="宋体" w:hAnsi="宋体" w:eastAsia="宋体" w:cs="宋体"/>
          <w:color w:val="auto"/>
          <w:highlight w:val="none"/>
        </w:rPr>
      </w:pPr>
      <w:r>
        <w:rPr>
          <w:rStyle w:val="17"/>
          <w:rFonts w:hint="eastAsia" w:ascii="宋体" w:hAnsi="宋体" w:eastAsia="宋体" w:cs="宋体"/>
          <w:color w:val="auto"/>
          <w:sz w:val="21"/>
          <w:szCs w:val="21"/>
          <w:highlight w:val="none"/>
        </w:rPr>
        <w:t>四、投标人提交的其他资料（若有）</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编制说明</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1、招标文件要求提交的除</w:t>
      </w:r>
      <w:r>
        <w:rPr>
          <w:rStyle w:val="17"/>
          <w:rFonts w:hint="eastAsia" w:ascii="宋体" w:hAnsi="宋体" w:eastAsia="宋体" w:cs="宋体"/>
          <w:color w:val="auto"/>
          <w:sz w:val="21"/>
          <w:szCs w:val="21"/>
          <w:highlight w:val="none"/>
        </w:rPr>
        <w:t>“资格及资信证明部分”、“报价部分”</w:t>
      </w:r>
      <w:r>
        <w:rPr>
          <w:rFonts w:hint="eastAsia" w:ascii="宋体" w:hAnsi="宋体" w:eastAsia="宋体" w:cs="宋体"/>
          <w:color w:val="auto"/>
          <w:sz w:val="21"/>
          <w:szCs w:val="21"/>
          <w:highlight w:val="none"/>
        </w:rPr>
        <w:t>外的其他证明材料或资料加盖投标人的单位公章后应在此项下提交。</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2、招标文件要求投标人提供方案（包括但不限于：组织、实施、技术、服务方案等）的，投标人应在此项下提交。</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3、除招标文件另有规定外，投标人认为需要提交的其他证明材料或资料加盖投标人的单位公章后应在此项下提交。</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keepNext w:val="0"/>
        <w:keepLines w:val="0"/>
        <w:widowControl/>
        <w:suppressLineNumbers w:val="0"/>
        <w:spacing w:before="75" w:beforeAutospacing="0" w:after="75" w:afterAutospacing="0"/>
        <w:ind w:left="0" w:right="0" w:firstLine="0"/>
        <w:rPr>
          <w:rFonts w:hint="eastAsia" w:ascii="宋体" w:hAnsi="宋体" w:eastAsia="宋体" w:cs="宋体"/>
          <w:color w:val="auto"/>
          <w:highlight w:val="none"/>
        </w:rPr>
      </w:pPr>
      <w:r>
        <w:rPr>
          <w:rFonts w:hint="eastAsia" w:ascii="宋体" w:hAnsi="宋体" w:eastAsia="宋体" w:cs="宋体"/>
          <w:color w:val="auto"/>
          <w:spacing w:val="0"/>
          <w:sz w:val="21"/>
          <w:szCs w:val="21"/>
          <w:highlight w:val="none"/>
        </w:rPr>
        <w:t> </w:t>
      </w:r>
    </w:p>
    <w:p>
      <w:pPr>
        <w:keepNext w:val="0"/>
        <w:keepLines w:val="0"/>
        <w:widowControl/>
        <w:suppressLineNumbers w:val="0"/>
        <w:ind w:left="0" w:firstLine="0"/>
        <w:outlineLvl w:val="9"/>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rPr>
        <w:t>采购文件相关附件</w:t>
      </w:r>
    </w:p>
    <w:p>
      <w:pPr>
        <w:rPr>
          <w:rFonts w:hint="eastAsia" w:ascii="宋体" w:hAnsi="宋体" w:eastAsia="宋体" w:cs="宋体"/>
          <w:color w:val="auto"/>
          <w:highlight w:val="none"/>
        </w:rPr>
      </w:pPr>
    </w:p>
    <w:sectPr>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D0758"/>
    <w:multiLevelType w:val="singleLevel"/>
    <w:tmpl w:val="A63D0758"/>
    <w:lvl w:ilvl="0" w:tentative="0">
      <w:start w:val="10"/>
      <w:numFmt w:val="decimal"/>
      <w:suff w:val="nothing"/>
      <w:lvlText w:val="%1、"/>
      <w:lvlJc w:val="left"/>
    </w:lvl>
  </w:abstractNum>
  <w:abstractNum w:abstractNumId="1">
    <w:nsid w:val="D6CD3130"/>
    <w:multiLevelType w:val="multilevel"/>
    <w:tmpl w:val="D6CD3130"/>
    <w:lvl w:ilvl="0" w:tentative="0">
      <w:start w:val="1"/>
      <w:numFmt w:val="decimal"/>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isLgl/>
      <w:suff w:val="space"/>
      <w:lvlText w:val="%1.%2.%3"/>
      <w:lvlJc w:val="left"/>
      <w:pPr>
        <w:ind w:left="0" w:firstLine="0"/>
      </w:pPr>
      <w:rPr>
        <w:rFonts w:hint="default"/>
        <w:b w:val="0"/>
        <w:bCs w:val="0"/>
        <w:i w:val="0"/>
        <w:iCs w:val="0"/>
        <w:caps w:val="0"/>
        <w:smallCaps w:val="0"/>
        <w:strike w:val="0"/>
        <w:dstrike w:val="0"/>
        <w:vanish w:val="0"/>
        <w:color w:val="000000"/>
        <w:spacing w:val="0"/>
        <w:kern w:val="0"/>
        <w:position w:val="0"/>
        <w:sz w:val="32"/>
        <w:szCs w:val="32"/>
        <w:u w:val="none"/>
        <w:vertAlign w:val="baseline"/>
        <w:lang w:bidi="zh-CN"/>
      </w:rPr>
    </w:lvl>
    <w:lvl w:ilvl="3" w:tentative="0">
      <w:start w:val="1"/>
      <w:numFmt w:val="decimal"/>
      <w:isLgl/>
      <w:suff w:val="space"/>
      <w:lvlText w:val="%1.%2.%3.%4"/>
      <w:lvlJc w:val="left"/>
      <w:pPr>
        <w:ind w:left="0" w:firstLine="0"/>
      </w:pPr>
      <w:rPr>
        <w:rFonts w:hint="default"/>
        <w:b w:val="0"/>
        <w:bCs w:val="0"/>
        <w:i w:val="0"/>
        <w:iCs w:val="0"/>
        <w:caps w:val="0"/>
        <w:smallCaps w:val="0"/>
        <w:strike w:val="0"/>
        <w:dstrike w:val="0"/>
        <w:vanish w:val="0"/>
        <w:color w:val="000000"/>
        <w:spacing w:val="0"/>
        <w:position w:val="0"/>
        <w:sz w:val="30"/>
        <w:szCs w:val="30"/>
        <w:u w:val="none"/>
        <w:vertAlign w:val="baseline"/>
        <w:lang w:bidi="zh-CN"/>
      </w:rPr>
    </w:lvl>
    <w:lvl w:ilvl="4" w:tentative="0">
      <w:start w:val="1"/>
      <w:numFmt w:val="decimal"/>
      <w:isLgl/>
      <w:suff w:val="space"/>
      <w:lvlText w:val="%1.%2.%3.%4.%5"/>
      <w:lvlJc w:val="left"/>
      <w:pPr>
        <w:ind w:left="0" w:firstLine="0"/>
      </w:pPr>
      <w:rPr>
        <w:rFonts w:hint="default"/>
        <w:b/>
        <w:bCs/>
        <w:i w:val="0"/>
        <w:iCs w:val="0"/>
        <w:caps w:val="0"/>
        <w:smallCaps w:val="0"/>
        <w:strike w:val="0"/>
        <w:dstrike w:val="0"/>
        <w:vanish w:val="0"/>
        <w:color w:val="000000"/>
        <w:spacing w:val="0"/>
        <w:position w:val="0"/>
        <w:u w:val="none"/>
        <w:vertAlign w:val="baseline"/>
        <w:lang w:bidi="zh-CN"/>
      </w:rPr>
    </w:lvl>
    <w:lvl w:ilvl="5" w:tentative="0">
      <w:start w:val="1"/>
      <w:numFmt w:val="decimal"/>
      <w:isLgl/>
      <w:suff w:val="space"/>
      <w:lvlText w:val="%1.%2.%3.%4.%5.%6"/>
      <w:lvlJc w:val="left"/>
      <w:pPr>
        <w:ind w:left="0" w:firstLine="0"/>
      </w:pPr>
      <w:rPr>
        <w:rFonts w:hint="default" w:ascii="宋体" w:hAnsi="宋体" w:eastAsia="宋体"/>
        <w:b w:val="0"/>
        <w:bCs w:val="0"/>
        <w:i w:val="0"/>
        <w:iCs w:val="0"/>
        <w:caps w:val="0"/>
        <w:smallCaps w:val="0"/>
        <w:strike w:val="0"/>
        <w:dstrike w:val="0"/>
        <w:vanish w:val="0"/>
        <w:color w:val="000000"/>
        <w:spacing w:val="0"/>
        <w:position w:val="0"/>
        <w:u w:val="none"/>
        <w:vertAlign w:val="baseline"/>
        <w:lang w:bidi="zh-CN"/>
      </w:rPr>
    </w:lvl>
    <w:lvl w:ilvl="6" w:tentative="0">
      <w:start w:val="1"/>
      <w:numFmt w:val="decimal"/>
      <w:pStyle w:val="4"/>
      <w:isLgl/>
      <w:suff w:val="space"/>
      <w:lvlText w:val="%1.%2.%3.%4.%5.%6.%7"/>
      <w:lvlJc w:val="left"/>
      <w:rPr>
        <w:rFonts w:hint="default"/>
        <w:b w:val="0"/>
        <w:bCs w:val="0"/>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7" w:tentative="0">
      <w:start w:val="1"/>
      <w:numFmt w:val="decimal"/>
      <w:isLgl/>
      <w:suff w:val="space"/>
      <w:lvlText w:val="%1.%2.%3.%4.%5.%6.%7.%8"/>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rFonts w:hint="eastAsia"/>
      </w:rPr>
    </w:lvl>
  </w:abstractNum>
  <w:abstractNum w:abstractNumId="2">
    <w:nsid w:val="32C7403F"/>
    <w:multiLevelType w:val="multilevel"/>
    <w:tmpl w:val="32C7403F"/>
    <w:lvl w:ilvl="0" w:tentative="0">
      <w:start w:val="1"/>
      <w:numFmt w:val="decimal"/>
      <w:lvlText w:val="第%1章."/>
      <w:lvlJc w:val="left"/>
      <w:pPr>
        <w:ind w:left="420" w:hanging="420"/>
      </w:pPr>
      <w:rPr>
        <w:rFonts w:hint="eastAsia"/>
      </w:rPr>
    </w:lvl>
    <w:lvl w:ilvl="1" w:tentative="0">
      <w:start w:val="1"/>
      <w:numFmt w:val="decimal"/>
      <w:pStyle w:val="3"/>
      <w:isLgl/>
      <w:lvlText w:val="%1.%2"/>
      <w:lvlJc w:val="left"/>
      <w:pPr>
        <w:ind w:left="1050" w:hanging="576"/>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mNkMzFlZmM3YjVlNzg5NDQzOTA0NGE0ZGUyYzIifQ=="/>
  </w:docVars>
  <w:rsids>
    <w:rsidRoot w:val="00000000"/>
    <w:rsid w:val="00D663D2"/>
    <w:rsid w:val="029735E3"/>
    <w:rsid w:val="0DF32C8E"/>
    <w:rsid w:val="0EDB4997"/>
    <w:rsid w:val="0FBC287A"/>
    <w:rsid w:val="10D63915"/>
    <w:rsid w:val="12321A89"/>
    <w:rsid w:val="130D5F9F"/>
    <w:rsid w:val="14A86584"/>
    <w:rsid w:val="150732F7"/>
    <w:rsid w:val="247052C5"/>
    <w:rsid w:val="271C1365"/>
    <w:rsid w:val="2BDC2BE4"/>
    <w:rsid w:val="2C3E1B13"/>
    <w:rsid w:val="2FF4117D"/>
    <w:rsid w:val="30355B19"/>
    <w:rsid w:val="33C86D70"/>
    <w:rsid w:val="343F7FF0"/>
    <w:rsid w:val="38915FC9"/>
    <w:rsid w:val="393F2B3E"/>
    <w:rsid w:val="463777FA"/>
    <w:rsid w:val="47CB08C4"/>
    <w:rsid w:val="4B0629F7"/>
    <w:rsid w:val="4BFF5C1C"/>
    <w:rsid w:val="51B92A85"/>
    <w:rsid w:val="569C1791"/>
    <w:rsid w:val="57BC6EA5"/>
    <w:rsid w:val="5F4B07FF"/>
    <w:rsid w:val="5F53298F"/>
    <w:rsid w:val="60795D1B"/>
    <w:rsid w:val="63147D74"/>
    <w:rsid w:val="63FF3289"/>
    <w:rsid w:val="665F3F0F"/>
    <w:rsid w:val="777436AA"/>
    <w:rsid w:val="77C70AAF"/>
    <w:rsid w:val="79762B77"/>
    <w:rsid w:val="7DE848C7"/>
    <w:rsid w:val="BBFC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4"/>
    <w:next w:val="1"/>
    <w:unhideWhenUsed/>
    <w:qFormat/>
    <w:uiPriority w:val="0"/>
    <w:pPr>
      <w:keepNext/>
      <w:keepLines/>
      <w:numPr>
        <w:ilvl w:val="1"/>
        <w:numId w:val="1"/>
      </w:numPr>
      <w:spacing w:before="240" w:after="240"/>
      <w:ind w:firstLine="0"/>
      <w:outlineLvl w:val="1"/>
    </w:pPr>
    <w:rPr>
      <w:rFonts w:ascii="黑体" w:hAnsi="黑体" w:eastAsia="黑体" w:cs="Times New Roman"/>
      <w:b/>
      <w:bCs/>
      <w:sz w:val="30"/>
      <w:szCs w:val="30"/>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8">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4">
    <w:name w:val="heading 7"/>
    <w:basedOn w:val="1"/>
    <w:next w:val="1"/>
    <w:unhideWhenUsed/>
    <w:qFormat/>
    <w:uiPriority w:val="9"/>
    <w:pPr>
      <w:keepNext/>
      <w:keepLines/>
      <w:numPr>
        <w:ilvl w:val="6"/>
        <w:numId w:val="2"/>
      </w:numPr>
      <w:spacing w:before="240" w:after="64" w:line="360" w:lineRule="auto"/>
      <w:outlineLvl w:val="6"/>
    </w:pPr>
    <w:rPr>
      <w:rFonts w:ascii="宋体" w:hAnsi="宋体" w:eastAsia="宋体" w:cs="宋体"/>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rPr>
  </w:style>
  <w:style w:type="paragraph" w:customStyle="1" w:styleId="18">
    <w:name w:val="FC正文"/>
    <w:basedOn w:val="1"/>
    <w:qFormat/>
    <w:uiPriority w:val="0"/>
    <w:pPr>
      <w:snapToGrid w:val="0"/>
      <w:spacing w:before="50" w:beforeLines="50" w:after="50" w:afterLines="50"/>
      <w:contextualSpacing/>
    </w:pPr>
    <w:rPr>
      <w:rFonts w:ascii="宋体" w:hAnsi="宋体" w:eastAsia="宋体"/>
      <w:szCs w:val="21"/>
    </w:rPr>
  </w:style>
  <w:style w:type="paragraph" w:customStyle="1" w:styleId="19">
    <w:name w:val="！正文"/>
    <w:basedOn w:val="1"/>
    <w:qFormat/>
    <w:uiPriority w:val="0"/>
    <w:rPr>
      <w:szCs w:val="24"/>
    </w:rPr>
  </w:style>
  <w:style w:type="character" w:customStyle="1" w:styleId="20">
    <w:name w:val="font21"/>
    <w:basedOn w:val="16"/>
    <w:qFormat/>
    <w:uiPriority w:val="0"/>
    <w:rPr>
      <w:rFonts w:hint="eastAsia" w:ascii="宋体" w:hAnsi="宋体" w:eastAsia="宋体" w:cs="宋体"/>
      <w:color w:val="000000"/>
      <w:sz w:val="21"/>
      <w:szCs w:val="21"/>
      <w:u w:val="none"/>
    </w:rPr>
  </w:style>
  <w:style w:type="character" w:customStyle="1" w:styleId="21">
    <w:name w:val="font11"/>
    <w:basedOn w:val="16"/>
    <w:qFormat/>
    <w:uiPriority w:val="0"/>
    <w:rPr>
      <w:rFonts w:hint="eastAsia" w:ascii="宋体" w:hAnsi="宋体" w:eastAsia="宋体" w:cs="宋体"/>
      <w:color w:val="000000"/>
      <w:sz w:val="24"/>
      <w:szCs w:val="24"/>
      <w:u w:val="none"/>
    </w:rPr>
  </w:style>
  <w:style w:type="character" w:customStyle="1" w:styleId="22">
    <w:name w:val="active"/>
    <w:basedOn w:val="16"/>
    <w:qFormat/>
    <w:uiPriority w:val="0"/>
    <w:rPr>
      <w:shd w:val="clear" w:fill="EC3535"/>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222</Pages>
  <Words>135675</Words>
  <Characters>143869</Characters>
  <Lines>0</Lines>
  <Paragraphs>0</Paragraphs>
  <TotalTime>1</TotalTime>
  <ScaleCrop>false</ScaleCrop>
  <LinksUpToDate>false</LinksUpToDate>
  <CharactersWithSpaces>146916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2022-04-21T16:42:00Z</dcterms:created>
  <dc:creator>LT</dc:creator>
  <cp:lastModifiedBy>Admin</cp:lastModifiedBy>
  <cp:lastPrinted>2022-07-19T10:13:00Z</cp:lastPrinted>
  <dcterms:modified xsi:type="dcterms:W3CDTF">2022-07-21T10:24:22Z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B496D6DF931143F897E6553FF660B994</vt:lpwstr>
  </property>
  <property fmtid="{D5CDD505-2E9C-101B-9397-08002B2CF9AE}" pid="4" name="commondata">
    <vt:lpwstr>eyJoZGlkIjoiNTc0OWVjNDU1ODJhYTMyMDcxOWJlNTgxYzllYTAzNzgifQ==</vt:lpwstr>
  </property>
</Properties>
</file>