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A71C1">
      <w:pPr>
        <w:pStyle w:val="27"/>
        <w:widowControl/>
        <w:spacing w:before="75" w:beforeAutospacing="0" w:after="75" w:afterAutospacing="0"/>
        <w:jc w:val="center"/>
        <w:rPr>
          <w:rFonts w:ascii="微软雅黑" w:hAnsi="微软雅黑" w:eastAsia="微软雅黑" w:cs="微软雅黑"/>
          <w:color w:val="auto"/>
          <w:sz w:val="27"/>
          <w:szCs w:val="27"/>
        </w:rPr>
      </w:pPr>
      <w:bookmarkStart w:id="240" w:name="_GoBack"/>
      <w:bookmarkEnd w:id="240"/>
      <w:r>
        <w:rPr>
          <w:rStyle w:val="32"/>
          <w:rFonts w:ascii="宋体" w:hAnsi="宋体" w:eastAsia="宋体" w:cs="宋体"/>
          <w:color w:val="auto"/>
          <w:sz w:val="72"/>
          <w:szCs w:val="72"/>
        </w:rPr>
        <w:t>福建省政府采购</w:t>
      </w:r>
    </w:p>
    <w:p w14:paraId="67EE9254">
      <w:pPr>
        <w:pStyle w:val="27"/>
        <w:widowControl/>
        <w:spacing w:before="75" w:beforeAutospacing="0" w:after="75" w:afterAutospacing="0"/>
        <w:jc w:val="center"/>
        <w:rPr>
          <w:rFonts w:ascii="微软雅黑" w:hAnsi="微软雅黑" w:eastAsia="微软雅黑" w:cs="微软雅黑"/>
          <w:color w:val="auto"/>
          <w:sz w:val="27"/>
          <w:szCs w:val="27"/>
        </w:rPr>
      </w:pPr>
      <w:r>
        <w:rPr>
          <w:rStyle w:val="32"/>
          <w:rFonts w:hint="eastAsia" w:ascii="宋体" w:hAnsi="宋体" w:eastAsia="宋体" w:cs="宋体"/>
          <w:color w:val="auto"/>
          <w:sz w:val="72"/>
          <w:szCs w:val="72"/>
        </w:rPr>
        <w:t>货物和服务项目</w:t>
      </w:r>
    </w:p>
    <w:p w14:paraId="6225B527">
      <w:pPr>
        <w:pStyle w:val="27"/>
        <w:widowControl/>
        <w:spacing w:before="75" w:beforeAutospacing="0" w:after="75" w:afterAutospacing="0"/>
        <w:jc w:val="center"/>
        <w:rPr>
          <w:rFonts w:ascii="微软雅黑" w:hAnsi="微软雅黑" w:eastAsia="微软雅黑" w:cs="微软雅黑"/>
          <w:color w:val="auto"/>
          <w:sz w:val="27"/>
          <w:szCs w:val="27"/>
        </w:rPr>
      </w:pPr>
      <w:r>
        <w:rPr>
          <w:rStyle w:val="32"/>
          <w:rFonts w:hint="eastAsia" w:ascii="宋体" w:hAnsi="宋体" w:eastAsia="宋体" w:cs="宋体"/>
          <w:color w:val="auto"/>
          <w:sz w:val="72"/>
          <w:szCs w:val="72"/>
        </w:rPr>
        <w:t>公开招标文件</w:t>
      </w:r>
    </w:p>
    <w:p w14:paraId="2E7C2B60">
      <w:pPr>
        <w:pStyle w:val="27"/>
        <w:widowControl/>
        <w:spacing w:before="75" w:beforeAutospacing="0" w:after="75" w:afterAutospacing="0"/>
        <w:ind w:firstLine="1050"/>
        <w:rPr>
          <w:rStyle w:val="32"/>
          <w:rFonts w:ascii="宋体" w:hAnsi="宋体" w:eastAsia="宋体" w:cs="宋体"/>
          <w:color w:val="auto"/>
          <w:sz w:val="30"/>
          <w:szCs w:val="30"/>
        </w:rPr>
      </w:pPr>
    </w:p>
    <w:p w14:paraId="481EA547">
      <w:pPr>
        <w:pStyle w:val="27"/>
        <w:widowControl/>
        <w:spacing w:before="75" w:beforeAutospacing="0" w:after="75" w:afterAutospacing="0"/>
        <w:ind w:firstLine="3253" w:firstLineChars="900"/>
        <w:jc w:val="both"/>
        <w:rPr>
          <w:rStyle w:val="32"/>
          <w:rFonts w:hint="eastAsia" w:ascii="宋体" w:hAnsi="宋体" w:eastAsia="宋体" w:cs="宋体"/>
          <w:color w:val="auto"/>
          <w:sz w:val="36"/>
          <w:szCs w:val="36"/>
          <w:lang w:eastAsia="zh-CN"/>
        </w:rPr>
      </w:pPr>
      <w:r>
        <w:rPr>
          <w:rStyle w:val="32"/>
          <w:rFonts w:hint="eastAsia" w:ascii="宋体" w:hAnsi="宋体" w:eastAsia="宋体" w:cs="宋体"/>
          <w:color w:val="auto"/>
          <w:sz w:val="36"/>
          <w:szCs w:val="36"/>
          <w:lang w:eastAsia="zh-CN"/>
        </w:rPr>
        <w:t>（</w:t>
      </w:r>
      <w:r>
        <w:rPr>
          <w:rStyle w:val="32"/>
          <w:rFonts w:hint="eastAsia" w:ascii="宋体" w:hAnsi="宋体" w:eastAsia="宋体" w:cs="宋体"/>
          <w:color w:val="auto"/>
          <w:sz w:val="36"/>
          <w:szCs w:val="36"/>
          <w:lang w:val="en-US" w:eastAsia="zh-CN"/>
        </w:rPr>
        <w:t>预公告版</w:t>
      </w:r>
      <w:r>
        <w:rPr>
          <w:rStyle w:val="32"/>
          <w:rFonts w:hint="eastAsia" w:ascii="宋体" w:hAnsi="宋体" w:eastAsia="宋体" w:cs="宋体"/>
          <w:color w:val="auto"/>
          <w:sz w:val="36"/>
          <w:szCs w:val="36"/>
          <w:lang w:eastAsia="zh-CN"/>
        </w:rPr>
        <w:t>）</w:t>
      </w:r>
    </w:p>
    <w:p w14:paraId="1EBEAACF">
      <w:pPr>
        <w:pStyle w:val="27"/>
        <w:widowControl/>
        <w:spacing w:before="75" w:beforeAutospacing="0" w:after="75" w:afterAutospacing="0"/>
        <w:ind w:firstLine="3253" w:firstLineChars="900"/>
        <w:jc w:val="both"/>
        <w:rPr>
          <w:rStyle w:val="32"/>
          <w:rFonts w:hint="eastAsia" w:ascii="宋体" w:hAnsi="宋体" w:eastAsia="宋体" w:cs="宋体"/>
          <w:color w:val="auto"/>
          <w:sz w:val="36"/>
          <w:szCs w:val="36"/>
          <w:lang w:eastAsia="zh-CN"/>
        </w:rPr>
      </w:pPr>
    </w:p>
    <w:p w14:paraId="0279A58E">
      <w:pPr>
        <w:pStyle w:val="27"/>
        <w:widowControl/>
        <w:spacing w:before="75" w:beforeAutospacing="0" w:after="75" w:afterAutospacing="0"/>
        <w:jc w:val="center"/>
        <w:rPr>
          <w:rFonts w:ascii="宋体" w:hAnsi="宋体" w:eastAsia="宋体" w:cs="宋体"/>
          <w:color w:val="auto"/>
          <w:sz w:val="30"/>
          <w:szCs w:val="30"/>
        </w:rPr>
      </w:pPr>
      <w:r>
        <w:rPr>
          <w:rStyle w:val="32"/>
          <w:rFonts w:hint="eastAsia" w:ascii="宋体" w:hAnsi="宋体" w:eastAsia="宋体" w:cs="宋体"/>
          <w:color w:val="auto"/>
          <w:sz w:val="30"/>
          <w:szCs w:val="30"/>
        </w:rPr>
        <w:t>项目名称：</w:t>
      </w:r>
      <w:r>
        <w:rPr>
          <w:rFonts w:hint="eastAsia" w:ascii="宋体" w:hAnsi="宋体" w:eastAsia="宋体" w:cs="宋体"/>
          <w:color w:val="auto"/>
          <w:sz w:val="30"/>
          <w:szCs w:val="30"/>
        </w:rPr>
        <w:t>福州市城市综合管理服务平台项目建设</w:t>
      </w:r>
    </w:p>
    <w:p w14:paraId="056BC946">
      <w:pPr>
        <w:pStyle w:val="27"/>
        <w:widowControl/>
        <w:spacing w:before="75" w:beforeAutospacing="0" w:after="75" w:afterAutospacing="0"/>
        <w:jc w:val="center"/>
        <w:rPr>
          <w:rFonts w:ascii="微软雅黑" w:hAnsi="微软雅黑" w:eastAsia="宋体" w:cs="微软雅黑"/>
          <w:color w:val="auto"/>
          <w:sz w:val="27"/>
          <w:szCs w:val="27"/>
        </w:rPr>
      </w:pPr>
      <w:r>
        <w:rPr>
          <w:rStyle w:val="32"/>
          <w:rFonts w:hint="eastAsia" w:ascii="宋体" w:hAnsi="宋体" w:eastAsia="宋体" w:cs="宋体"/>
          <w:color w:val="auto"/>
          <w:sz w:val="30"/>
          <w:szCs w:val="30"/>
        </w:rPr>
        <w:t>备案编号：</w:t>
      </w:r>
      <w:r>
        <w:rPr>
          <w:rFonts w:hint="eastAsia" w:ascii="宋体" w:hAnsi="宋体" w:eastAsia="宋体" w:cs="宋体"/>
          <w:color w:val="auto"/>
          <w:sz w:val="30"/>
          <w:szCs w:val="30"/>
        </w:rPr>
        <w:t>A-126-GK-202202-B0301-IDN</w:t>
      </w:r>
    </w:p>
    <w:p w14:paraId="48337DFA">
      <w:pPr>
        <w:pStyle w:val="27"/>
        <w:widowControl/>
        <w:spacing w:before="75" w:beforeAutospacing="0" w:after="75" w:afterAutospacing="0"/>
        <w:ind w:firstLine="1506" w:firstLineChars="500"/>
        <w:rPr>
          <w:rFonts w:ascii="宋体" w:hAnsi="宋体" w:eastAsia="宋体" w:cs="宋体"/>
          <w:i/>
          <w:iCs/>
          <w:color w:val="auto"/>
          <w:sz w:val="30"/>
          <w:szCs w:val="30"/>
          <w:u w:val="single"/>
        </w:rPr>
      </w:pPr>
      <w:r>
        <w:rPr>
          <w:rStyle w:val="32"/>
          <w:rFonts w:hint="eastAsia" w:ascii="宋体" w:hAnsi="宋体" w:eastAsia="宋体" w:cs="宋体"/>
          <w:color w:val="auto"/>
          <w:sz w:val="30"/>
          <w:szCs w:val="30"/>
        </w:rPr>
        <w:t>招标编号：</w:t>
      </w:r>
      <w:r>
        <w:rPr>
          <w:rFonts w:hint="eastAsia" w:ascii="宋体" w:hAnsi="宋体" w:eastAsia="宋体" w:cs="宋体"/>
          <w:color w:val="auto"/>
          <w:sz w:val="30"/>
          <w:szCs w:val="30"/>
        </w:rPr>
        <w:t xml:space="preserve">[350100]ZBZX[GK]2022002 </w:t>
      </w:r>
      <w:r>
        <w:rPr>
          <w:rFonts w:hint="eastAsia" w:ascii="宋体" w:hAnsi="宋体" w:eastAsia="宋体" w:cs="宋体"/>
          <w:i/>
          <w:iCs/>
          <w:color w:val="auto"/>
          <w:sz w:val="30"/>
          <w:szCs w:val="30"/>
          <w:u w:val="single"/>
        </w:rPr>
        <w:t xml:space="preserve">  </w:t>
      </w:r>
    </w:p>
    <w:p w14:paraId="0F9EC979">
      <w:pPr>
        <w:pStyle w:val="27"/>
        <w:widowControl/>
        <w:spacing w:before="75" w:beforeAutospacing="0" w:after="75" w:afterAutospacing="0"/>
        <w:jc w:val="center"/>
        <w:rPr>
          <w:rStyle w:val="32"/>
          <w:rFonts w:ascii="宋体" w:hAnsi="宋体" w:eastAsia="宋体" w:cs="宋体"/>
          <w:color w:val="auto"/>
          <w:sz w:val="27"/>
          <w:szCs w:val="27"/>
        </w:rPr>
      </w:pPr>
    </w:p>
    <w:p w14:paraId="4E1A6D72">
      <w:pPr>
        <w:pStyle w:val="27"/>
        <w:widowControl/>
        <w:spacing w:before="75" w:beforeAutospacing="0" w:after="75" w:afterAutospacing="0"/>
        <w:jc w:val="center"/>
        <w:rPr>
          <w:rStyle w:val="32"/>
          <w:rFonts w:ascii="宋体" w:hAnsi="宋体" w:eastAsia="宋体" w:cs="宋体"/>
          <w:color w:val="auto"/>
          <w:sz w:val="27"/>
          <w:szCs w:val="27"/>
        </w:rPr>
      </w:pPr>
    </w:p>
    <w:p w14:paraId="2EE141B7">
      <w:pPr>
        <w:pStyle w:val="27"/>
        <w:widowControl/>
        <w:spacing w:before="75" w:beforeAutospacing="0" w:after="75" w:afterAutospacing="0"/>
        <w:jc w:val="center"/>
        <w:rPr>
          <w:rStyle w:val="32"/>
          <w:rFonts w:ascii="宋体" w:hAnsi="宋体" w:eastAsia="宋体" w:cs="宋体"/>
          <w:color w:val="auto"/>
          <w:sz w:val="27"/>
          <w:szCs w:val="27"/>
        </w:rPr>
      </w:pPr>
    </w:p>
    <w:p w14:paraId="3CCBD49A">
      <w:pPr>
        <w:pStyle w:val="27"/>
        <w:widowControl/>
        <w:spacing w:before="75" w:beforeAutospacing="0" w:after="75" w:afterAutospacing="0"/>
        <w:jc w:val="center"/>
        <w:rPr>
          <w:rStyle w:val="32"/>
          <w:rFonts w:ascii="宋体" w:hAnsi="宋体" w:eastAsia="宋体" w:cs="宋体"/>
          <w:color w:val="auto"/>
          <w:sz w:val="27"/>
          <w:szCs w:val="27"/>
        </w:rPr>
      </w:pPr>
    </w:p>
    <w:p w14:paraId="19201AB8">
      <w:pPr>
        <w:pStyle w:val="27"/>
        <w:widowControl/>
        <w:spacing w:before="75" w:beforeAutospacing="0" w:after="75" w:afterAutospacing="0"/>
        <w:jc w:val="center"/>
        <w:rPr>
          <w:rFonts w:ascii="宋体" w:hAnsi="宋体" w:eastAsia="宋体" w:cs="宋体"/>
          <w:color w:val="auto"/>
          <w:sz w:val="28"/>
          <w:szCs w:val="28"/>
        </w:rPr>
      </w:pPr>
      <w:r>
        <w:rPr>
          <w:rStyle w:val="32"/>
          <w:rFonts w:hint="eastAsia" w:ascii="宋体" w:hAnsi="宋体" w:eastAsia="宋体" w:cs="宋体"/>
          <w:color w:val="auto"/>
          <w:sz w:val="27"/>
          <w:szCs w:val="27"/>
        </w:rPr>
        <w:t>采购人：</w:t>
      </w:r>
      <w:r>
        <w:rPr>
          <w:rFonts w:hint="eastAsia" w:ascii="宋体" w:hAnsi="宋体" w:eastAsia="宋体" w:cs="宋体"/>
          <w:color w:val="auto"/>
          <w:sz w:val="28"/>
          <w:szCs w:val="28"/>
        </w:rPr>
        <w:t>福州市“智慧福州”管理服务中心</w:t>
      </w:r>
    </w:p>
    <w:p w14:paraId="790CB8C0">
      <w:pPr>
        <w:pStyle w:val="27"/>
        <w:widowControl/>
        <w:spacing w:before="75" w:beforeAutospacing="0" w:after="75" w:afterAutospacing="0"/>
        <w:jc w:val="center"/>
        <w:rPr>
          <w:rFonts w:ascii="微软雅黑" w:hAnsi="微软雅黑" w:eastAsia="微软雅黑" w:cs="微软雅黑"/>
          <w:color w:val="auto"/>
          <w:sz w:val="27"/>
          <w:szCs w:val="27"/>
        </w:rPr>
      </w:pPr>
      <w:r>
        <w:rPr>
          <w:rStyle w:val="32"/>
          <w:rFonts w:hint="eastAsia" w:ascii="宋体" w:hAnsi="宋体" w:eastAsia="宋体" w:cs="宋体"/>
          <w:color w:val="auto"/>
          <w:sz w:val="28"/>
          <w:szCs w:val="28"/>
        </w:rPr>
        <w:t>代理机构：</w:t>
      </w:r>
      <w:r>
        <w:rPr>
          <w:rFonts w:hint="eastAsia" w:ascii="宋体" w:hAnsi="宋体" w:eastAsia="宋体" w:cs="宋体"/>
          <w:color w:val="auto"/>
          <w:sz w:val="28"/>
          <w:szCs w:val="28"/>
        </w:rPr>
        <w:t>福建省招标中心有限责任公司</w:t>
      </w:r>
    </w:p>
    <w:p w14:paraId="13D09EE4">
      <w:pPr>
        <w:pStyle w:val="27"/>
        <w:widowControl/>
        <w:spacing w:before="75" w:beforeAutospacing="0" w:after="75" w:afterAutospacing="0"/>
        <w:jc w:val="center"/>
        <w:rPr>
          <w:rFonts w:ascii="微软雅黑" w:hAnsi="微软雅黑" w:eastAsia="微软雅黑" w:cs="微软雅黑"/>
          <w:color w:val="auto"/>
          <w:sz w:val="27"/>
          <w:szCs w:val="27"/>
        </w:rPr>
      </w:pPr>
    </w:p>
    <w:p w14:paraId="0310350E">
      <w:pPr>
        <w:pStyle w:val="27"/>
        <w:widowControl/>
        <w:spacing w:before="75" w:beforeAutospacing="0" w:after="75" w:afterAutospacing="0" w:line="360" w:lineRule="atLeast"/>
        <w:ind w:right="720"/>
        <w:jc w:val="center"/>
        <w:rPr>
          <w:rFonts w:ascii="微软雅黑" w:hAnsi="微软雅黑" w:eastAsia="微软雅黑" w:cs="微软雅黑"/>
          <w:color w:val="auto"/>
          <w:sz w:val="27"/>
          <w:szCs w:val="27"/>
        </w:rPr>
      </w:pPr>
      <w:r>
        <w:rPr>
          <w:rStyle w:val="32"/>
          <w:rFonts w:hint="eastAsia" w:ascii="宋体" w:hAnsi="宋体" w:eastAsia="宋体" w:cs="宋体"/>
          <w:color w:val="auto"/>
          <w:sz w:val="28"/>
          <w:szCs w:val="28"/>
        </w:rPr>
        <w:t>2022年</w:t>
      </w:r>
      <w:r>
        <w:rPr>
          <w:rStyle w:val="32"/>
          <w:rFonts w:hint="eastAsia" w:ascii="宋体" w:hAnsi="宋体" w:eastAsia="宋体" w:cs="宋体"/>
          <w:color w:val="auto"/>
          <w:sz w:val="28"/>
          <w:szCs w:val="28"/>
          <w:u w:val="single"/>
          <w:lang w:val="en-US" w:eastAsia="zh-CN"/>
        </w:rPr>
        <w:t>4</w:t>
      </w:r>
      <w:r>
        <w:rPr>
          <w:rStyle w:val="32"/>
          <w:rFonts w:hint="eastAsia" w:ascii="宋体" w:hAnsi="宋体" w:eastAsia="宋体" w:cs="宋体"/>
          <w:color w:val="auto"/>
          <w:sz w:val="28"/>
          <w:szCs w:val="28"/>
        </w:rPr>
        <w:t>月</w:t>
      </w:r>
    </w:p>
    <w:p w14:paraId="002E8B18">
      <w:pPr>
        <w:pStyle w:val="27"/>
        <w:widowControl/>
        <w:spacing w:before="75" w:beforeAutospacing="0" w:after="75" w:afterAutospacing="0"/>
        <w:rPr>
          <w:rFonts w:ascii="微软雅黑" w:hAnsi="微软雅黑" w:eastAsia="微软雅黑" w:cs="微软雅黑"/>
          <w:color w:val="auto"/>
        </w:rPr>
      </w:pPr>
    </w:p>
    <w:p w14:paraId="421B1994">
      <w:pPr>
        <w:pStyle w:val="27"/>
        <w:widowControl/>
        <w:spacing w:before="75" w:beforeAutospacing="0" w:after="75" w:afterAutospacing="0"/>
        <w:jc w:val="center"/>
        <w:outlineLvl w:val="0"/>
        <w:rPr>
          <w:rStyle w:val="32"/>
          <w:rFonts w:ascii="宋体" w:hAnsi="宋体" w:eastAsia="宋体" w:cs="宋体"/>
          <w:color w:val="auto"/>
          <w:sz w:val="31"/>
          <w:szCs w:val="31"/>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F9B851B">
      <w:pPr>
        <w:pStyle w:val="27"/>
        <w:widowControl/>
        <w:spacing w:before="75" w:beforeAutospacing="0" w:after="75" w:afterAutospacing="0"/>
        <w:jc w:val="center"/>
        <w:rPr>
          <w:rStyle w:val="32"/>
          <w:rFonts w:ascii="宋体" w:hAnsi="宋体" w:eastAsia="宋体" w:cs="宋体"/>
          <w:color w:val="auto"/>
          <w:sz w:val="31"/>
          <w:szCs w:val="31"/>
        </w:rPr>
      </w:pPr>
      <w:bookmarkStart w:id="0" w:name="_Toc26818"/>
      <w:r>
        <w:rPr>
          <w:rStyle w:val="32"/>
          <w:rFonts w:hint="eastAsia" w:ascii="宋体" w:hAnsi="宋体" w:eastAsia="宋体" w:cs="宋体"/>
          <w:color w:val="auto"/>
          <w:sz w:val="31"/>
          <w:szCs w:val="31"/>
        </w:rPr>
        <w:t>目录</w:t>
      </w:r>
      <w:bookmarkEnd w:id="0"/>
    </w:p>
    <w:p w14:paraId="62B34DF5">
      <w:pPr>
        <w:pStyle w:val="22"/>
        <w:tabs>
          <w:tab w:val="right" w:leader="dot" w:pos="8300"/>
        </w:tabs>
        <w:rPr>
          <w:color w:val="auto"/>
        </w:rPr>
      </w:pPr>
      <w:r>
        <w:rPr>
          <w:rStyle w:val="32"/>
          <w:rFonts w:hint="eastAsia"/>
          <w:color w:val="auto"/>
          <w:sz w:val="31"/>
        </w:rPr>
        <w:fldChar w:fldCharType="begin"/>
      </w:r>
      <w:r>
        <w:rPr>
          <w:rStyle w:val="32"/>
          <w:rFonts w:hint="eastAsia" w:ascii="宋体" w:hAnsi="宋体" w:eastAsia="宋体" w:cs="宋体"/>
          <w:color w:val="auto"/>
          <w:sz w:val="31"/>
          <w:szCs w:val="31"/>
        </w:rPr>
        <w:instrText xml:space="preserve">TOC \o "1-1" \h \u </w:instrText>
      </w:r>
      <w:r>
        <w:rPr>
          <w:rStyle w:val="32"/>
          <w:rFonts w:hint="eastAsia"/>
          <w:color w:val="auto"/>
          <w:sz w:val="31"/>
        </w:rPr>
        <w:fldChar w:fldCharType="separate"/>
      </w:r>
      <w:r>
        <w:rPr>
          <w:color w:val="auto"/>
        </w:rPr>
        <w:fldChar w:fldCharType="begin"/>
      </w:r>
      <w:r>
        <w:rPr>
          <w:color w:val="auto"/>
        </w:rPr>
        <w:instrText xml:space="preserve"> HYPERLINK \l "_Toc13877" </w:instrText>
      </w:r>
      <w:r>
        <w:rPr>
          <w:color w:val="auto"/>
        </w:rPr>
        <w:fldChar w:fldCharType="separate"/>
      </w:r>
      <w:r>
        <w:rPr>
          <w:rFonts w:hint="eastAsia" w:ascii="宋体" w:hAnsi="宋体" w:eastAsia="宋体" w:cs="宋体"/>
          <w:color w:val="auto"/>
          <w:szCs w:val="31"/>
        </w:rPr>
        <w:t>第一章</w:t>
      </w:r>
      <w:r>
        <w:rPr>
          <w:color w:val="auto"/>
          <w:szCs w:val="31"/>
        </w:rPr>
        <w:t>   </w:t>
      </w:r>
      <w:r>
        <w:rPr>
          <w:rFonts w:hint="eastAsia" w:ascii="宋体" w:hAnsi="宋体" w:eastAsia="宋体" w:cs="宋体"/>
          <w:color w:val="auto"/>
          <w:szCs w:val="31"/>
        </w:rPr>
        <w:t>投标邀请</w:t>
      </w:r>
      <w:r>
        <w:rPr>
          <w:color w:val="auto"/>
        </w:rPr>
        <w:tab/>
      </w:r>
      <w:r>
        <w:rPr>
          <w:color w:val="auto"/>
        </w:rPr>
        <w:fldChar w:fldCharType="begin"/>
      </w:r>
      <w:r>
        <w:rPr>
          <w:color w:val="auto"/>
        </w:rPr>
        <w:instrText xml:space="preserve"> PAGEREF _Toc13877 \h </w:instrText>
      </w:r>
      <w:r>
        <w:rPr>
          <w:color w:val="auto"/>
        </w:rPr>
        <w:fldChar w:fldCharType="separate"/>
      </w:r>
      <w:r>
        <w:rPr>
          <w:color w:val="auto"/>
        </w:rPr>
        <w:t>2</w:t>
      </w:r>
      <w:r>
        <w:rPr>
          <w:color w:val="auto"/>
        </w:rPr>
        <w:fldChar w:fldCharType="end"/>
      </w:r>
      <w:r>
        <w:rPr>
          <w:color w:val="auto"/>
        </w:rPr>
        <w:fldChar w:fldCharType="end"/>
      </w:r>
    </w:p>
    <w:p w14:paraId="4845A218">
      <w:pPr>
        <w:pStyle w:val="22"/>
        <w:tabs>
          <w:tab w:val="right" w:leader="dot" w:pos="8300"/>
        </w:tabs>
        <w:rPr>
          <w:color w:val="auto"/>
        </w:rPr>
      </w:pPr>
      <w:r>
        <w:rPr>
          <w:color w:val="auto"/>
        </w:rPr>
        <w:fldChar w:fldCharType="begin"/>
      </w:r>
      <w:r>
        <w:rPr>
          <w:color w:val="auto"/>
        </w:rPr>
        <w:instrText xml:space="preserve"> HYPERLINK \l "_Toc9335" </w:instrText>
      </w:r>
      <w:r>
        <w:rPr>
          <w:color w:val="auto"/>
        </w:rPr>
        <w:fldChar w:fldCharType="separate"/>
      </w:r>
      <w:r>
        <w:rPr>
          <w:rFonts w:hint="eastAsia" w:ascii="宋体" w:hAnsi="宋体" w:eastAsia="宋体" w:cs="宋体"/>
          <w:color w:val="auto"/>
          <w:szCs w:val="31"/>
        </w:rPr>
        <w:t>第二章</w:t>
      </w:r>
      <w:r>
        <w:rPr>
          <w:color w:val="auto"/>
          <w:szCs w:val="31"/>
        </w:rPr>
        <w:t>   </w:t>
      </w:r>
      <w:r>
        <w:rPr>
          <w:rFonts w:hint="eastAsia" w:ascii="宋体" w:hAnsi="宋体" w:eastAsia="宋体" w:cs="宋体"/>
          <w:color w:val="auto"/>
          <w:szCs w:val="31"/>
        </w:rPr>
        <w:t>投标人须知前附表（表1、</w:t>
      </w:r>
      <w:r>
        <w:rPr>
          <w:rFonts w:ascii="Times New Roman" w:hAnsi="Times New Roman" w:cs="Times New Roman"/>
          <w:color w:val="auto"/>
          <w:szCs w:val="31"/>
        </w:rPr>
        <w:t>2</w:t>
      </w:r>
      <w:r>
        <w:rPr>
          <w:rFonts w:hint="eastAsia" w:ascii="宋体" w:hAnsi="宋体" w:eastAsia="宋体" w:cs="宋体"/>
          <w:color w:val="auto"/>
          <w:szCs w:val="31"/>
        </w:rPr>
        <w:t>）</w:t>
      </w:r>
      <w:r>
        <w:rPr>
          <w:color w:val="auto"/>
        </w:rPr>
        <w:tab/>
      </w:r>
      <w:r>
        <w:rPr>
          <w:color w:val="auto"/>
        </w:rPr>
        <w:fldChar w:fldCharType="begin"/>
      </w:r>
      <w:r>
        <w:rPr>
          <w:color w:val="auto"/>
        </w:rPr>
        <w:instrText xml:space="preserve"> PAGEREF _Toc9335 \h </w:instrText>
      </w:r>
      <w:r>
        <w:rPr>
          <w:color w:val="auto"/>
        </w:rPr>
        <w:fldChar w:fldCharType="separate"/>
      </w:r>
      <w:r>
        <w:rPr>
          <w:color w:val="auto"/>
        </w:rPr>
        <w:t>5</w:t>
      </w:r>
      <w:r>
        <w:rPr>
          <w:color w:val="auto"/>
        </w:rPr>
        <w:fldChar w:fldCharType="end"/>
      </w:r>
      <w:r>
        <w:rPr>
          <w:color w:val="auto"/>
        </w:rPr>
        <w:fldChar w:fldCharType="end"/>
      </w:r>
    </w:p>
    <w:p w14:paraId="7A1586EE">
      <w:pPr>
        <w:pStyle w:val="22"/>
        <w:tabs>
          <w:tab w:val="right" w:leader="dot" w:pos="8300"/>
        </w:tabs>
        <w:rPr>
          <w:color w:val="auto"/>
        </w:rPr>
      </w:pPr>
      <w:r>
        <w:rPr>
          <w:color w:val="auto"/>
        </w:rPr>
        <w:fldChar w:fldCharType="begin"/>
      </w:r>
      <w:r>
        <w:rPr>
          <w:color w:val="auto"/>
        </w:rPr>
        <w:instrText xml:space="preserve"> HYPERLINK \l "_Toc1964" </w:instrText>
      </w:r>
      <w:r>
        <w:rPr>
          <w:color w:val="auto"/>
        </w:rPr>
        <w:fldChar w:fldCharType="separate"/>
      </w:r>
      <w:r>
        <w:rPr>
          <w:rFonts w:hint="eastAsia" w:ascii="宋体" w:hAnsi="宋体" w:eastAsia="宋体" w:cs="宋体"/>
          <w:color w:val="auto"/>
          <w:szCs w:val="31"/>
        </w:rPr>
        <w:t>第三章   投标人须知</w:t>
      </w:r>
      <w:r>
        <w:rPr>
          <w:color w:val="auto"/>
        </w:rPr>
        <w:tab/>
      </w:r>
      <w:r>
        <w:rPr>
          <w:color w:val="auto"/>
        </w:rPr>
        <w:fldChar w:fldCharType="begin"/>
      </w:r>
      <w:r>
        <w:rPr>
          <w:color w:val="auto"/>
        </w:rPr>
        <w:instrText xml:space="preserve"> PAGEREF _Toc1964 \h </w:instrText>
      </w:r>
      <w:r>
        <w:rPr>
          <w:color w:val="auto"/>
        </w:rPr>
        <w:fldChar w:fldCharType="separate"/>
      </w:r>
      <w:r>
        <w:rPr>
          <w:color w:val="auto"/>
        </w:rPr>
        <w:t>11</w:t>
      </w:r>
      <w:r>
        <w:rPr>
          <w:color w:val="auto"/>
        </w:rPr>
        <w:fldChar w:fldCharType="end"/>
      </w:r>
      <w:r>
        <w:rPr>
          <w:color w:val="auto"/>
        </w:rPr>
        <w:fldChar w:fldCharType="end"/>
      </w:r>
    </w:p>
    <w:p w14:paraId="7B48C1D6">
      <w:pPr>
        <w:pStyle w:val="22"/>
        <w:tabs>
          <w:tab w:val="right" w:leader="dot" w:pos="8300"/>
        </w:tabs>
        <w:rPr>
          <w:color w:val="auto"/>
        </w:rPr>
      </w:pPr>
      <w:r>
        <w:rPr>
          <w:color w:val="auto"/>
        </w:rPr>
        <w:fldChar w:fldCharType="begin"/>
      </w:r>
      <w:r>
        <w:rPr>
          <w:color w:val="auto"/>
        </w:rPr>
        <w:instrText xml:space="preserve"> HYPERLINK \l "_Toc20750" </w:instrText>
      </w:r>
      <w:r>
        <w:rPr>
          <w:color w:val="auto"/>
        </w:rPr>
        <w:fldChar w:fldCharType="separate"/>
      </w:r>
      <w:r>
        <w:rPr>
          <w:rFonts w:hint="eastAsia" w:ascii="宋体" w:hAnsi="宋体" w:eastAsia="宋体" w:cs="宋体"/>
          <w:color w:val="auto"/>
          <w:szCs w:val="31"/>
        </w:rPr>
        <w:t>第四章   资格审查与评标</w:t>
      </w:r>
      <w:r>
        <w:rPr>
          <w:color w:val="auto"/>
        </w:rPr>
        <w:tab/>
      </w:r>
      <w:r>
        <w:rPr>
          <w:color w:val="auto"/>
        </w:rPr>
        <w:fldChar w:fldCharType="begin"/>
      </w:r>
      <w:r>
        <w:rPr>
          <w:color w:val="auto"/>
        </w:rPr>
        <w:instrText xml:space="preserve"> PAGEREF _Toc20750 \h </w:instrText>
      </w:r>
      <w:r>
        <w:rPr>
          <w:color w:val="auto"/>
        </w:rPr>
        <w:fldChar w:fldCharType="separate"/>
      </w:r>
      <w:r>
        <w:rPr>
          <w:color w:val="auto"/>
        </w:rPr>
        <w:t>23</w:t>
      </w:r>
      <w:r>
        <w:rPr>
          <w:color w:val="auto"/>
        </w:rPr>
        <w:fldChar w:fldCharType="end"/>
      </w:r>
      <w:r>
        <w:rPr>
          <w:color w:val="auto"/>
        </w:rPr>
        <w:fldChar w:fldCharType="end"/>
      </w:r>
    </w:p>
    <w:p w14:paraId="73772010">
      <w:pPr>
        <w:pStyle w:val="22"/>
        <w:tabs>
          <w:tab w:val="right" w:leader="dot" w:pos="8300"/>
        </w:tabs>
        <w:rPr>
          <w:color w:val="auto"/>
        </w:rPr>
      </w:pPr>
      <w:r>
        <w:rPr>
          <w:color w:val="auto"/>
        </w:rPr>
        <w:fldChar w:fldCharType="begin"/>
      </w:r>
      <w:r>
        <w:rPr>
          <w:color w:val="auto"/>
        </w:rPr>
        <w:instrText xml:space="preserve"> HYPERLINK \l "_Toc25878" </w:instrText>
      </w:r>
      <w:r>
        <w:rPr>
          <w:color w:val="auto"/>
        </w:rPr>
        <w:fldChar w:fldCharType="separate"/>
      </w:r>
      <w:r>
        <w:rPr>
          <w:rFonts w:hint="eastAsia" w:ascii="宋体" w:hAnsi="宋体" w:eastAsia="宋体" w:cs="宋体"/>
          <w:color w:val="auto"/>
          <w:szCs w:val="31"/>
        </w:rPr>
        <w:t>第五章</w:t>
      </w:r>
      <w:r>
        <w:rPr>
          <w:color w:val="auto"/>
          <w:szCs w:val="31"/>
        </w:rPr>
        <w:t>   </w:t>
      </w:r>
      <w:r>
        <w:rPr>
          <w:rFonts w:hint="eastAsia" w:ascii="宋体" w:hAnsi="宋体" w:eastAsia="宋体" w:cs="宋体"/>
          <w:color w:val="auto"/>
          <w:szCs w:val="31"/>
        </w:rPr>
        <w:t>招标内容及要求</w:t>
      </w:r>
      <w:r>
        <w:rPr>
          <w:color w:val="auto"/>
        </w:rPr>
        <w:tab/>
      </w:r>
      <w:r>
        <w:rPr>
          <w:color w:val="auto"/>
        </w:rPr>
        <w:fldChar w:fldCharType="begin"/>
      </w:r>
      <w:r>
        <w:rPr>
          <w:color w:val="auto"/>
        </w:rPr>
        <w:instrText xml:space="preserve"> PAGEREF _Toc25878 \h </w:instrText>
      </w:r>
      <w:r>
        <w:rPr>
          <w:color w:val="auto"/>
        </w:rPr>
        <w:fldChar w:fldCharType="separate"/>
      </w:r>
      <w:r>
        <w:rPr>
          <w:color w:val="auto"/>
        </w:rPr>
        <w:t>45</w:t>
      </w:r>
      <w:r>
        <w:rPr>
          <w:color w:val="auto"/>
        </w:rPr>
        <w:fldChar w:fldCharType="end"/>
      </w:r>
      <w:r>
        <w:rPr>
          <w:color w:val="auto"/>
        </w:rPr>
        <w:fldChar w:fldCharType="end"/>
      </w:r>
    </w:p>
    <w:p w14:paraId="0D32E9B8">
      <w:pPr>
        <w:pStyle w:val="22"/>
        <w:tabs>
          <w:tab w:val="right" w:leader="dot" w:pos="8300"/>
        </w:tabs>
        <w:rPr>
          <w:color w:val="auto"/>
        </w:rPr>
      </w:pPr>
      <w:r>
        <w:rPr>
          <w:color w:val="auto"/>
        </w:rPr>
        <w:fldChar w:fldCharType="begin"/>
      </w:r>
      <w:r>
        <w:rPr>
          <w:color w:val="auto"/>
        </w:rPr>
        <w:instrText xml:space="preserve"> HYPERLINK \l "_Toc3197" </w:instrText>
      </w:r>
      <w:r>
        <w:rPr>
          <w:color w:val="auto"/>
        </w:rPr>
        <w:fldChar w:fldCharType="separate"/>
      </w:r>
      <w:r>
        <w:rPr>
          <w:rFonts w:hint="eastAsia" w:ascii="宋体" w:hAnsi="宋体" w:eastAsia="宋体" w:cs="宋体"/>
          <w:color w:val="auto"/>
          <w:szCs w:val="31"/>
        </w:rPr>
        <w:t>第六章   政府采购合同（参考文本）</w:t>
      </w:r>
      <w:r>
        <w:rPr>
          <w:color w:val="auto"/>
        </w:rPr>
        <w:tab/>
      </w:r>
      <w:r>
        <w:rPr>
          <w:color w:val="auto"/>
        </w:rPr>
        <w:fldChar w:fldCharType="begin"/>
      </w:r>
      <w:r>
        <w:rPr>
          <w:color w:val="auto"/>
        </w:rPr>
        <w:instrText xml:space="preserve"> PAGEREF _Toc3197 \h </w:instrText>
      </w:r>
      <w:r>
        <w:rPr>
          <w:color w:val="auto"/>
        </w:rPr>
        <w:fldChar w:fldCharType="separate"/>
      </w:r>
      <w:r>
        <w:rPr>
          <w:color w:val="auto"/>
        </w:rPr>
        <w:t>247</w:t>
      </w:r>
      <w:r>
        <w:rPr>
          <w:color w:val="auto"/>
        </w:rPr>
        <w:fldChar w:fldCharType="end"/>
      </w:r>
      <w:r>
        <w:rPr>
          <w:color w:val="auto"/>
        </w:rPr>
        <w:fldChar w:fldCharType="end"/>
      </w:r>
    </w:p>
    <w:p w14:paraId="4956EAEC">
      <w:pPr>
        <w:pStyle w:val="22"/>
        <w:tabs>
          <w:tab w:val="right" w:leader="dot" w:pos="8300"/>
        </w:tabs>
        <w:rPr>
          <w:color w:val="auto"/>
        </w:rPr>
      </w:pPr>
      <w:r>
        <w:rPr>
          <w:color w:val="auto"/>
        </w:rPr>
        <w:fldChar w:fldCharType="begin"/>
      </w:r>
      <w:r>
        <w:rPr>
          <w:color w:val="auto"/>
        </w:rPr>
        <w:instrText xml:space="preserve"> HYPERLINK \l "_Toc8347" </w:instrText>
      </w:r>
      <w:r>
        <w:rPr>
          <w:color w:val="auto"/>
        </w:rPr>
        <w:fldChar w:fldCharType="separate"/>
      </w:r>
      <w:r>
        <w:rPr>
          <w:rFonts w:hint="eastAsia" w:ascii="宋体" w:hAnsi="宋体" w:eastAsia="宋体" w:cs="宋体"/>
          <w:color w:val="auto"/>
          <w:szCs w:val="31"/>
        </w:rPr>
        <w:t>第七章   投标文件格式</w:t>
      </w:r>
      <w:r>
        <w:rPr>
          <w:color w:val="auto"/>
        </w:rPr>
        <w:tab/>
      </w:r>
      <w:r>
        <w:rPr>
          <w:color w:val="auto"/>
        </w:rPr>
        <w:fldChar w:fldCharType="begin"/>
      </w:r>
      <w:r>
        <w:rPr>
          <w:color w:val="auto"/>
        </w:rPr>
        <w:instrText xml:space="preserve"> PAGEREF _Toc8347 \h </w:instrText>
      </w:r>
      <w:r>
        <w:rPr>
          <w:color w:val="auto"/>
        </w:rPr>
        <w:fldChar w:fldCharType="separate"/>
      </w:r>
      <w:r>
        <w:rPr>
          <w:color w:val="auto"/>
        </w:rPr>
        <w:t>250</w:t>
      </w:r>
      <w:r>
        <w:rPr>
          <w:color w:val="auto"/>
        </w:rPr>
        <w:fldChar w:fldCharType="end"/>
      </w:r>
      <w:r>
        <w:rPr>
          <w:color w:val="auto"/>
        </w:rPr>
        <w:fldChar w:fldCharType="end"/>
      </w:r>
    </w:p>
    <w:p w14:paraId="108E1596">
      <w:pPr>
        <w:pStyle w:val="27"/>
        <w:widowControl/>
        <w:spacing w:before="75" w:beforeAutospacing="0" w:after="75" w:afterAutospacing="0"/>
        <w:jc w:val="center"/>
        <w:rPr>
          <w:rStyle w:val="32"/>
          <w:rFonts w:ascii="宋体" w:hAnsi="宋体" w:eastAsia="宋体" w:cs="宋体"/>
          <w:color w:val="auto"/>
          <w:sz w:val="31"/>
          <w:szCs w:val="31"/>
        </w:rPr>
      </w:pPr>
      <w:r>
        <w:rPr>
          <w:rFonts w:hint="eastAsia" w:ascii="宋体" w:hAnsi="宋体" w:eastAsia="宋体" w:cs="宋体"/>
          <w:color w:val="auto"/>
          <w:szCs w:val="31"/>
          <w:lang w:bidi="ar"/>
        </w:rPr>
        <w:fldChar w:fldCharType="end"/>
      </w:r>
    </w:p>
    <w:p w14:paraId="105B98F4">
      <w:pPr>
        <w:pStyle w:val="27"/>
        <w:widowControl/>
        <w:spacing w:before="75" w:beforeAutospacing="0" w:after="75" w:afterAutospacing="0"/>
        <w:jc w:val="center"/>
        <w:rPr>
          <w:rStyle w:val="32"/>
          <w:rFonts w:ascii="宋体" w:hAnsi="宋体" w:eastAsia="宋体" w:cs="宋体"/>
          <w:color w:val="auto"/>
          <w:sz w:val="31"/>
          <w:szCs w:val="31"/>
        </w:rPr>
      </w:pPr>
      <w:r>
        <w:rPr>
          <w:rStyle w:val="32"/>
          <w:rFonts w:hint="eastAsia" w:ascii="宋体" w:hAnsi="宋体" w:eastAsia="宋体" w:cs="宋体"/>
          <w:color w:val="auto"/>
          <w:sz w:val="31"/>
          <w:szCs w:val="31"/>
        </w:rPr>
        <w:br w:type="page"/>
      </w:r>
    </w:p>
    <w:p w14:paraId="4881AF68">
      <w:pPr>
        <w:pStyle w:val="27"/>
        <w:widowControl/>
        <w:spacing w:before="75" w:beforeAutospacing="0" w:after="75" w:afterAutospacing="0"/>
        <w:jc w:val="center"/>
        <w:outlineLvl w:val="0"/>
        <w:rPr>
          <w:color w:val="auto"/>
        </w:rPr>
      </w:pPr>
      <w:bookmarkStart w:id="1" w:name="_Toc13877"/>
      <w:r>
        <w:rPr>
          <w:rStyle w:val="32"/>
          <w:rFonts w:hint="eastAsia" w:ascii="宋体" w:hAnsi="宋体" w:eastAsia="宋体" w:cs="宋体"/>
          <w:color w:val="auto"/>
          <w:sz w:val="31"/>
          <w:szCs w:val="31"/>
        </w:rPr>
        <w:t>第一章</w:t>
      </w:r>
      <w:r>
        <w:rPr>
          <w:rStyle w:val="32"/>
          <w:color w:val="auto"/>
          <w:sz w:val="31"/>
          <w:szCs w:val="31"/>
        </w:rPr>
        <w:t>   </w:t>
      </w:r>
      <w:r>
        <w:rPr>
          <w:rStyle w:val="32"/>
          <w:rFonts w:hint="eastAsia" w:ascii="宋体" w:hAnsi="宋体" w:eastAsia="宋体" w:cs="宋体"/>
          <w:color w:val="auto"/>
          <w:sz w:val="31"/>
          <w:szCs w:val="31"/>
        </w:rPr>
        <w:t>投标邀请</w:t>
      </w:r>
      <w:bookmarkEnd w:id="1"/>
    </w:p>
    <w:p w14:paraId="3E25B7BE">
      <w:pPr>
        <w:pStyle w:val="27"/>
        <w:widowControl/>
        <w:spacing w:before="75" w:beforeAutospacing="0" w:after="75" w:afterAutospacing="0"/>
        <w:rPr>
          <w:color w:val="auto"/>
        </w:rPr>
      </w:pPr>
      <w:r>
        <w:rPr>
          <w:color w:val="auto"/>
        </w:rPr>
        <w:t> </w:t>
      </w:r>
    </w:p>
    <w:p w14:paraId="61319386">
      <w:pPr>
        <w:pStyle w:val="27"/>
        <w:widowControl/>
        <w:spacing w:before="75" w:beforeAutospacing="0" w:after="75" w:afterAutospacing="0"/>
        <w:ind w:firstLine="480"/>
        <w:rPr>
          <w:color w:val="auto"/>
        </w:rPr>
      </w:pPr>
      <w:r>
        <w:rPr>
          <w:rFonts w:hint="eastAsia" w:ascii="宋体" w:hAnsi="宋体" w:eastAsia="宋体" w:cs="宋体"/>
          <w:color w:val="auto"/>
          <w:u w:val="single"/>
        </w:rPr>
        <w:t>福州市“智慧福州”管理服务中心委托福建省招标中心有限责任公司</w:t>
      </w:r>
      <w:r>
        <w:rPr>
          <w:rFonts w:hint="eastAsia" w:ascii="宋体" w:hAnsi="宋体" w:eastAsia="宋体" w:cs="宋体"/>
          <w:color w:val="auto"/>
        </w:rPr>
        <w:t>采用</w:t>
      </w:r>
      <w:r>
        <w:rPr>
          <w:rFonts w:hint="eastAsia" w:ascii="宋体" w:hAnsi="宋体" w:eastAsia="宋体" w:cs="宋体"/>
          <w:color w:val="auto"/>
          <w:u w:val="single"/>
        </w:rPr>
        <w:t>公开招标方式</w:t>
      </w:r>
      <w:r>
        <w:rPr>
          <w:rFonts w:hint="eastAsia" w:ascii="宋体" w:hAnsi="宋体" w:eastAsia="宋体" w:cs="宋体"/>
          <w:color w:val="auto"/>
        </w:rPr>
        <w:t>组织福州市城市综合管理服务平台项目建设（以下简称：“本项目”）的政府采购活动，现邀请供应商参加投标。</w:t>
      </w:r>
    </w:p>
    <w:p w14:paraId="73885AF1">
      <w:pPr>
        <w:pStyle w:val="27"/>
        <w:widowControl/>
        <w:spacing w:before="75" w:beforeAutospacing="0" w:after="75" w:afterAutospacing="0"/>
        <w:ind w:firstLine="480"/>
        <w:rPr>
          <w:color w:val="auto"/>
        </w:rPr>
      </w:pPr>
      <w:r>
        <w:rPr>
          <w:rFonts w:hint="eastAsia" w:ascii="宋体" w:hAnsi="宋体" w:eastAsia="宋体" w:cs="宋体"/>
          <w:color w:val="auto"/>
        </w:rPr>
        <w:t>1、备案编号：</w:t>
      </w:r>
      <w:r>
        <w:rPr>
          <w:rFonts w:hint="eastAsia" w:ascii="宋体" w:hAnsi="宋体" w:eastAsia="宋体" w:cs="宋体"/>
          <w:color w:val="auto"/>
          <w:u w:val="single"/>
        </w:rPr>
        <w:t>A-126-GK-202202-B0301-IDN</w:t>
      </w:r>
      <w:r>
        <w:rPr>
          <w:rFonts w:hint="eastAsia" w:ascii="宋体" w:hAnsi="宋体" w:eastAsia="宋体" w:cs="宋体"/>
          <w:color w:val="auto"/>
        </w:rPr>
        <w:t>。</w:t>
      </w:r>
    </w:p>
    <w:p w14:paraId="32D19464">
      <w:pPr>
        <w:pStyle w:val="27"/>
        <w:widowControl/>
        <w:spacing w:before="75" w:beforeAutospacing="0" w:after="75" w:afterAutospacing="0"/>
        <w:ind w:firstLine="480"/>
        <w:rPr>
          <w:color w:val="auto"/>
        </w:rPr>
      </w:pPr>
      <w:r>
        <w:rPr>
          <w:rFonts w:hint="eastAsia" w:ascii="宋体" w:hAnsi="宋体" w:eastAsia="宋体" w:cs="宋体"/>
          <w:color w:val="auto"/>
        </w:rPr>
        <w:t>2、招标编号：</w:t>
      </w:r>
      <w:r>
        <w:rPr>
          <w:rFonts w:hint="eastAsia" w:ascii="宋体" w:hAnsi="宋体" w:eastAsia="宋体" w:cs="宋体"/>
          <w:color w:val="auto"/>
          <w:u w:val="single"/>
        </w:rPr>
        <w:t>[350100]ZBZX[GK]2022002</w:t>
      </w:r>
      <w:r>
        <w:rPr>
          <w:rFonts w:hint="eastAsia" w:ascii="宋体" w:hAnsi="宋体" w:eastAsia="宋体" w:cs="宋体"/>
          <w:color w:val="auto"/>
        </w:rPr>
        <w:t>。</w:t>
      </w:r>
    </w:p>
    <w:p w14:paraId="72EE5841">
      <w:pPr>
        <w:pStyle w:val="27"/>
        <w:widowControl/>
        <w:spacing w:before="75" w:beforeAutospacing="0" w:after="75" w:afterAutospacing="0"/>
        <w:ind w:firstLine="480"/>
        <w:rPr>
          <w:color w:val="auto"/>
        </w:rPr>
      </w:pPr>
      <w:r>
        <w:rPr>
          <w:rFonts w:hint="eastAsia" w:ascii="宋体" w:hAnsi="宋体" w:eastAsia="宋体" w:cs="宋体"/>
          <w:color w:val="auto"/>
        </w:rPr>
        <w:t>3、预算金额、最高限价：详见《采购标的一览表》。</w:t>
      </w:r>
      <w:r>
        <w:rPr>
          <w:rFonts w:hint="eastAsia" w:ascii="宋体" w:hAnsi="宋体" w:eastAsia="宋体" w:cs="宋体"/>
          <w:color w:val="auto"/>
        </w:rPr>
        <w:br w:type="textWrapping"/>
      </w:r>
      <w:r>
        <w:rPr>
          <w:rFonts w:hint="eastAsia" w:ascii="宋体" w:hAnsi="宋体" w:eastAsia="宋体" w:cs="宋体"/>
          <w:color w:val="auto"/>
        </w:rPr>
        <w:t>  4、招标内容及要求：详见《采购标的一览表》及招标文件第五章。</w:t>
      </w:r>
    </w:p>
    <w:p w14:paraId="430FFD77">
      <w:pPr>
        <w:pStyle w:val="27"/>
        <w:widowControl/>
        <w:spacing w:before="75" w:beforeAutospacing="0" w:after="75" w:afterAutospacing="0"/>
        <w:ind w:firstLine="480"/>
        <w:rPr>
          <w:color w:val="auto"/>
        </w:rPr>
      </w:pPr>
      <w:r>
        <w:rPr>
          <w:rFonts w:hint="eastAsia" w:ascii="宋体" w:hAnsi="宋体" w:eastAsia="宋体" w:cs="宋体"/>
          <w:color w:val="auto"/>
        </w:rPr>
        <w:t>5、需要落实的政府采购政策：小型、微型企业符合财政部、工信部文件（财库〔2020〕46号），适用于本项目所有合同包。监狱企业，适用于本项目所有合同包。促进残疾人就业 ，适用于本项目所有合同包。信用记录，适用于本项目所有合同包，</w:t>
      </w:r>
      <w:r>
        <w:rPr>
          <w:rFonts w:ascii="宋体" w:hAnsi="宋体" w:eastAsia="宋体" w:cs="宋体"/>
          <w:color w:val="auto"/>
        </w:rPr>
        <w:t>因第四章资格审查与评标一般资格证明文件中信用记录查询结果模板无法修改，信用记录查询规则以此处为准</w:t>
      </w:r>
      <w:r>
        <w:rPr>
          <w:rFonts w:hint="eastAsia" w:ascii="宋体" w:hAnsi="宋体" w:eastAsia="宋体" w:cs="宋体"/>
          <w:color w:val="auto"/>
        </w:rPr>
        <w:t xml:space="preserve">：由资格审查小组进行查询审查，在资格审查当日资格审查小组通过“信用中国”网站（www.creditchina.gov.cn）、中国政府采购网（www.ccgp.gov.cn）查询并打印投标人信用记录。若发现投标人参加本项目采购活动(投标截止时间止)前三年内被列入失信被执行人名单、重大税收违法案件当事人名单、政府采购严重违法失信行为记录名单，受到政府采购行政处罚（存在被拒绝参与政府采购活动相关信息的），且相关信用惩戒期限未满，以及其他不符合《中华人民共和国政府采购法》第二十二条规定条件的供应商，其资格审查不合格。 </w:t>
      </w:r>
    </w:p>
    <w:p w14:paraId="05DA074D">
      <w:pPr>
        <w:pStyle w:val="27"/>
        <w:widowControl/>
        <w:spacing w:before="75" w:beforeAutospacing="0" w:after="75" w:afterAutospacing="0"/>
        <w:ind w:firstLine="480"/>
        <w:rPr>
          <w:color w:val="auto"/>
        </w:rPr>
      </w:pPr>
      <w:r>
        <w:rPr>
          <w:rFonts w:hint="eastAsia" w:ascii="宋体" w:hAnsi="宋体" w:eastAsia="宋体" w:cs="宋体"/>
          <w:color w:val="auto"/>
        </w:rPr>
        <w:t>6、投标人的资格要求</w:t>
      </w:r>
    </w:p>
    <w:p w14:paraId="3DC4F9DB">
      <w:pPr>
        <w:pStyle w:val="27"/>
        <w:widowControl/>
        <w:spacing w:before="75" w:beforeAutospacing="0" w:after="75" w:afterAutospacing="0"/>
        <w:ind w:firstLine="480"/>
        <w:rPr>
          <w:color w:val="auto"/>
        </w:rPr>
      </w:pPr>
      <w:r>
        <w:rPr>
          <w:rFonts w:hint="eastAsia" w:ascii="宋体" w:hAnsi="宋体" w:eastAsia="宋体" w:cs="宋体"/>
          <w:color w:val="auto"/>
        </w:rPr>
        <w:t>6.1法定条件：符合政府采购法第二十二条第一款规定的条件。</w:t>
      </w:r>
    </w:p>
    <w:p w14:paraId="028F008B">
      <w:pPr>
        <w:pStyle w:val="27"/>
        <w:widowControl/>
        <w:spacing w:before="75" w:beforeAutospacing="0" w:after="75" w:afterAutospacing="0"/>
        <w:ind w:firstLine="480"/>
        <w:rPr>
          <w:rFonts w:ascii="微软雅黑" w:hAnsi="微软雅黑" w:eastAsia="微软雅黑" w:cs="微软雅黑"/>
          <w:color w:val="auto"/>
          <w:sz w:val="27"/>
          <w:szCs w:val="27"/>
        </w:rPr>
      </w:pPr>
      <w:r>
        <w:rPr>
          <w:rFonts w:hint="eastAsia" w:ascii="宋体" w:hAnsi="宋体" w:eastAsia="宋体" w:cs="宋体"/>
          <w:color w:val="auto"/>
        </w:rPr>
        <w:t>6.2特定条件：</w:t>
      </w:r>
      <w:r>
        <w:rPr>
          <w:rFonts w:hint="eastAsia" w:ascii="宋体" w:hAnsi="宋体" w:eastAsia="宋体" w:cs="宋体"/>
          <w:color w:val="auto"/>
        </w:rPr>
        <w:br w:type="textWrapping"/>
      </w:r>
      <w:r>
        <w:rPr>
          <w:rStyle w:val="32"/>
          <w:rFonts w:ascii="宋体" w:hAnsi="宋体" w:eastAsia="宋体" w:cs="宋体"/>
          <w:color w:val="auto"/>
        </w:rPr>
        <w:t>包：1</w:t>
      </w:r>
    </w:p>
    <w:tbl>
      <w:tblPr>
        <w:tblStyle w:val="30"/>
        <w:tblW w:w="8330"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501"/>
        <w:gridCol w:w="5829"/>
      </w:tblGrid>
      <w:tr w14:paraId="0B533F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2501" w:type="dxa"/>
            <w:shd w:val="clear" w:color="auto" w:fill="auto"/>
            <w:vAlign w:val="center"/>
          </w:tcPr>
          <w:p w14:paraId="7D11353F">
            <w:pPr>
              <w:widowControl/>
              <w:jc w:val="center"/>
              <w:rPr>
                <w:rFonts w:asciiTheme="minorEastAsia" w:hAnsiTheme="minorEastAsia" w:cstheme="minorEastAsia"/>
                <w:b/>
                <w:bCs/>
                <w:color w:val="auto"/>
                <w:sz w:val="20"/>
                <w:szCs w:val="20"/>
              </w:rPr>
            </w:pPr>
            <w:r>
              <w:rPr>
                <w:rFonts w:hint="eastAsia" w:asciiTheme="minorEastAsia" w:hAnsiTheme="minorEastAsia" w:cstheme="minorEastAsia"/>
                <w:b/>
                <w:bCs/>
                <w:color w:val="auto"/>
                <w:kern w:val="0"/>
                <w:sz w:val="20"/>
                <w:szCs w:val="20"/>
                <w:lang w:bidi="ar"/>
              </w:rPr>
              <w:t>明细</w:t>
            </w:r>
          </w:p>
        </w:tc>
        <w:tc>
          <w:tcPr>
            <w:tcW w:w="5829" w:type="dxa"/>
            <w:shd w:val="clear" w:color="auto" w:fill="auto"/>
            <w:vAlign w:val="center"/>
          </w:tcPr>
          <w:p w14:paraId="0A8D3C49">
            <w:pPr>
              <w:widowControl/>
              <w:jc w:val="center"/>
              <w:rPr>
                <w:rFonts w:asciiTheme="minorEastAsia" w:hAnsiTheme="minorEastAsia" w:cstheme="minorEastAsia"/>
                <w:b/>
                <w:bCs/>
                <w:color w:val="auto"/>
                <w:sz w:val="20"/>
                <w:szCs w:val="20"/>
              </w:rPr>
            </w:pPr>
            <w:r>
              <w:rPr>
                <w:rFonts w:hint="eastAsia" w:asciiTheme="minorEastAsia" w:hAnsiTheme="minorEastAsia" w:cstheme="minorEastAsia"/>
                <w:b/>
                <w:bCs/>
                <w:color w:val="auto"/>
                <w:kern w:val="0"/>
                <w:sz w:val="20"/>
                <w:szCs w:val="20"/>
                <w:lang w:bidi="ar"/>
              </w:rPr>
              <w:t>描述</w:t>
            </w:r>
          </w:p>
        </w:tc>
      </w:tr>
      <w:tr w14:paraId="3D1EE7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501" w:type="dxa"/>
            <w:shd w:val="clear" w:color="auto" w:fill="auto"/>
            <w:vAlign w:val="center"/>
          </w:tcPr>
          <w:p w14:paraId="020D4AB4">
            <w:pPr>
              <w:widowControl/>
              <w:jc w:val="left"/>
              <w:rPr>
                <w:rFonts w:asciiTheme="minorEastAsia" w:hAnsiTheme="minorEastAsia" w:cstheme="minorEastAsia"/>
                <w:color w:val="auto"/>
                <w:sz w:val="20"/>
                <w:szCs w:val="20"/>
              </w:rPr>
            </w:pPr>
            <w:r>
              <w:rPr>
                <w:rFonts w:hint="eastAsia" w:asciiTheme="minorEastAsia" w:hAnsiTheme="minorEastAsia" w:cstheme="minorEastAsia"/>
                <w:color w:val="auto"/>
                <w:kern w:val="0"/>
                <w:sz w:val="20"/>
                <w:szCs w:val="20"/>
                <w:lang w:bidi="ar"/>
              </w:rPr>
              <w:t>无</w:t>
            </w:r>
          </w:p>
        </w:tc>
        <w:tc>
          <w:tcPr>
            <w:tcW w:w="5829" w:type="dxa"/>
            <w:shd w:val="clear" w:color="auto" w:fill="auto"/>
            <w:vAlign w:val="center"/>
          </w:tcPr>
          <w:p w14:paraId="27A4BD67">
            <w:pPr>
              <w:widowControl/>
              <w:jc w:val="left"/>
              <w:rPr>
                <w:rFonts w:asciiTheme="minorEastAsia" w:hAnsiTheme="minorEastAsia" w:cstheme="minorEastAsia"/>
                <w:color w:val="auto"/>
                <w:sz w:val="20"/>
                <w:szCs w:val="20"/>
              </w:rPr>
            </w:pPr>
            <w:r>
              <w:rPr>
                <w:rFonts w:hint="eastAsia" w:asciiTheme="minorEastAsia" w:hAnsiTheme="minorEastAsia" w:cstheme="minorEastAsia"/>
                <w:color w:val="auto"/>
                <w:kern w:val="0"/>
                <w:sz w:val="20"/>
                <w:szCs w:val="20"/>
                <w:lang w:bidi="ar"/>
              </w:rPr>
              <w:t>无</w:t>
            </w:r>
          </w:p>
        </w:tc>
      </w:tr>
    </w:tbl>
    <w:p w14:paraId="1AC7A1A3">
      <w:pPr>
        <w:widowControl/>
        <w:jc w:val="left"/>
        <w:rPr>
          <w:rStyle w:val="32"/>
          <w:rFonts w:ascii="宋体" w:hAnsi="宋体" w:eastAsia="宋体" w:cs="宋体"/>
          <w:color w:val="auto"/>
          <w:kern w:val="0"/>
          <w:sz w:val="24"/>
          <w:lang w:bidi="ar"/>
        </w:rPr>
      </w:pPr>
      <w:r>
        <w:rPr>
          <w:rStyle w:val="32"/>
          <w:rFonts w:hint="eastAsia" w:ascii="宋体" w:hAnsi="宋体" w:eastAsia="宋体" w:cs="宋体"/>
          <w:color w:val="auto"/>
          <w:kern w:val="0"/>
          <w:sz w:val="24"/>
          <w:lang w:bidi="ar"/>
        </w:rPr>
        <w:t>包：2</w:t>
      </w:r>
    </w:p>
    <w:tbl>
      <w:tblPr>
        <w:tblStyle w:val="30"/>
        <w:tblW w:w="8330"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501"/>
        <w:gridCol w:w="5829"/>
      </w:tblGrid>
      <w:tr w14:paraId="3F28EB3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2501" w:type="dxa"/>
            <w:shd w:val="clear" w:color="auto" w:fill="auto"/>
            <w:vAlign w:val="center"/>
          </w:tcPr>
          <w:p w14:paraId="205A0C11">
            <w:pPr>
              <w:widowControl/>
              <w:jc w:val="center"/>
              <w:rPr>
                <w:rFonts w:asciiTheme="minorEastAsia" w:hAnsiTheme="minorEastAsia" w:cstheme="minorEastAsia"/>
                <w:b/>
                <w:bCs/>
                <w:color w:val="auto"/>
                <w:sz w:val="20"/>
                <w:szCs w:val="20"/>
              </w:rPr>
            </w:pPr>
            <w:r>
              <w:rPr>
                <w:rFonts w:hint="eastAsia" w:asciiTheme="minorEastAsia" w:hAnsiTheme="minorEastAsia" w:cstheme="minorEastAsia"/>
                <w:b/>
                <w:bCs/>
                <w:color w:val="auto"/>
                <w:kern w:val="0"/>
                <w:sz w:val="20"/>
                <w:szCs w:val="20"/>
                <w:lang w:bidi="ar"/>
              </w:rPr>
              <w:t>明细</w:t>
            </w:r>
          </w:p>
        </w:tc>
        <w:tc>
          <w:tcPr>
            <w:tcW w:w="5829" w:type="dxa"/>
            <w:shd w:val="clear" w:color="auto" w:fill="auto"/>
            <w:vAlign w:val="center"/>
          </w:tcPr>
          <w:p w14:paraId="728D8490">
            <w:pPr>
              <w:widowControl/>
              <w:jc w:val="center"/>
              <w:rPr>
                <w:rFonts w:asciiTheme="minorEastAsia" w:hAnsiTheme="minorEastAsia" w:cstheme="minorEastAsia"/>
                <w:b/>
                <w:bCs/>
                <w:color w:val="auto"/>
                <w:sz w:val="20"/>
                <w:szCs w:val="20"/>
              </w:rPr>
            </w:pPr>
            <w:r>
              <w:rPr>
                <w:rFonts w:hint="eastAsia" w:asciiTheme="minorEastAsia" w:hAnsiTheme="minorEastAsia" w:cstheme="minorEastAsia"/>
                <w:b/>
                <w:bCs/>
                <w:color w:val="auto"/>
                <w:kern w:val="0"/>
                <w:sz w:val="20"/>
                <w:szCs w:val="20"/>
                <w:lang w:bidi="ar"/>
              </w:rPr>
              <w:t>描述</w:t>
            </w:r>
          </w:p>
        </w:tc>
      </w:tr>
      <w:tr w14:paraId="74B5D7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501" w:type="dxa"/>
            <w:shd w:val="clear" w:color="auto" w:fill="auto"/>
            <w:vAlign w:val="center"/>
          </w:tcPr>
          <w:p w14:paraId="508FB6E8">
            <w:pPr>
              <w:widowControl/>
              <w:jc w:val="left"/>
              <w:rPr>
                <w:rFonts w:asciiTheme="minorEastAsia" w:hAnsiTheme="minorEastAsia" w:cstheme="minorEastAsia"/>
                <w:color w:val="auto"/>
                <w:sz w:val="20"/>
                <w:szCs w:val="20"/>
              </w:rPr>
            </w:pPr>
            <w:r>
              <w:rPr>
                <w:rFonts w:hint="eastAsia" w:asciiTheme="minorEastAsia" w:hAnsiTheme="minorEastAsia" w:cstheme="minorEastAsia"/>
                <w:color w:val="auto"/>
                <w:kern w:val="0"/>
                <w:sz w:val="20"/>
                <w:szCs w:val="20"/>
                <w:lang w:bidi="ar"/>
              </w:rPr>
              <w:t>无</w:t>
            </w:r>
          </w:p>
        </w:tc>
        <w:tc>
          <w:tcPr>
            <w:tcW w:w="5829" w:type="dxa"/>
            <w:shd w:val="clear" w:color="auto" w:fill="auto"/>
            <w:vAlign w:val="center"/>
          </w:tcPr>
          <w:p w14:paraId="565014E7">
            <w:pPr>
              <w:widowControl/>
              <w:jc w:val="left"/>
              <w:rPr>
                <w:rFonts w:asciiTheme="minorEastAsia" w:hAnsiTheme="minorEastAsia" w:cstheme="minorEastAsia"/>
                <w:color w:val="auto"/>
                <w:sz w:val="20"/>
                <w:szCs w:val="20"/>
              </w:rPr>
            </w:pPr>
            <w:r>
              <w:rPr>
                <w:rFonts w:hint="eastAsia" w:asciiTheme="minorEastAsia" w:hAnsiTheme="minorEastAsia" w:cstheme="minorEastAsia"/>
                <w:color w:val="auto"/>
                <w:kern w:val="0"/>
                <w:sz w:val="20"/>
                <w:szCs w:val="20"/>
                <w:lang w:bidi="ar"/>
              </w:rPr>
              <w:t>无</w:t>
            </w:r>
          </w:p>
        </w:tc>
      </w:tr>
    </w:tbl>
    <w:p w14:paraId="357A4688">
      <w:pPr>
        <w:pStyle w:val="27"/>
        <w:widowControl/>
        <w:spacing w:before="75" w:beforeAutospacing="0" w:after="75" w:afterAutospacing="0"/>
        <w:ind w:firstLine="480"/>
        <w:rPr>
          <w:color w:val="auto"/>
        </w:rPr>
      </w:pPr>
      <w:r>
        <w:rPr>
          <w:rFonts w:hint="eastAsia" w:ascii="宋体" w:hAnsi="宋体" w:eastAsia="宋体" w:cs="宋体"/>
          <w:color w:val="auto"/>
        </w:rPr>
        <w:t>6.3是否接受联合体投标：不接受。</w:t>
      </w:r>
    </w:p>
    <w:p w14:paraId="5200ED20">
      <w:pPr>
        <w:pStyle w:val="27"/>
        <w:widowControl/>
        <w:spacing w:before="75" w:beforeAutospacing="0" w:after="75" w:afterAutospacing="0"/>
        <w:ind w:firstLine="480"/>
        <w:rPr>
          <w:color w:val="auto"/>
        </w:rPr>
      </w:pPr>
      <w:r>
        <w:rPr>
          <w:rStyle w:val="32"/>
          <w:rFonts w:hint="eastAsia" w:ascii="宋体" w:hAnsi="宋体" w:eastAsia="宋体" w:cs="宋体"/>
          <w:color w:val="auto"/>
        </w:rPr>
        <w:t>※根据上述资格要求，投标文件中应提交的“投标人的资格及资信证明文件”详见招标文件第四章。</w:t>
      </w:r>
    </w:p>
    <w:p w14:paraId="333C43A9">
      <w:pPr>
        <w:pStyle w:val="27"/>
        <w:widowControl/>
        <w:spacing w:before="75" w:beforeAutospacing="0" w:after="75" w:afterAutospacing="0"/>
        <w:ind w:firstLine="480"/>
        <w:rPr>
          <w:color w:val="auto"/>
        </w:rPr>
      </w:pPr>
      <w:r>
        <w:rPr>
          <w:rFonts w:hint="eastAsia" w:ascii="宋体" w:hAnsi="宋体" w:eastAsia="宋体" w:cs="宋体"/>
          <w:color w:val="auto"/>
        </w:rPr>
        <w:t>7、报名</w:t>
      </w:r>
    </w:p>
    <w:p w14:paraId="0C2667A2">
      <w:pPr>
        <w:pStyle w:val="27"/>
        <w:widowControl/>
        <w:spacing w:before="75" w:beforeAutospacing="0" w:after="75" w:afterAutospacing="0"/>
        <w:ind w:firstLine="480"/>
        <w:rPr>
          <w:color w:val="auto"/>
        </w:rPr>
      </w:pPr>
      <w:r>
        <w:rPr>
          <w:rFonts w:hint="eastAsia" w:ascii="宋体" w:hAnsi="宋体" w:eastAsia="宋体" w:cs="宋体"/>
          <w:color w:val="auto"/>
        </w:rPr>
        <w:t>7.1报名期限：详见招标公告或更正公告（若有），若不一致，以更正公告（若有）为准。</w:t>
      </w:r>
    </w:p>
    <w:p w14:paraId="4D9D5037">
      <w:pPr>
        <w:pStyle w:val="27"/>
        <w:widowControl/>
        <w:spacing w:before="75" w:beforeAutospacing="0" w:after="75" w:afterAutospacing="0"/>
        <w:ind w:firstLine="480"/>
        <w:rPr>
          <w:color w:val="auto"/>
        </w:rPr>
      </w:pPr>
      <w:r>
        <w:rPr>
          <w:rFonts w:hint="eastAsia" w:ascii="宋体" w:hAnsi="宋体" w:eastAsia="宋体" w:cs="宋体"/>
          <w:color w:val="auto"/>
        </w:rPr>
        <w:t>7.2报名期限内，供应商应通过福建省政府采购网上公开信息系统的注册账号（免费注册）对本项目进行报名(请根据项目所在地，登录对应的福建省政府采购网上公开信息系统报名(即省本级网址/地市分网))，否则</w:t>
      </w:r>
      <w:r>
        <w:rPr>
          <w:rStyle w:val="32"/>
          <w:rFonts w:hint="eastAsia" w:ascii="宋体" w:hAnsi="宋体" w:eastAsia="宋体" w:cs="宋体"/>
          <w:color w:val="auto"/>
        </w:rPr>
        <w:t>投标将被拒绝。</w:t>
      </w:r>
    </w:p>
    <w:p w14:paraId="05349CA4">
      <w:pPr>
        <w:pStyle w:val="27"/>
        <w:widowControl/>
        <w:spacing w:before="75" w:beforeAutospacing="0" w:after="75" w:afterAutospacing="0"/>
        <w:ind w:firstLine="480"/>
        <w:rPr>
          <w:color w:val="auto"/>
        </w:rPr>
      </w:pPr>
      <w:r>
        <w:rPr>
          <w:rFonts w:hint="eastAsia" w:ascii="宋体" w:hAnsi="宋体" w:eastAsia="宋体" w:cs="宋体"/>
          <w:color w:val="auto"/>
        </w:rPr>
        <w:t>8、招标文件的获取</w:t>
      </w:r>
    </w:p>
    <w:p w14:paraId="740AFB32">
      <w:pPr>
        <w:pStyle w:val="27"/>
        <w:widowControl/>
        <w:spacing w:before="75" w:beforeAutospacing="0" w:after="75" w:afterAutospacing="0"/>
        <w:ind w:firstLine="480"/>
        <w:rPr>
          <w:color w:val="auto"/>
        </w:rPr>
      </w:pPr>
      <w:r>
        <w:rPr>
          <w:rFonts w:hint="eastAsia" w:ascii="宋体" w:hAnsi="宋体" w:eastAsia="宋体" w:cs="宋体"/>
          <w:color w:val="auto"/>
        </w:rPr>
        <w:t>8.1招标文件提供期限：详见招标公告或更正公告（若有），若不一致，以更正公告（若有）为准。</w:t>
      </w:r>
    </w:p>
    <w:p w14:paraId="3156846B">
      <w:pPr>
        <w:pStyle w:val="27"/>
        <w:widowControl/>
        <w:spacing w:before="75" w:beforeAutospacing="0" w:after="75" w:afterAutospacing="0"/>
        <w:ind w:firstLine="480"/>
        <w:rPr>
          <w:color w:val="auto"/>
        </w:rPr>
      </w:pPr>
      <w:r>
        <w:rPr>
          <w:rFonts w:hint="eastAsia" w:ascii="宋体" w:hAnsi="宋体" w:eastAsia="宋体" w:cs="宋体"/>
          <w:color w:val="auto"/>
        </w:rPr>
        <w:t>8.2获取地点及方式：报名后，通过福建省政府采购网上公开信息系统以下载方式获取。</w:t>
      </w:r>
    </w:p>
    <w:p w14:paraId="04E152C3">
      <w:pPr>
        <w:pStyle w:val="27"/>
        <w:widowControl/>
        <w:spacing w:before="75" w:beforeAutospacing="0" w:after="75" w:afterAutospacing="0"/>
        <w:ind w:firstLine="480"/>
        <w:rPr>
          <w:color w:val="auto"/>
        </w:rPr>
      </w:pPr>
      <w:r>
        <w:rPr>
          <w:rFonts w:hint="eastAsia" w:ascii="宋体" w:hAnsi="宋体" w:eastAsia="宋体" w:cs="宋体"/>
          <w:color w:val="auto"/>
        </w:rPr>
        <w:t>8.3、招标文件售价：</w:t>
      </w:r>
      <w:r>
        <w:rPr>
          <w:rFonts w:ascii="Times New Roman" w:hAnsi="Times New Roman"/>
          <w:color w:val="auto"/>
        </w:rPr>
        <w:t>0</w:t>
      </w:r>
      <w:r>
        <w:rPr>
          <w:rFonts w:hint="eastAsia" w:ascii="宋体" w:hAnsi="宋体" w:eastAsia="宋体" w:cs="宋体"/>
          <w:color w:val="auto"/>
        </w:rPr>
        <w:t>元。</w:t>
      </w:r>
    </w:p>
    <w:p w14:paraId="5E741BB6">
      <w:pPr>
        <w:pStyle w:val="27"/>
        <w:widowControl/>
        <w:spacing w:before="75" w:beforeAutospacing="0" w:after="75" w:afterAutospacing="0"/>
        <w:ind w:firstLine="480"/>
        <w:rPr>
          <w:color w:val="auto"/>
        </w:rPr>
      </w:pPr>
      <w:r>
        <w:rPr>
          <w:rFonts w:hint="eastAsia" w:ascii="宋体" w:hAnsi="宋体" w:eastAsia="宋体" w:cs="宋体"/>
          <w:color w:val="auto"/>
        </w:rPr>
        <w:t>9、投标截止</w:t>
      </w:r>
    </w:p>
    <w:p w14:paraId="70D3A7A8">
      <w:pPr>
        <w:pStyle w:val="27"/>
        <w:widowControl/>
        <w:spacing w:before="75" w:beforeAutospacing="0" w:after="75" w:afterAutospacing="0"/>
        <w:ind w:firstLine="480"/>
        <w:rPr>
          <w:color w:val="auto"/>
        </w:rPr>
      </w:pPr>
      <w:r>
        <w:rPr>
          <w:rFonts w:hint="eastAsia" w:ascii="宋体" w:hAnsi="宋体" w:eastAsia="宋体" w:cs="宋体"/>
          <w:color w:val="auto"/>
        </w:rPr>
        <w:t>9.1投标截止时间：详见招标公告或更正公告（若有），若不一致，以更正公告（若有）为准。</w:t>
      </w:r>
    </w:p>
    <w:p w14:paraId="22C5F802">
      <w:pPr>
        <w:pStyle w:val="27"/>
        <w:widowControl/>
        <w:spacing w:before="75" w:beforeAutospacing="0" w:after="75" w:afterAutospacing="0"/>
        <w:ind w:firstLine="480"/>
        <w:rPr>
          <w:color w:val="auto"/>
        </w:rPr>
      </w:pPr>
      <w:r>
        <w:rPr>
          <w:rFonts w:hint="eastAsia" w:ascii="宋体" w:hAnsi="宋体" w:eastAsia="宋体" w:cs="宋体"/>
          <w:color w:val="auto"/>
        </w:rPr>
        <w:t>9.2投标人应在投标截止时间前按照福建省政府采购网上公开信息系统设定的操作流程将电子投标文件上传至福建省政府采购网上公开信息系统，同时将</w:t>
      </w:r>
      <w:r>
        <w:rPr>
          <w:rStyle w:val="32"/>
          <w:rFonts w:hint="eastAsia" w:ascii="宋体" w:hAnsi="宋体" w:eastAsia="宋体" w:cs="宋体"/>
          <w:color w:val="auto"/>
        </w:rPr>
        <w:t>投标人的CA证书</w:t>
      </w:r>
      <w:r>
        <w:rPr>
          <w:rFonts w:hint="eastAsia" w:ascii="宋体" w:hAnsi="宋体" w:eastAsia="宋体" w:cs="宋体"/>
          <w:color w:val="auto"/>
        </w:rPr>
        <w:t>连同</w:t>
      </w:r>
      <w:r>
        <w:rPr>
          <w:rStyle w:val="32"/>
          <w:rFonts w:hint="eastAsia" w:ascii="宋体" w:hAnsi="宋体" w:eastAsia="宋体" w:cs="宋体"/>
          <w:color w:val="auto"/>
        </w:rPr>
        <w:t>密封的纸质投标文件</w:t>
      </w:r>
      <w:r>
        <w:rPr>
          <w:rFonts w:hint="eastAsia" w:ascii="宋体" w:hAnsi="宋体" w:eastAsia="宋体" w:cs="宋体"/>
          <w:color w:val="auto"/>
        </w:rPr>
        <w:t>送达招标文件第一章第10条载明的地点，否则</w:t>
      </w:r>
      <w:r>
        <w:rPr>
          <w:rStyle w:val="32"/>
          <w:rFonts w:hint="eastAsia" w:ascii="宋体" w:hAnsi="宋体" w:eastAsia="宋体" w:cs="宋体"/>
          <w:color w:val="auto"/>
        </w:rPr>
        <w:t>投标将被拒绝。</w:t>
      </w:r>
    </w:p>
    <w:p w14:paraId="404A35FE">
      <w:pPr>
        <w:pStyle w:val="27"/>
        <w:widowControl/>
        <w:spacing w:before="75" w:beforeAutospacing="0" w:after="75" w:afterAutospacing="0"/>
        <w:ind w:firstLine="480"/>
        <w:rPr>
          <w:color w:val="auto"/>
        </w:rPr>
      </w:pPr>
      <w:r>
        <w:rPr>
          <w:rFonts w:hint="eastAsia" w:ascii="宋体" w:hAnsi="宋体" w:eastAsia="宋体" w:cs="宋体"/>
          <w:color w:val="auto"/>
        </w:rPr>
        <w:t>10、开标时间及地点：详见招标公告或更正公告（若有），若不一致，以更正公告（若有）为准。</w:t>
      </w:r>
      <w:r>
        <w:rPr>
          <w:rStyle w:val="32"/>
          <w:rFonts w:hint="eastAsia" w:ascii="宋体" w:hAnsi="宋体" w:eastAsia="宋体" w:cs="宋体"/>
          <w:color w:val="auto"/>
        </w:rPr>
        <w:t> </w:t>
      </w:r>
    </w:p>
    <w:p w14:paraId="0933945C">
      <w:pPr>
        <w:pStyle w:val="27"/>
        <w:widowControl/>
        <w:spacing w:before="75" w:beforeAutospacing="0" w:after="75" w:afterAutospacing="0"/>
        <w:ind w:firstLine="480"/>
        <w:rPr>
          <w:color w:val="auto"/>
        </w:rPr>
      </w:pPr>
      <w:r>
        <w:rPr>
          <w:rFonts w:hint="eastAsia" w:ascii="宋体" w:hAnsi="宋体" w:eastAsia="宋体" w:cs="宋体"/>
          <w:color w:val="auto"/>
        </w:rPr>
        <w:t>11、公告期限</w:t>
      </w:r>
    </w:p>
    <w:p w14:paraId="5895EA67">
      <w:pPr>
        <w:pStyle w:val="27"/>
        <w:widowControl/>
        <w:spacing w:before="75" w:beforeAutospacing="0" w:after="75" w:afterAutospacing="0"/>
        <w:ind w:firstLine="480"/>
        <w:rPr>
          <w:color w:val="auto"/>
        </w:rPr>
      </w:pPr>
      <w:r>
        <w:rPr>
          <w:rFonts w:hint="eastAsia" w:ascii="宋体" w:hAnsi="宋体" w:eastAsia="宋体" w:cs="宋体"/>
          <w:color w:val="auto"/>
        </w:rPr>
        <w:t>11.1招标公告的公告期限：自财政部和福建省财政厅指定的政府采购信息发布媒体最先发布公告之日起</w:t>
      </w:r>
      <w:r>
        <w:rPr>
          <w:rFonts w:ascii="Times New Roman" w:hAnsi="Times New Roman"/>
          <w:color w:val="auto"/>
        </w:rPr>
        <w:t>5</w:t>
      </w:r>
      <w:r>
        <w:rPr>
          <w:rFonts w:hint="eastAsia" w:ascii="宋体" w:hAnsi="宋体" w:eastAsia="宋体" w:cs="宋体"/>
          <w:color w:val="auto"/>
        </w:rPr>
        <w:t>个工作日。</w:t>
      </w:r>
    </w:p>
    <w:p w14:paraId="6324AE3D">
      <w:pPr>
        <w:pStyle w:val="27"/>
        <w:widowControl/>
        <w:spacing w:before="75" w:beforeAutospacing="0" w:after="75" w:afterAutospacing="0"/>
        <w:ind w:firstLine="480"/>
        <w:rPr>
          <w:color w:val="auto"/>
        </w:rPr>
      </w:pPr>
      <w:r>
        <w:rPr>
          <w:rFonts w:hint="eastAsia" w:ascii="宋体" w:hAnsi="宋体" w:eastAsia="宋体" w:cs="宋体"/>
          <w:color w:val="auto"/>
        </w:rPr>
        <w:t>11.2招标文件公告期限：招标文件随同招标公告一并发布，其公告期限与本章第</w:t>
      </w:r>
      <w:r>
        <w:rPr>
          <w:rFonts w:ascii="Times New Roman" w:hAnsi="Times New Roman"/>
          <w:color w:val="auto"/>
        </w:rPr>
        <w:t>11.1</w:t>
      </w:r>
      <w:r>
        <w:rPr>
          <w:rFonts w:hint="eastAsia" w:ascii="宋体" w:hAnsi="宋体" w:eastAsia="宋体" w:cs="宋体"/>
          <w:color w:val="auto"/>
        </w:rPr>
        <w:t>条载明的期限保持一致。</w:t>
      </w:r>
    </w:p>
    <w:p w14:paraId="1CB6FBCD">
      <w:pPr>
        <w:pStyle w:val="27"/>
        <w:widowControl/>
        <w:numPr>
          <w:ilvl w:val="0"/>
          <w:numId w:val="2"/>
        </w:numPr>
        <w:spacing w:before="75" w:beforeAutospacing="0" w:after="75" w:afterAutospacing="0"/>
        <w:ind w:firstLine="480"/>
        <w:rPr>
          <w:rFonts w:ascii="宋体" w:hAnsi="宋体" w:eastAsia="宋体" w:cs="宋体"/>
          <w:color w:val="auto"/>
        </w:rPr>
      </w:pPr>
      <w:r>
        <w:rPr>
          <w:rFonts w:hint="eastAsia" w:ascii="宋体" w:hAnsi="宋体" w:eastAsia="宋体" w:cs="宋体"/>
          <w:color w:val="auto"/>
        </w:rPr>
        <w:t>采购人：福州市“智慧福州”管理服务中心</w:t>
      </w:r>
    </w:p>
    <w:p w14:paraId="57A6EE72">
      <w:pPr>
        <w:pStyle w:val="27"/>
        <w:widowControl/>
        <w:spacing w:before="75" w:beforeAutospacing="0" w:after="75" w:afterAutospacing="0"/>
        <w:ind w:left="480"/>
        <w:rPr>
          <w:rFonts w:ascii="宋体" w:hAnsi="宋体" w:eastAsia="宋体" w:cs="宋体"/>
          <w:color w:val="auto"/>
        </w:rPr>
      </w:pPr>
      <w:r>
        <w:rPr>
          <w:rFonts w:hint="eastAsia" w:ascii="宋体" w:hAnsi="宋体" w:eastAsia="宋体" w:cs="宋体"/>
          <w:color w:val="auto"/>
        </w:rPr>
        <w:t>地址：仓山区南江滨西大道199号海峡国际会展中心东侧福州规划馆四层</w:t>
      </w:r>
    </w:p>
    <w:p w14:paraId="6403D11A">
      <w:pPr>
        <w:pStyle w:val="27"/>
        <w:widowControl/>
        <w:spacing w:before="75" w:beforeAutospacing="0" w:after="75" w:afterAutospacing="0"/>
        <w:ind w:firstLine="480"/>
        <w:rPr>
          <w:rFonts w:ascii="宋体" w:hAnsi="宋体" w:eastAsia="宋体" w:cs="宋体"/>
          <w:color w:val="auto"/>
        </w:rPr>
      </w:pPr>
      <w:r>
        <w:rPr>
          <w:rFonts w:hint="eastAsia" w:ascii="宋体" w:hAnsi="宋体" w:eastAsia="宋体" w:cs="宋体"/>
          <w:color w:val="auto"/>
        </w:rPr>
        <w:t>联系方法：0591-38130388</w:t>
      </w:r>
    </w:p>
    <w:p w14:paraId="55A005C0">
      <w:pPr>
        <w:pStyle w:val="27"/>
        <w:widowControl/>
        <w:spacing w:before="75" w:beforeAutospacing="0" w:after="75" w:afterAutospacing="0"/>
        <w:ind w:firstLine="480"/>
        <w:rPr>
          <w:color w:val="auto"/>
        </w:rPr>
      </w:pPr>
      <w:r>
        <w:rPr>
          <w:rFonts w:hint="eastAsia" w:ascii="宋体" w:hAnsi="宋体" w:eastAsia="宋体" w:cs="宋体"/>
          <w:color w:val="auto"/>
        </w:rPr>
        <w:t>13、代理机构：福建省招标中心有限责任公司</w:t>
      </w:r>
    </w:p>
    <w:p w14:paraId="0A1C3828">
      <w:pPr>
        <w:pStyle w:val="27"/>
        <w:widowControl/>
        <w:spacing w:before="75" w:beforeAutospacing="0" w:after="75" w:afterAutospacing="0"/>
        <w:ind w:firstLine="480"/>
        <w:rPr>
          <w:color w:val="auto"/>
        </w:rPr>
      </w:pPr>
      <w:r>
        <w:rPr>
          <w:rFonts w:hint="eastAsia" w:ascii="宋体" w:hAnsi="宋体" w:eastAsia="宋体" w:cs="宋体"/>
          <w:color w:val="auto"/>
        </w:rPr>
        <w:t>地址：福州市鼓楼区洪山园路68号招标大厦C座6层</w:t>
      </w:r>
    </w:p>
    <w:p w14:paraId="69461F65">
      <w:pPr>
        <w:pStyle w:val="27"/>
        <w:widowControl/>
        <w:spacing w:before="75" w:beforeAutospacing="0" w:after="75" w:afterAutospacing="0"/>
        <w:ind w:firstLine="480"/>
        <w:rPr>
          <w:color w:val="auto"/>
        </w:rPr>
      </w:pPr>
      <w:r>
        <w:rPr>
          <w:rFonts w:hint="eastAsia" w:ascii="宋体" w:hAnsi="宋体" w:eastAsia="宋体" w:cs="宋体"/>
          <w:color w:val="auto"/>
        </w:rPr>
        <w:t>联系方法：0591-87554218</w:t>
      </w:r>
    </w:p>
    <w:p w14:paraId="4F47D806">
      <w:pPr>
        <w:pStyle w:val="27"/>
        <w:widowControl/>
        <w:spacing w:before="75" w:beforeAutospacing="0" w:after="75" w:afterAutospacing="0"/>
        <w:rPr>
          <w:color w:val="auto"/>
        </w:rPr>
      </w:pPr>
    </w:p>
    <w:p w14:paraId="7A3AAC6E">
      <w:pPr>
        <w:pStyle w:val="27"/>
        <w:widowControl/>
        <w:spacing w:before="75" w:beforeAutospacing="0" w:after="75" w:afterAutospacing="0"/>
        <w:rPr>
          <w:color w:val="auto"/>
        </w:rPr>
      </w:pPr>
      <w:r>
        <w:rPr>
          <w:color w:val="auto"/>
        </w:rPr>
        <w:br w:type="page"/>
      </w:r>
    </w:p>
    <w:p w14:paraId="36610E63">
      <w:pPr>
        <w:pStyle w:val="27"/>
        <w:widowControl/>
        <w:spacing w:before="75" w:beforeAutospacing="0" w:after="75" w:afterAutospacing="0"/>
        <w:outlineLvl w:val="1"/>
        <w:rPr>
          <w:color w:val="auto"/>
        </w:rPr>
      </w:pPr>
      <w:r>
        <w:rPr>
          <w:rFonts w:hint="eastAsia" w:ascii="宋体" w:hAnsi="宋体" w:eastAsia="宋体" w:cs="宋体"/>
          <w:color w:val="auto"/>
        </w:rPr>
        <w:t>附1：账户信息</w:t>
      </w:r>
    </w:p>
    <w:tbl>
      <w:tblPr>
        <w:tblStyle w:val="30"/>
        <w:tblW w:w="9240" w:type="dxa"/>
        <w:tblCellSpacing w:w="15" w:type="dxa"/>
        <w:tblInd w:w="-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240"/>
      </w:tblGrid>
      <w:tr w14:paraId="5F81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4" w:hRule="atLeast"/>
          <w:tblCellSpacing w:w="15" w:type="dxa"/>
        </w:trPr>
        <w:tc>
          <w:tcPr>
            <w:tcW w:w="9180" w:type="dxa"/>
            <w:shd w:val="clear" w:color="auto" w:fill="auto"/>
            <w:tcMar>
              <w:top w:w="0" w:type="dxa"/>
              <w:left w:w="105" w:type="dxa"/>
              <w:bottom w:w="0" w:type="dxa"/>
              <w:right w:w="105" w:type="dxa"/>
            </w:tcMar>
            <w:vAlign w:val="center"/>
          </w:tcPr>
          <w:p w14:paraId="5EA87D38">
            <w:pPr>
              <w:pStyle w:val="27"/>
              <w:widowControl/>
              <w:spacing w:beforeAutospacing="0" w:afterAutospacing="0"/>
              <w:jc w:val="center"/>
              <w:rPr>
                <w:color w:val="auto"/>
              </w:rPr>
            </w:pPr>
            <w:r>
              <w:rPr>
                <w:rStyle w:val="32"/>
                <w:rFonts w:hint="eastAsia" w:ascii="宋体" w:hAnsi="宋体" w:eastAsia="宋体" w:cs="宋体"/>
                <w:color w:val="auto"/>
              </w:rPr>
              <w:t>投标保证金账户</w:t>
            </w:r>
          </w:p>
        </w:tc>
      </w:tr>
      <w:tr w14:paraId="0248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2" w:hRule="atLeast"/>
          <w:tblCellSpacing w:w="15" w:type="dxa"/>
        </w:trPr>
        <w:tc>
          <w:tcPr>
            <w:tcW w:w="9180" w:type="dxa"/>
            <w:shd w:val="clear" w:color="auto" w:fill="auto"/>
            <w:tcMar>
              <w:top w:w="0" w:type="dxa"/>
              <w:left w:w="105" w:type="dxa"/>
              <w:bottom w:w="0" w:type="dxa"/>
              <w:right w:w="105" w:type="dxa"/>
            </w:tcMar>
          </w:tcPr>
          <w:p w14:paraId="7BCAC355">
            <w:pPr>
              <w:pStyle w:val="27"/>
              <w:widowControl/>
              <w:spacing w:beforeAutospacing="0" w:afterAutospacing="0"/>
              <w:rPr>
                <w:color w:val="auto"/>
              </w:rPr>
            </w:pPr>
            <w:r>
              <w:rPr>
                <w:rFonts w:hint="eastAsia" w:ascii="宋体" w:hAnsi="宋体" w:eastAsia="宋体" w:cs="宋体"/>
                <w:color w:val="auto"/>
              </w:rPr>
              <w:t>开户名称：</w:t>
            </w:r>
            <w:r>
              <w:rPr>
                <w:rFonts w:hint="eastAsia" w:ascii="宋体" w:hAnsi="宋体" w:eastAsia="宋体" w:cs="宋体"/>
                <w:color w:val="auto"/>
                <w:u w:val="single"/>
                <w:shd w:val="clear" w:color="auto" w:fill="FFFFFF"/>
              </w:rPr>
              <w:t>福建省招标中心有限责任公司</w:t>
            </w:r>
          </w:p>
        </w:tc>
      </w:tr>
      <w:tr w14:paraId="24E9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0" w:hRule="atLeast"/>
          <w:tblCellSpacing w:w="15" w:type="dxa"/>
        </w:trPr>
        <w:tc>
          <w:tcPr>
            <w:tcW w:w="9180" w:type="dxa"/>
            <w:shd w:val="clear" w:color="auto" w:fill="auto"/>
            <w:tcMar>
              <w:top w:w="0" w:type="dxa"/>
              <w:left w:w="105" w:type="dxa"/>
              <w:bottom w:w="0" w:type="dxa"/>
              <w:right w:w="105" w:type="dxa"/>
            </w:tcMar>
          </w:tcPr>
          <w:p w14:paraId="28FB31BA">
            <w:pPr>
              <w:pStyle w:val="27"/>
              <w:widowControl/>
              <w:spacing w:beforeAutospacing="0" w:afterAutospacing="0"/>
              <w:rPr>
                <w:color w:val="auto"/>
              </w:rPr>
            </w:pPr>
            <w:r>
              <w:rPr>
                <w:rFonts w:hint="eastAsia" w:ascii="宋体" w:hAnsi="宋体" w:eastAsia="宋体" w:cs="宋体"/>
                <w:color w:val="auto"/>
              </w:rPr>
              <w:t>开户银行：供应商在福建省政府采购网上公开信息系统报名后，根据其提示自行选择要缴交的投标保证金托管银行。</w:t>
            </w:r>
          </w:p>
        </w:tc>
      </w:tr>
      <w:tr w14:paraId="7A18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24" w:hRule="atLeast"/>
          <w:tblCellSpacing w:w="15" w:type="dxa"/>
        </w:trPr>
        <w:tc>
          <w:tcPr>
            <w:tcW w:w="9180" w:type="dxa"/>
            <w:shd w:val="clear" w:color="auto" w:fill="auto"/>
            <w:tcMar>
              <w:top w:w="0" w:type="dxa"/>
              <w:left w:w="105" w:type="dxa"/>
              <w:bottom w:w="0" w:type="dxa"/>
              <w:right w:w="105" w:type="dxa"/>
            </w:tcMar>
          </w:tcPr>
          <w:p w14:paraId="1158FF7C">
            <w:pPr>
              <w:pStyle w:val="27"/>
              <w:widowControl/>
              <w:spacing w:beforeAutospacing="0" w:afterAutospacing="0"/>
              <w:rPr>
                <w:color w:val="auto"/>
              </w:rPr>
            </w:pPr>
            <w:r>
              <w:rPr>
                <w:rFonts w:hint="eastAsia" w:ascii="宋体" w:hAnsi="宋体" w:eastAsia="宋体" w:cs="宋体"/>
                <w:color w:val="auto"/>
              </w:rPr>
              <w:t>银行账号：福建省政府采购网上公开信息系统根据供应商选择的投标保证金托管银行，以合同包为单位，自动生成供应商所投合同包的缴交银行账号（即多个合同包将对应生成多个缴交账号）。供应商应按照所投合同包的投标保证金要求，缴交相应的投标保证金。</w:t>
            </w:r>
          </w:p>
        </w:tc>
      </w:tr>
      <w:tr w14:paraId="283D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2" w:hRule="atLeast"/>
          <w:tblCellSpacing w:w="15" w:type="dxa"/>
        </w:trPr>
        <w:tc>
          <w:tcPr>
            <w:tcW w:w="9180" w:type="dxa"/>
            <w:shd w:val="clear" w:color="auto" w:fill="auto"/>
            <w:tcMar>
              <w:top w:w="0" w:type="dxa"/>
              <w:left w:w="105" w:type="dxa"/>
              <w:bottom w:w="0" w:type="dxa"/>
              <w:right w:w="105" w:type="dxa"/>
            </w:tcMar>
            <w:vAlign w:val="center"/>
          </w:tcPr>
          <w:p w14:paraId="33325624">
            <w:pPr>
              <w:pStyle w:val="27"/>
              <w:widowControl/>
              <w:spacing w:beforeAutospacing="0" w:afterAutospacing="0"/>
              <w:jc w:val="center"/>
              <w:rPr>
                <w:color w:val="auto"/>
              </w:rPr>
            </w:pPr>
            <w:r>
              <w:rPr>
                <w:rStyle w:val="32"/>
                <w:rFonts w:hint="eastAsia" w:ascii="宋体" w:hAnsi="宋体" w:eastAsia="宋体" w:cs="宋体"/>
                <w:color w:val="auto"/>
              </w:rPr>
              <w:t>特别提示</w:t>
            </w:r>
          </w:p>
        </w:tc>
      </w:tr>
      <w:tr w14:paraId="2A5D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86" w:hRule="atLeast"/>
          <w:tblCellSpacing w:w="15" w:type="dxa"/>
        </w:trPr>
        <w:tc>
          <w:tcPr>
            <w:tcW w:w="9180" w:type="dxa"/>
            <w:shd w:val="clear" w:color="auto" w:fill="auto"/>
            <w:tcMar>
              <w:top w:w="0" w:type="dxa"/>
              <w:left w:w="105" w:type="dxa"/>
              <w:bottom w:w="0" w:type="dxa"/>
              <w:right w:w="105" w:type="dxa"/>
            </w:tcMar>
          </w:tcPr>
          <w:p w14:paraId="79A87A1E">
            <w:pPr>
              <w:pStyle w:val="27"/>
              <w:widowControl/>
              <w:spacing w:beforeAutospacing="0" w:afterAutospacing="0"/>
              <w:rPr>
                <w:color w:val="auto"/>
              </w:rPr>
            </w:pPr>
            <w:r>
              <w:rPr>
                <w:rFonts w:hint="eastAsia" w:ascii="宋体" w:hAnsi="宋体" w:eastAsia="宋体" w:cs="宋体"/>
                <w:color w:val="auto"/>
              </w:rPr>
              <w:t>1、投标人应认真核对账户信息，将投标保证金汇入以上账户，并自行承担因汇错投标保证金而产生的一切后果。</w:t>
            </w:r>
          </w:p>
          <w:p w14:paraId="769CD3AD">
            <w:pPr>
              <w:pStyle w:val="27"/>
              <w:widowControl/>
              <w:spacing w:beforeAutospacing="0" w:afterAutospacing="0"/>
              <w:rPr>
                <w:color w:val="auto"/>
              </w:rPr>
            </w:pPr>
            <w:r>
              <w:rPr>
                <w:rFonts w:hint="eastAsia" w:ascii="宋体" w:hAnsi="宋体" w:eastAsia="宋体" w:cs="宋体"/>
                <w:color w:val="auto"/>
              </w:rPr>
              <w:t>2、投标人在转账或电汇的凭证上应按照以下格式注明，以便核对：“（招标编号：</w:t>
            </w:r>
            <w:r>
              <w:rPr>
                <w:rFonts w:ascii="Times New Roman" w:hAnsi="Times New Roman"/>
                <w:color w:val="auto"/>
              </w:rPr>
              <w:t>***</w:t>
            </w:r>
            <w:r>
              <w:rPr>
                <w:rFonts w:hint="eastAsia" w:ascii="宋体" w:hAnsi="宋体" w:eastAsia="宋体" w:cs="宋体"/>
                <w:color w:val="auto"/>
              </w:rPr>
              <w:t>、合同包：</w:t>
            </w:r>
            <w:r>
              <w:rPr>
                <w:rFonts w:ascii="Times New Roman" w:hAnsi="Times New Roman"/>
                <w:color w:val="auto"/>
              </w:rPr>
              <w:t>***</w:t>
            </w:r>
            <w:r>
              <w:rPr>
                <w:rFonts w:hint="eastAsia" w:ascii="宋体" w:hAnsi="宋体" w:eastAsia="宋体" w:cs="宋体"/>
                <w:color w:val="auto"/>
              </w:rPr>
              <w:t>）的投标保证金”。</w:t>
            </w:r>
          </w:p>
        </w:tc>
      </w:tr>
    </w:tbl>
    <w:p w14:paraId="7C617DF1">
      <w:pPr>
        <w:pStyle w:val="27"/>
        <w:widowControl/>
        <w:spacing w:before="75" w:beforeAutospacing="0" w:after="75" w:afterAutospacing="0"/>
        <w:rPr>
          <w:color w:val="auto"/>
        </w:rPr>
      </w:pPr>
    </w:p>
    <w:p w14:paraId="7A4A489C">
      <w:pPr>
        <w:pStyle w:val="27"/>
        <w:widowControl/>
        <w:spacing w:before="75" w:beforeAutospacing="0" w:after="75" w:afterAutospacing="0"/>
        <w:outlineLvl w:val="1"/>
        <w:rPr>
          <w:color w:val="auto"/>
        </w:rPr>
      </w:pPr>
      <w:r>
        <w:rPr>
          <w:rFonts w:hint="eastAsia" w:ascii="宋体" w:hAnsi="宋体" w:eastAsia="宋体" w:cs="宋体"/>
          <w:color w:val="auto"/>
        </w:rPr>
        <w:t>附</w:t>
      </w:r>
      <w:r>
        <w:rPr>
          <w:color w:val="auto"/>
        </w:rPr>
        <w:t>2</w:t>
      </w:r>
      <w:r>
        <w:rPr>
          <w:rFonts w:hint="eastAsia" w:ascii="宋体" w:hAnsi="宋体" w:eastAsia="宋体" w:cs="宋体"/>
          <w:color w:val="auto"/>
        </w:rPr>
        <w:t>：采购标的一览表</w:t>
      </w:r>
    </w:p>
    <w:p w14:paraId="02DEEEE1">
      <w:pPr>
        <w:pStyle w:val="27"/>
        <w:widowControl/>
        <w:spacing w:before="75" w:beforeAutospacing="0" w:after="75" w:afterAutospacing="0"/>
        <w:jc w:val="right"/>
        <w:rPr>
          <w:color w:val="auto"/>
        </w:rPr>
      </w:pPr>
      <w:r>
        <w:rPr>
          <w:color w:val="auto"/>
        </w:rPr>
        <w:t> </w:t>
      </w:r>
      <w:r>
        <w:rPr>
          <w:rFonts w:hint="eastAsia" w:ascii="宋体" w:hAnsi="宋体" w:eastAsia="宋体" w:cs="宋体"/>
          <w:color w:val="auto"/>
        </w:rPr>
        <w:t>金额单位：人民币元</w:t>
      </w:r>
    </w:p>
    <w:tbl>
      <w:tblPr>
        <w:tblStyle w:val="30"/>
        <w:tblW w:w="854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17"/>
        <w:gridCol w:w="887"/>
        <w:gridCol w:w="2188"/>
        <w:gridCol w:w="945"/>
        <w:gridCol w:w="848"/>
        <w:gridCol w:w="959"/>
        <w:gridCol w:w="949"/>
        <w:gridCol w:w="949"/>
      </w:tblGrid>
      <w:tr w14:paraId="2A8A33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817" w:type="dxa"/>
            <w:tcBorders>
              <w:top w:val="outset" w:color="auto" w:sz="6" w:space="0"/>
              <w:left w:val="outset" w:color="auto" w:sz="6" w:space="0"/>
              <w:bottom w:val="outset" w:color="auto" w:sz="6" w:space="0"/>
              <w:right w:val="outset" w:color="auto" w:sz="6" w:space="0"/>
            </w:tcBorders>
            <w:shd w:val="clear" w:color="auto" w:fill="auto"/>
            <w:vAlign w:val="center"/>
          </w:tcPr>
          <w:p w14:paraId="341394E0">
            <w:pPr>
              <w:widowControl/>
              <w:jc w:val="center"/>
              <w:rPr>
                <w:rFonts w:ascii="宋体" w:hAnsi="宋体" w:eastAsia="宋体" w:cs="宋体"/>
                <w:color w:val="auto"/>
                <w:szCs w:val="21"/>
              </w:rPr>
            </w:pPr>
            <w:r>
              <w:rPr>
                <w:rFonts w:hint="eastAsia" w:ascii="宋体" w:hAnsi="宋体" w:eastAsia="宋体" w:cs="宋体"/>
                <w:color w:val="auto"/>
                <w:kern w:val="0"/>
                <w:szCs w:val="21"/>
                <w:lang w:bidi="ar"/>
              </w:rPr>
              <w:t>合同包</w:t>
            </w:r>
          </w:p>
        </w:tc>
        <w:tc>
          <w:tcPr>
            <w:tcW w:w="887" w:type="dxa"/>
            <w:tcBorders>
              <w:top w:val="outset" w:color="auto" w:sz="6" w:space="0"/>
              <w:left w:val="outset" w:color="auto" w:sz="6" w:space="0"/>
              <w:bottom w:val="outset" w:color="auto" w:sz="6" w:space="0"/>
              <w:right w:val="single" w:color="auto" w:sz="4" w:space="0"/>
            </w:tcBorders>
            <w:shd w:val="clear" w:color="auto" w:fill="auto"/>
            <w:vAlign w:val="center"/>
          </w:tcPr>
          <w:p w14:paraId="79B3CD86">
            <w:pPr>
              <w:widowControl/>
              <w:jc w:val="center"/>
              <w:rPr>
                <w:rFonts w:ascii="宋体" w:hAnsi="宋体" w:eastAsia="宋体" w:cs="宋体"/>
                <w:color w:val="auto"/>
                <w:szCs w:val="21"/>
              </w:rPr>
            </w:pPr>
            <w:r>
              <w:rPr>
                <w:rFonts w:hint="eastAsia" w:ascii="宋体" w:hAnsi="宋体" w:eastAsia="宋体" w:cs="宋体"/>
                <w:color w:val="auto"/>
                <w:kern w:val="0"/>
                <w:szCs w:val="21"/>
                <w:lang w:bidi="ar"/>
              </w:rPr>
              <w:t>品目号</w:t>
            </w:r>
          </w:p>
        </w:tc>
        <w:tc>
          <w:tcPr>
            <w:tcW w:w="2188" w:type="dxa"/>
            <w:tcBorders>
              <w:top w:val="outset" w:color="auto" w:sz="6" w:space="0"/>
              <w:left w:val="single" w:color="auto" w:sz="4" w:space="0"/>
              <w:bottom w:val="outset" w:color="auto" w:sz="6" w:space="0"/>
              <w:right w:val="single" w:color="auto" w:sz="4" w:space="0"/>
            </w:tcBorders>
            <w:shd w:val="clear" w:color="auto" w:fill="auto"/>
            <w:vAlign w:val="center"/>
          </w:tcPr>
          <w:p w14:paraId="4046962C">
            <w:pPr>
              <w:widowControl/>
              <w:jc w:val="center"/>
              <w:rPr>
                <w:rFonts w:ascii="宋体" w:hAnsi="宋体" w:eastAsia="宋体" w:cs="宋体"/>
                <w:color w:val="auto"/>
                <w:szCs w:val="21"/>
              </w:rPr>
            </w:pPr>
            <w:r>
              <w:rPr>
                <w:rFonts w:hint="eastAsia" w:ascii="宋体" w:hAnsi="宋体" w:eastAsia="宋体" w:cs="宋体"/>
                <w:color w:val="auto"/>
                <w:kern w:val="0"/>
                <w:szCs w:val="21"/>
                <w:lang w:bidi="ar"/>
              </w:rPr>
              <w:t>采购标的</w:t>
            </w:r>
          </w:p>
        </w:tc>
        <w:tc>
          <w:tcPr>
            <w:tcW w:w="945" w:type="dxa"/>
            <w:tcBorders>
              <w:top w:val="outset" w:color="auto" w:sz="6" w:space="0"/>
              <w:left w:val="single" w:color="auto" w:sz="4" w:space="0"/>
              <w:bottom w:val="outset" w:color="auto" w:sz="6" w:space="0"/>
              <w:right w:val="single" w:color="auto" w:sz="4" w:space="0"/>
            </w:tcBorders>
            <w:shd w:val="clear" w:color="auto" w:fill="auto"/>
            <w:vAlign w:val="center"/>
          </w:tcPr>
          <w:p w14:paraId="18CFE984">
            <w:pPr>
              <w:widowControl/>
              <w:jc w:val="center"/>
              <w:rPr>
                <w:rFonts w:ascii="宋体" w:hAnsi="宋体" w:eastAsia="宋体" w:cs="宋体"/>
                <w:color w:val="auto"/>
                <w:szCs w:val="21"/>
              </w:rPr>
            </w:pPr>
            <w:r>
              <w:rPr>
                <w:rFonts w:hint="eastAsia" w:ascii="宋体" w:hAnsi="宋体" w:eastAsia="宋体" w:cs="宋体"/>
                <w:color w:val="auto"/>
                <w:kern w:val="0"/>
                <w:szCs w:val="21"/>
                <w:lang w:bidi="ar"/>
              </w:rPr>
              <w:t>允许进口</w:t>
            </w:r>
          </w:p>
        </w:tc>
        <w:tc>
          <w:tcPr>
            <w:tcW w:w="848" w:type="dxa"/>
            <w:tcBorders>
              <w:top w:val="outset" w:color="auto" w:sz="6" w:space="0"/>
              <w:left w:val="single" w:color="auto" w:sz="4" w:space="0"/>
              <w:bottom w:val="outset" w:color="auto" w:sz="6" w:space="0"/>
              <w:right w:val="single" w:color="auto" w:sz="4" w:space="0"/>
            </w:tcBorders>
            <w:shd w:val="clear" w:color="auto" w:fill="auto"/>
            <w:vAlign w:val="center"/>
          </w:tcPr>
          <w:p w14:paraId="71251AF0">
            <w:pPr>
              <w:widowControl/>
              <w:jc w:val="center"/>
              <w:rPr>
                <w:rFonts w:ascii="宋体" w:hAnsi="宋体" w:eastAsia="宋体" w:cs="宋体"/>
                <w:color w:val="auto"/>
                <w:szCs w:val="21"/>
              </w:rPr>
            </w:pPr>
            <w:r>
              <w:rPr>
                <w:rFonts w:hint="eastAsia" w:ascii="宋体" w:hAnsi="宋体" w:eastAsia="宋体" w:cs="宋体"/>
                <w:color w:val="auto"/>
                <w:kern w:val="0"/>
                <w:szCs w:val="21"/>
                <w:lang w:bidi="ar"/>
              </w:rPr>
              <w:t>数量</w:t>
            </w:r>
          </w:p>
        </w:tc>
        <w:tc>
          <w:tcPr>
            <w:tcW w:w="959" w:type="dxa"/>
            <w:tcBorders>
              <w:top w:val="outset" w:color="auto" w:sz="6" w:space="0"/>
              <w:left w:val="single" w:color="auto" w:sz="4" w:space="0"/>
              <w:bottom w:val="outset" w:color="auto" w:sz="6" w:space="0"/>
              <w:right w:val="outset" w:color="auto" w:sz="6" w:space="0"/>
            </w:tcBorders>
            <w:shd w:val="clear" w:color="auto" w:fill="auto"/>
            <w:vAlign w:val="center"/>
          </w:tcPr>
          <w:p w14:paraId="73442099">
            <w:pPr>
              <w:widowControl/>
              <w:jc w:val="center"/>
              <w:rPr>
                <w:rFonts w:ascii="宋体" w:hAnsi="宋体" w:eastAsia="宋体" w:cs="宋体"/>
                <w:color w:val="auto"/>
                <w:szCs w:val="21"/>
              </w:rPr>
            </w:pPr>
            <w:r>
              <w:rPr>
                <w:rFonts w:hint="eastAsia" w:ascii="宋体" w:hAnsi="宋体" w:eastAsia="宋体" w:cs="宋体"/>
                <w:color w:val="auto"/>
                <w:kern w:val="0"/>
                <w:szCs w:val="21"/>
                <w:lang w:bidi="ar"/>
              </w:rPr>
              <w:t>品目号预算</w:t>
            </w:r>
          </w:p>
        </w:tc>
        <w:tc>
          <w:tcPr>
            <w:tcW w:w="949" w:type="dxa"/>
            <w:tcBorders>
              <w:top w:val="outset" w:color="auto" w:sz="6" w:space="0"/>
              <w:left w:val="outset" w:color="auto" w:sz="6" w:space="0"/>
              <w:bottom w:val="outset" w:color="auto" w:sz="6" w:space="0"/>
              <w:right w:val="outset" w:color="auto" w:sz="6" w:space="0"/>
            </w:tcBorders>
            <w:shd w:val="clear" w:color="auto" w:fill="auto"/>
            <w:vAlign w:val="center"/>
          </w:tcPr>
          <w:p w14:paraId="20337AF4">
            <w:pPr>
              <w:widowControl/>
              <w:jc w:val="center"/>
              <w:rPr>
                <w:rFonts w:ascii="宋体" w:hAnsi="宋体" w:eastAsia="宋体" w:cs="宋体"/>
                <w:color w:val="auto"/>
                <w:szCs w:val="21"/>
              </w:rPr>
            </w:pPr>
            <w:r>
              <w:rPr>
                <w:rFonts w:hint="eastAsia" w:ascii="宋体" w:hAnsi="宋体" w:eastAsia="宋体" w:cs="宋体"/>
                <w:color w:val="auto"/>
                <w:kern w:val="0"/>
                <w:szCs w:val="21"/>
                <w:lang w:bidi="ar"/>
              </w:rPr>
              <w:t>合同包预算</w:t>
            </w:r>
          </w:p>
        </w:tc>
        <w:tc>
          <w:tcPr>
            <w:tcW w:w="949" w:type="dxa"/>
            <w:tcBorders>
              <w:top w:val="outset" w:color="auto" w:sz="6" w:space="0"/>
              <w:left w:val="outset" w:color="auto" w:sz="6" w:space="0"/>
              <w:bottom w:val="outset" w:color="auto" w:sz="6" w:space="0"/>
              <w:right w:val="outset" w:color="auto" w:sz="6" w:space="0"/>
            </w:tcBorders>
            <w:shd w:val="clear" w:color="auto" w:fill="auto"/>
            <w:vAlign w:val="center"/>
          </w:tcPr>
          <w:p w14:paraId="3D51A64F">
            <w:pPr>
              <w:widowControl/>
              <w:jc w:val="center"/>
              <w:rPr>
                <w:rFonts w:ascii="宋体" w:hAnsi="宋体" w:eastAsia="宋体" w:cs="宋体"/>
                <w:color w:val="auto"/>
                <w:szCs w:val="21"/>
              </w:rPr>
            </w:pPr>
            <w:r>
              <w:rPr>
                <w:rFonts w:hint="eastAsia" w:ascii="宋体" w:hAnsi="宋体" w:eastAsia="宋体" w:cs="宋体"/>
                <w:color w:val="auto"/>
                <w:kern w:val="0"/>
                <w:szCs w:val="21"/>
                <w:lang w:bidi="ar"/>
              </w:rPr>
              <w:t>投标保证金</w:t>
            </w:r>
          </w:p>
        </w:tc>
      </w:tr>
      <w:tr w14:paraId="359856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817" w:type="dxa"/>
            <w:tcBorders>
              <w:top w:val="outset" w:color="auto" w:sz="6" w:space="0"/>
              <w:left w:val="outset" w:color="auto" w:sz="6" w:space="0"/>
              <w:bottom w:val="outset" w:color="auto" w:sz="6" w:space="0"/>
              <w:right w:val="outset" w:color="auto" w:sz="6" w:space="0"/>
            </w:tcBorders>
            <w:shd w:val="clear" w:color="auto" w:fill="auto"/>
            <w:vAlign w:val="center"/>
          </w:tcPr>
          <w:p w14:paraId="12CFDEA4">
            <w:pPr>
              <w:widowControl/>
              <w:jc w:val="center"/>
              <w:rPr>
                <w:rFonts w:ascii="宋体" w:hAnsi="宋体" w:eastAsia="宋体" w:cs="宋体"/>
                <w:color w:val="auto"/>
                <w:szCs w:val="21"/>
              </w:rPr>
            </w:pPr>
            <w:r>
              <w:rPr>
                <w:rFonts w:hint="eastAsia" w:ascii="宋体" w:hAnsi="宋体" w:eastAsia="宋体" w:cs="宋体"/>
                <w:color w:val="auto"/>
                <w:kern w:val="0"/>
                <w:szCs w:val="21"/>
                <w:lang w:bidi="ar"/>
              </w:rPr>
              <w:t>1</w:t>
            </w:r>
          </w:p>
        </w:tc>
        <w:tc>
          <w:tcPr>
            <w:tcW w:w="887" w:type="dxa"/>
            <w:tcBorders>
              <w:top w:val="outset" w:color="auto" w:sz="6" w:space="0"/>
              <w:left w:val="outset" w:color="auto" w:sz="6" w:space="0"/>
              <w:bottom w:val="outset" w:color="auto" w:sz="6" w:space="0"/>
              <w:right w:val="single" w:color="auto" w:sz="4" w:space="0"/>
            </w:tcBorders>
            <w:shd w:val="clear" w:color="auto" w:fill="auto"/>
            <w:vAlign w:val="center"/>
          </w:tcPr>
          <w:p w14:paraId="1C4904D0">
            <w:pPr>
              <w:jc w:val="center"/>
              <w:rPr>
                <w:rFonts w:ascii="宋体" w:hAnsi="宋体" w:eastAsia="宋体" w:cs="宋体"/>
                <w:color w:val="auto"/>
                <w:szCs w:val="21"/>
              </w:rPr>
            </w:pPr>
            <w:r>
              <w:rPr>
                <w:rFonts w:hint="eastAsia" w:ascii="宋体" w:hAnsi="宋体" w:eastAsia="宋体" w:cs="宋体"/>
                <w:color w:val="auto"/>
                <w:kern w:val="0"/>
                <w:szCs w:val="21"/>
                <w:lang w:bidi="ar"/>
              </w:rPr>
              <w:t>1-1</w:t>
            </w:r>
          </w:p>
        </w:tc>
        <w:tc>
          <w:tcPr>
            <w:tcW w:w="2188" w:type="dxa"/>
            <w:tcBorders>
              <w:top w:val="outset" w:color="auto" w:sz="6" w:space="0"/>
              <w:left w:val="single" w:color="auto" w:sz="4" w:space="0"/>
              <w:bottom w:val="outset" w:color="auto" w:sz="6" w:space="0"/>
              <w:right w:val="single" w:color="auto" w:sz="4" w:space="0"/>
            </w:tcBorders>
            <w:shd w:val="clear" w:color="auto" w:fill="auto"/>
            <w:vAlign w:val="center"/>
          </w:tcPr>
          <w:p w14:paraId="76D80416">
            <w:pPr>
              <w:rPr>
                <w:rFonts w:ascii="宋体" w:hAnsi="宋体" w:eastAsia="宋体" w:cs="宋体"/>
                <w:color w:val="auto"/>
                <w:szCs w:val="21"/>
              </w:rPr>
            </w:pPr>
            <w:r>
              <w:rPr>
                <w:rFonts w:hint="eastAsia" w:ascii="宋体" w:hAnsi="宋体" w:eastAsia="宋体" w:cs="宋体"/>
                <w:color w:val="auto"/>
                <w:szCs w:val="21"/>
              </w:rPr>
              <w:t>福州市城市综合管理服务平台技术支撑包</w:t>
            </w:r>
            <w:r>
              <w:rPr>
                <w:rFonts w:hint="eastAsia" w:ascii="宋体" w:hAnsi="宋体" w:eastAsia="宋体" w:cs="宋体"/>
                <w:color w:val="auto"/>
                <w:szCs w:val="21"/>
              </w:rPr>
              <w:tab/>
            </w:r>
          </w:p>
        </w:tc>
        <w:tc>
          <w:tcPr>
            <w:tcW w:w="945" w:type="dxa"/>
            <w:tcBorders>
              <w:top w:val="outset" w:color="auto" w:sz="6" w:space="0"/>
              <w:left w:val="single" w:color="auto" w:sz="4" w:space="0"/>
              <w:bottom w:val="outset" w:color="auto" w:sz="6" w:space="0"/>
              <w:right w:val="single" w:color="auto" w:sz="4" w:space="0"/>
            </w:tcBorders>
            <w:shd w:val="clear" w:color="auto" w:fill="auto"/>
            <w:vAlign w:val="center"/>
          </w:tcPr>
          <w:p w14:paraId="7F443C10">
            <w:pPr>
              <w:jc w:val="center"/>
              <w:rPr>
                <w:rFonts w:ascii="宋体" w:hAnsi="宋体" w:eastAsia="宋体" w:cs="宋体"/>
                <w:color w:val="auto"/>
                <w:szCs w:val="21"/>
              </w:rPr>
            </w:pPr>
            <w:r>
              <w:rPr>
                <w:rFonts w:hint="eastAsia" w:ascii="宋体" w:hAnsi="宋体" w:eastAsia="宋体" w:cs="宋体"/>
                <w:color w:val="auto"/>
                <w:szCs w:val="21"/>
              </w:rPr>
              <w:t>否</w:t>
            </w:r>
          </w:p>
        </w:tc>
        <w:tc>
          <w:tcPr>
            <w:tcW w:w="848" w:type="dxa"/>
            <w:tcBorders>
              <w:top w:val="outset" w:color="auto" w:sz="6" w:space="0"/>
              <w:left w:val="single" w:color="auto" w:sz="4" w:space="0"/>
              <w:bottom w:val="outset" w:color="auto" w:sz="6" w:space="0"/>
              <w:right w:val="single" w:color="auto" w:sz="4" w:space="0"/>
            </w:tcBorders>
            <w:shd w:val="clear" w:color="auto" w:fill="auto"/>
            <w:vAlign w:val="center"/>
          </w:tcPr>
          <w:p w14:paraId="08542DF3">
            <w:pPr>
              <w:jc w:val="center"/>
              <w:rPr>
                <w:rFonts w:ascii="宋体" w:hAnsi="宋体" w:eastAsia="宋体" w:cs="宋体"/>
                <w:color w:val="auto"/>
                <w:szCs w:val="21"/>
              </w:rPr>
            </w:pPr>
            <w:r>
              <w:rPr>
                <w:rFonts w:hint="eastAsia" w:ascii="宋体" w:hAnsi="宋体" w:eastAsia="宋体" w:cs="宋体"/>
                <w:color w:val="auto"/>
                <w:szCs w:val="21"/>
              </w:rPr>
              <w:t>1(个)</w:t>
            </w:r>
          </w:p>
        </w:tc>
        <w:tc>
          <w:tcPr>
            <w:tcW w:w="959" w:type="dxa"/>
            <w:tcBorders>
              <w:top w:val="outset" w:color="auto" w:sz="6" w:space="0"/>
              <w:left w:val="single" w:color="auto" w:sz="4" w:space="0"/>
              <w:bottom w:val="outset" w:color="auto" w:sz="6" w:space="0"/>
              <w:right w:val="outset" w:color="auto" w:sz="6" w:space="0"/>
            </w:tcBorders>
            <w:shd w:val="clear" w:color="auto" w:fill="auto"/>
            <w:vAlign w:val="center"/>
          </w:tcPr>
          <w:p w14:paraId="60DEDF7F">
            <w:pPr>
              <w:jc w:val="center"/>
              <w:rPr>
                <w:rFonts w:ascii="宋体" w:hAnsi="宋体" w:eastAsia="宋体" w:cs="宋体"/>
                <w:color w:val="auto"/>
                <w:szCs w:val="21"/>
              </w:rPr>
            </w:pPr>
            <w:r>
              <w:rPr>
                <w:rFonts w:hint="eastAsia" w:ascii="宋体" w:hAnsi="宋体" w:eastAsia="宋体" w:cs="宋体"/>
                <w:color w:val="auto"/>
                <w:szCs w:val="21"/>
              </w:rPr>
              <w:t>5083800</w:t>
            </w:r>
          </w:p>
        </w:tc>
        <w:tc>
          <w:tcPr>
            <w:tcW w:w="949" w:type="dxa"/>
            <w:tcBorders>
              <w:top w:val="outset" w:color="auto" w:sz="6" w:space="0"/>
              <w:left w:val="outset" w:color="auto" w:sz="6" w:space="0"/>
              <w:bottom w:val="outset" w:color="auto" w:sz="6" w:space="0"/>
              <w:right w:val="outset" w:color="auto" w:sz="6" w:space="0"/>
            </w:tcBorders>
            <w:shd w:val="clear" w:color="auto" w:fill="auto"/>
            <w:vAlign w:val="center"/>
          </w:tcPr>
          <w:p w14:paraId="6CB91BB6">
            <w:pPr>
              <w:jc w:val="center"/>
              <w:rPr>
                <w:rFonts w:ascii="宋体" w:hAnsi="宋体" w:eastAsia="宋体" w:cs="宋体"/>
                <w:color w:val="auto"/>
                <w:szCs w:val="21"/>
              </w:rPr>
            </w:pPr>
            <w:r>
              <w:rPr>
                <w:rFonts w:hint="eastAsia" w:ascii="宋体" w:hAnsi="宋体" w:eastAsia="宋体" w:cs="宋体"/>
                <w:color w:val="auto"/>
                <w:szCs w:val="21"/>
              </w:rPr>
              <w:t>5083800</w:t>
            </w:r>
          </w:p>
        </w:tc>
        <w:tc>
          <w:tcPr>
            <w:tcW w:w="949" w:type="dxa"/>
            <w:tcBorders>
              <w:top w:val="outset" w:color="auto" w:sz="6" w:space="0"/>
              <w:left w:val="outset" w:color="auto" w:sz="6" w:space="0"/>
              <w:bottom w:val="outset" w:color="auto" w:sz="6" w:space="0"/>
              <w:right w:val="outset" w:color="auto" w:sz="6" w:space="0"/>
            </w:tcBorders>
            <w:shd w:val="clear" w:color="auto" w:fill="auto"/>
            <w:vAlign w:val="center"/>
          </w:tcPr>
          <w:p w14:paraId="6A3C2D68">
            <w:pPr>
              <w:widowControl/>
              <w:jc w:val="center"/>
              <w:textAlignment w:val="center"/>
              <w:rPr>
                <w:rFonts w:ascii="宋体" w:hAnsi="宋体" w:eastAsia="宋体" w:cs="宋体"/>
                <w:color w:val="auto"/>
                <w:szCs w:val="21"/>
              </w:rPr>
            </w:pPr>
            <w:r>
              <w:rPr>
                <w:rFonts w:hint="eastAsia" w:ascii="宋体" w:hAnsi="宋体" w:eastAsia="宋体" w:cs="宋体"/>
                <w:color w:val="auto"/>
                <w:szCs w:val="21"/>
              </w:rPr>
              <w:t>101000</w:t>
            </w:r>
          </w:p>
        </w:tc>
      </w:tr>
      <w:tr w14:paraId="725143D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817" w:type="dxa"/>
            <w:tcBorders>
              <w:top w:val="outset" w:color="auto" w:sz="6" w:space="0"/>
              <w:left w:val="outset" w:color="auto" w:sz="6" w:space="0"/>
              <w:bottom w:val="outset" w:color="auto" w:sz="6" w:space="0"/>
              <w:right w:val="outset" w:color="auto" w:sz="6" w:space="0"/>
            </w:tcBorders>
            <w:shd w:val="clear" w:color="auto" w:fill="auto"/>
            <w:vAlign w:val="center"/>
          </w:tcPr>
          <w:p w14:paraId="133A6122">
            <w:pPr>
              <w:widowControl/>
              <w:jc w:val="center"/>
              <w:rPr>
                <w:rFonts w:ascii="宋体" w:hAnsi="宋体" w:eastAsia="宋体" w:cs="宋体"/>
                <w:color w:val="auto"/>
                <w:szCs w:val="21"/>
              </w:rPr>
            </w:pPr>
            <w:r>
              <w:rPr>
                <w:rFonts w:hint="eastAsia" w:ascii="宋体" w:hAnsi="宋体" w:eastAsia="宋体" w:cs="宋体"/>
                <w:color w:val="auto"/>
                <w:kern w:val="0"/>
                <w:szCs w:val="21"/>
                <w:lang w:bidi="ar"/>
              </w:rPr>
              <w:t>2</w:t>
            </w:r>
          </w:p>
        </w:tc>
        <w:tc>
          <w:tcPr>
            <w:tcW w:w="887" w:type="dxa"/>
            <w:tcBorders>
              <w:top w:val="outset" w:color="auto" w:sz="6" w:space="0"/>
              <w:left w:val="outset" w:color="auto" w:sz="6" w:space="0"/>
              <w:bottom w:val="outset" w:color="auto" w:sz="6" w:space="0"/>
              <w:right w:val="single" w:color="auto" w:sz="4" w:space="0"/>
            </w:tcBorders>
            <w:shd w:val="clear" w:color="auto" w:fill="auto"/>
            <w:vAlign w:val="center"/>
          </w:tcPr>
          <w:p w14:paraId="731B9D7A">
            <w:pPr>
              <w:jc w:val="center"/>
              <w:rPr>
                <w:rFonts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kern w:val="0"/>
                <w:szCs w:val="21"/>
                <w:lang w:bidi="ar"/>
              </w:rPr>
              <w:t>-1</w:t>
            </w:r>
          </w:p>
        </w:tc>
        <w:tc>
          <w:tcPr>
            <w:tcW w:w="2188" w:type="dxa"/>
            <w:tcBorders>
              <w:top w:val="outset" w:color="auto" w:sz="6" w:space="0"/>
              <w:left w:val="single" w:color="auto" w:sz="4" w:space="0"/>
              <w:bottom w:val="outset" w:color="auto" w:sz="6" w:space="0"/>
              <w:right w:val="single" w:color="auto" w:sz="4" w:space="0"/>
            </w:tcBorders>
            <w:shd w:val="clear" w:color="auto" w:fill="auto"/>
            <w:vAlign w:val="center"/>
          </w:tcPr>
          <w:p w14:paraId="65F892FF">
            <w:pPr>
              <w:rPr>
                <w:rFonts w:ascii="宋体" w:hAnsi="宋体" w:eastAsia="宋体" w:cs="宋体"/>
                <w:color w:val="auto"/>
                <w:szCs w:val="21"/>
              </w:rPr>
            </w:pPr>
            <w:r>
              <w:rPr>
                <w:rFonts w:hint="eastAsia" w:ascii="宋体" w:hAnsi="宋体" w:eastAsia="宋体" w:cs="宋体"/>
                <w:color w:val="auto"/>
                <w:szCs w:val="21"/>
              </w:rPr>
              <w:t>福州市城市综合管理服务平台集成、业务系统包</w:t>
            </w:r>
          </w:p>
        </w:tc>
        <w:tc>
          <w:tcPr>
            <w:tcW w:w="945" w:type="dxa"/>
            <w:tcBorders>
              <w:top w:val="outset" w:color="auto" w:sz="6" w:space="0"/>
              <w:left w:val="single" w:color="auto" w:sz="4" w:space="0"/>
              <w:bottom w:val="outset" w:color="auto" w:sz="6" w:space="0"/>
              <w:right w:val="single" w:color="auto" w:sz="4" w:space="0"/>
            </w:tcBorders>
            <w:shd w:val="clear" w:color="auto" w:fill="auto"/>
            <w:vAlign w:val="center"/>
          </w:tcPr>
          <w:p w14:paraId="4C2CEAB5">
            <w:pPr>
              <w:jc w:val="center"/>
              <w:rPr>
                <w:rFonts w:ascii="宋体" w:hAnsi="宋体" w:eastAsia="宋体" w:cs="宋体"/>
                <w:color w:val="auto"/>
                <w:szCs w:val="21"/>
              </w:rPr>
            </w:pPr>
            <w:r>
              <w:rPr>
                <w:rFonts w:hint="eastAsia" w:ascii="宋体" w:hAnsi="宋体" w:eastAsia="宋体" w:cs="宋体"/>
                <w:color w:val="auto"/>
                <w:szCs w:val="21"/>
              </w:rPr>
              <w:t>否</w:t>
            </w:r>
          </w:p>
        </w:tc>
        <w:tc>
          <w:tcPr>
            <w:tcW w:w="848" w:type="dxa"/>
            <w:tcBorders>
              <w:top w:val="outset" w:color="auto" w:sz="6" w:space="0"/>
              <w:left w:val="single" w:color="auto" w:sz="4" w:space="0"/>
              <w:bottom w:val="outset" w:color="auto" w:sz="6" w:space="0"/>
              <w:right w:val="single" w:color="auto" w:sz="4" w:space="0"/>
            </w:tcBorders>
            <w:shd w:val="clear" w:color="auto" w:fill="auto"/>
            <w:vAlign w:val="center"/>
          </w:tcPr>
          <w:p w14:paraId="2AE4D80B">
            <w:pPr>
              <w:jc w:val="center"/>
              <w:rPr>
                <w:rFonts w:ascii="宋体" w:hAnsi="宋体" w:eastAsia="宋体" w:cs="宋体"/>
                <w:color w:val="auto"/>
                <w:szCs w:val="21"/>
              </w:rPr>
            </w:pPr>
            <w:r>
              <w:rPr>
                <w:rFonts w:hint="eastAsia" w:ascii="宋体" w:hAnsi="宋体" w:eastAsia="宋体" w:cs="宋体"/>
                <w:color w:val="auto"/>
                <w:szCs w:val="21"/>
              </w:rPr>
              <w:t>1(个)</w:t>
            </w:r>
          </w:p>
        </w:tc>
        <w:tc>
          <w:tcPr>
            <w:tcW w:w="959" w:type="dxa"/>
            <w:tcBorders>
              <w:top w:val="outset" w:color="auto" w:sz="6" w:space="0"/>
              <w:left w:val="single" w:color="auto" w:sz="4" w:space="0"/>
              <w:bottom w:val="outset" w:color="auto" w:sz="6" w:space="0"/>
              <w:right w:val="outset" w:color="auto" w:sz="6" w:space="0"/>
            </w:tcBorders>
            <w:shd w:val="clear" w:color="auto" w:fill="auto"/>
            <w:vAlign w:val="center"/>
          </w:tcPr>
          <w:p w14:paraId="78B7DABF">
            <w:pPr>
              <w:jc w:val="center"/>
              <w:rPr>
                <w:rFonts w:ascii="宋体" w:hAnsi="宋体" w:eastAsia="宋体" w:cs="宋体"/>
                <w:color w:val="auto"/>
                <w:szCs w:val="21"/>
              </w:rPr>
            </w:pPr>
            <w:r>
              <w:rPr>
                <w:rFonts w:hint="eastAsia" w:ascii="宋体" w:hAnsi="宋体" w:eastAsia="宋体" w:cs="宋体"/>
                <w:color w:val="auto"/>
                <w:szCs w:val="21"/>
              </w:rPr>
              <w:t>7217200</w:t>
            </w:r>
            <w:r>
              <w:rPr>
                <w:rFonts w:hint="eastAsia" w:ascii="宋体" w:hAnsi="宋体" w:eastAsia="宋体" w:cs="宋体"/>
                <w:color w:val="auto"/>
                <w:szCs w:val="21"/>
              </w:rPr>
              <w:tab/>
            </w:r>
          </w:p>
        </w:tc>
        <w:tc>
          <w:tcPr>
            <w:tcW w:w="949" w:type="dxa"/>
            <w:tcBorders>
              <w:top w:val="outset" w:color="auto" w:sz="6" w:space="0"/>
              <w:left w:val="outset" w:color="auto" w:sz="6" w:space="0"/>
              <w:bottom w:val="outset" w:color="auto" w:sz="6" w:space="0"/>
              <w:right w:val="outset" w:color="auto" w:sz="6" w:space="0"/>
            </w:tcBorders>
            <w:shd w:val="clear" w:color="auto" w:fill="auto"/>
            <w:vAlign w:val="center"/>
          </w:tcPr>
          <w:p w14:paraId="15E65C30">
            <w:pPr>
              <w:jc w:val="center"/>
              <w:rPr>
                <w:rFonts w:ascii="宋体" w:hAnsi="宋体" w:eastAsia="宋体" w:cs="宋体"/>
                <w:color w:val="auto"/>
                <w:szCs w:val="21"/>
              </w:rPr>
            </w:pPr>
            <w:r>
              <w:rPr>
                <w:rFonts w:hint="eastAsia" w:ascii="宋体" w:hAnsi="宋体" w:eastAsia="宋体" w:cs="宋体"/>
                <w:color w:val="auto"/>
                <w:szCs w:val="21"/>
              </w:rPr>
              <w:t>7217200</w:t>
            </w:r>
          </w:p>
        </w:tc>
        <w:tc>
          <w:tcPr>
            <w:tcW w:w="949" w:type="dxa"/>
            <w:tcBorders>
              <w:top w:val="outset" w:color="auto" w:sz="6" w:space="0"/>
              <w:left w:val="outset" w:color="auto" w:sz="6" w:space="0"/>
              <w:bottom w:val="outset" w:color="auto" w:sz="6" w:space="0"/>
              <w:right w:val="outset" w:color="auto" w:sz="6" w:space="0"/>
            </w:tcBorders>
            <w:shd w:val="clear" w:color="auto" w:fill="auto"/>
            <w:vAlign w:val="center"/>
          </w:tcPr>
          <w:p w14:paraId="4A1A74B1">
            <w:pPr>
              <w:widowControl/>
              <w:jc w:val="center"/>
              <w:textAlignment w:val="center"/>
              <w:rPr>
                <w:rFonts w:ascii="宋体" w:hAnsi="宋体" w:eastAsia="宋体" w:cs="宋体"/>
                <w:color w:val="auto"/>
                <w:szCs w:val="21"/>
              </w:rPr>
            </w:pPr>
            <w:r>
              <w:rPr>
                <w:rFonts w:hint="eastAsia" w:ascii="宋体" w:hAnsi="宋体" w:eastAsia="宋体" w:cs="宋体"/>
                <w:color w:val="auto"/>
                <w:kern w:val="0"/>
                <w:sz w:val="22"/>
                <w:szCs w:val="22"/>
                <w:lang w:bidi="ar"/>
              </w:rPr>
              <w:t>144000</w:t>
            </w:r>
          </w:p>
        </w:tc>
      </w:tr>
    </w:tbl>
    <w:p w14:paraId="20D494CD">
      <w:pPr>
        <w:pStyle w:val="27"/>
        <w:widowControl/>
        <w:spacing w:before="75" w:beforeAutospacing="0" w:after="75" w:afterAutospacing="0"/>
        <w:jc w:val="center"/>
        <w:rPr>
          <w:rStyle w:val="32"/>
          <w:rFonts w:ascii="宋体" w:hAnsi="宋体" w:eastAsia="宋体" w:cs="宋体"/>
          <w:color w:val="auto"/>
          <w:sz w:val="31"/>
          <w:szCs w:val="31"/>
        </w:rPr>
      </w:pPr>
      <w:r>
        <w:rPr>
          <w:rStyle w:val="32"/>
          <w:rFonts w:hint="eastAsia" w:ascii="宋体" w:hAnsi="宋体" w:eastAsia="宋体" w:cs="宋体"/>
          <w:color w:val="auto"/>
          <w:sz w:val="31"/>
          <w:szCs w:val="31"/>
        </w:rPr>
        <w:br w:type="page"/>
      </w:r>
    </w:p>
    <w:p w14:paraId="61CFBB9E">
      <w:pPr>
        <w:pStyle w:val="27"/>
        <w:widowControl/>
        <w:spacing w:before="75" w:beforeAutospacing="0" w:after="75" w:afterAutospacing="0"/>
        <w:jc w:val="center"/>
        <w:outlineLvl w:val="0"/>
        <w:rPr>
          <w:color w:val="auto"/>
        </w:rPr>
      </w:pPr>
      <w:bookmarkStart w:id="2" w:name="_Toc9335"/>
      <w:r>
        <w:rPr>
          <w:rStyle w:val="32"/>
          <w:rFonts w:hint="eastAsia" w:ascii="宋体" w:hAnsi="宋体" w:eastAsia="宋体" w:cs="宋体"/>
          <w:color w:val="auto"/>
          <w:sz w:val="31"/>
          <w:szCs w:val="31"/>
        </w:rPr>
        <w:t>第二章</w:t>
      </w:r>
      <w:r>
        <w:rPr>
          <w:rStyle w:val="32"/>
          <w:color w:val="auto"/>
          <w:sz w:val="31"/>
          <w:szCs w:val="31"/>
        </w:rPr>
        <w:t>   </w:t>
      </w:r>
      <w:r>
        <w:rPr>
          <w:rStyle w:val="32"/>
          <w:rFonts w:hint="eastAsia" w:ascii="宋体" w:hAnsi="宋体" w:eastAsia="宋体" w:cs="宋体"/>
          <w:color w:val="auto"/>
          <w:sz w:val="31"/>
          <w:szCs w:val="31"/>
        </w:rPr>
        <w:t>投标人须知前附表（表1、</w:t>
      </w:r>
      <w:r>
        <w:rPr>
          <w:rStyle w:val="32"/>
          <w:rFonts w:ascii="Times New Roman" w:hAnsi="Times New Roman"/>
          <w:color w:val="auto"/>
          <w:sz w:val="31"/>
          <w:szCs w:val="31"/>
        </w:rPr>
        <w:t>2</w:t>
      </w:r>
      <w:r>
        <w:rPr>
          <w:rStyle w:val="32"/>
          <w:rFonts w:hint="eastAsia" w:ascii="宋体" w:hAnsi="宋体" w:eastAsia="宋体" w:cs="宋体"/>
          <w:color w:val="auto"/>
          <w:sz w:val="31"/>
          <w:szCs w:val="31"/>
        </w:rPr>
        <w:t>）</w:t>
      </w:r>
      <w:bookmarkEnd w:id="2"/>
    </w:p>
    <w:p w14:paraId="42CCEAE3">
      <w:pPr>
        <w:pStyle w:val="27"/>
        <w:widowControl/>
        <w:spacing w:before="75" w:beforeAutospacing="0" w:after="75" w:afterAutospacing="0"/>
        <w:outlineLvl w:val="1"/>
        <w:rPr>
          <w:color w:val="auto"/>
        </w:rPr>
      </w:pPr>
      <w:r>
        <w:rPr>
          <w:rFonts w:hint="eastAsia" w:ascii="宋体" w:hAnsi="宋体" w:eastAsia="宋体" w:cs="宋体"/>
          <w:color w:val="auto"/>
        </w:rPr>
        <w:t>表</w:t>
      </w:r>
      <w:r>
        <w:rPr>
          <w:color w:val="auto"/>
        </w:rPr>
        <w:t>1</w:t>
      </w:r>
    </w:p>
    <w:tbl>
      <w:tblPr>
        <w:tblStyle w:val="30"/>
        <w:tblW w:w="8576" w:type="dxa"/>
        <w:tblCellSpacing w:w="15"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42"/>
        <w:gridCol w:w="1412"/>
        <w:gridCol w:w="6522"/>
      </w:tblGrid>
      <w:tr w14:paraId="17E5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8516" w:type="dxa"/>
            <w:gridSpan w:val="3"/>
            <w:shd w:val="clear" w:color="auto" w:fill="auto"/>
            <w:tcMar>
              <w:top w:w="0" w:type="dxa"/>
              <w:left w:w="105" w:type="dxa"/>
              <w:bottom w:w="0" w:type="dxa"/>
              <w:right w:w="105" w:type="dxa"/>
            </w:tcMar>
            <w:vAlign w:val="center"/>
          </w:tcPr>
          <w:p w14:paraId="0C42CFC1">
            <w:pPr>
              <w:pStyle w:val="27"/>
              <w:widowControl/>
              <w:spacing w:beforeAutospacing="0" w:afterAutospacing="0"/>
              <w:jc w:val="center"/>
              <w:rPr>
                <w:color w:val="auto"/>
              </w:rPr>
            </w:pPr>
            <w:r>
              <w:rPr>
                <w:rStyle w:val="32"/>
                <w:rFonts w:hint="eastAsia" w:ascii="宋体" w:hAnsi="宋体" w:eastAsia="宋体" w:cs="宋体"/>
                <w:color w:val="auto"/>
              </w:rPr>
              <w:t>特别提示：本表与招标文件对应章节的内容若不一致，以本表为准。</w:t>
            </w:r>
          </w:p>
        </w:tc>
      </w:tr>
      <w:tr w14:paraId="31AC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0" w:type="dxa"/>
              <w:left w:w="105" w:type="dxa"/>
              <w:bottom w:w="0" w:type="dxa"/>
              <w:right w:w="105" w:type="dxa"/>
            </w:tcMar>
            <w:vAlign w:val="center"/>
          </w:tcPr>
          <w:p w14:paraId="48305C6F">
            <w:pPr>
              <w:pStyle w:val="27"/>
              <w:widowControl/>
              <w:spacing w:beforeAutospacing="0" w:afterAutospacing="0"/>
              <w:jc w:val="center"/>
              <w:rPr>
                <w:color w:val="auto"/>
              </w:rPr>
            </w:pPr>
            <w:r>
              <w:rPr>
                <w:rFonts w:hint="eastAsia" w:ascii="宋体" w:hAnsi="宋体" w:eastAsia="宋体" w:cs="宋体"/>
                <w:color w:val="auto"/>
              </w:rPr>
              <w:t>项号</w:t>
            </w:r>
          </w:p>
        </w:tc>
        <w:tc>
          <w:tcPr>
            <w:tcW w:w="1382" w:type="dxa"/>
            <w:shd w:val="clear" w:color="auto" w:fill="auto"/>
            <w:tcMar>
              <w:top w:w="0" w:type="dxa"/>
              <w:left w:w="105" w:type="dxa"/>
              <w:bottom w:w="0" w:type="dxa"/>
              <w:right w:w="105" w:type="dxa"/>
            </w:tcMar>
            <w:vAlign w:val="center"/>
          </w:tcPr>
          <w:p w14:paraId="1F64C2D2">
            <w:pPr>
              <w:pStyle w:val="27"/>
              <w:widowControl/>
              <w:spacing w:beforeAutospacing="0" w:afterAutospacing="0"/>
              <w:jc w:val="center"/>
              <w:rPr>
                <w:color w:val="auto"/>
              </w:rPr>
            </w:pPr>
            <w:r>
              <w:rPr>
                <w:rFonts w:hint="eastAsia" w:ascii="宋体" w:hAnsi="宋体" w:eastAsia="宋体" w:cs="宋体"/>
                <w:color w:val="auto"/>
              </w:rPr>
              <w:t>招标文件</w:t>
            </w:r>
          </w:p>
          <w:p w14:paraId="30153D3B">
            <w:pPr>
              <w:pStyle w:val="27"/>
              <w:widowControl/>
              <w:spacing w:beforeAutospacing="0" w:afterAutospacing="0"/>
              <w:jc w:val="center"/>
              <w:rPr>
                <w:color w:val="auto"/>
              </w:rPr>
            </w:pPr>
            <w:r>
              <w:rPr>
                <w:rFonts w:hint="eastAsia" w:ascii="宋体" w:hAnsi="宋体" w:eastAsia="宋体" w:cs="宋体"/>
                <w:color w:val="auto"/>
              </w:rPr>
              <w:t>（第三章）</w:t>
            </w:r>
          </w:p>
        </w:tc>
        <w:tc>
          <w:tcPr>
            <w:tcW w:w="6477" w:type="dxa"/>
            <w:shd w:val="clear" w:color="auto" w:fill="auto"/>
            <w:tcMar>
              <w:top w:w="0" w:type="dxa"/>
              <w:left w:w="105" w:type="dxa"/>
              <w:bottom w:w="0" w:type="dxa"/>
              <w:right w:w="105" w:type="dxa"/>
            </w:tcMar>
            <w:vAlign w:val="center"/>
          </w:tcPr>
          <w:p w14:paraId="6B85D75B">
            <w:pPr>
              <w:pStyle w:val="27"/>
              <w:widowControl/>
              <w:spacing w:beforeAutospacing="0" w:afterAutospacing="0"/>
              <w:jc w:val="center"/>
              <w:rPr>
                <w:color w:val="auto"/>
              </w:rPr>
            </w:pPr>
            <w:r>
              <w:rPr>
                <w:rFonts w:hint="eastAsia" w:ascii="宋体" w:hAnsi="宋体" w:eastAsia="宋体" w:cs="宋体"/>
                <w:color w:val="auto"/>
              </w:rPr>
              <w:t>编列内容</w:t>
            </w:r>
          </w:p>
        </w:tc>
      </w:tr>
      <w:tr w14:paraId="748B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0" w:type="dxa"/>
              <w:left w:w="105" w:type="dxa"/>
              <w:bottom w:w="0" w:type="dxa"/>
              <w:right w:w="105" w:type="dxa"/>
            </w:tcMar>
            <w:vAlign w:val="center"/>
          </w:tcPr>
          <w:p w14:paraId="2F6ABA7C">
            <w:pPr>
              <w:pStyle w:val="27"/>
              <w:widowControl/>
              <w:spacing w:beforeAutospacing="0" w:afterAutospacing="0"/>
              <w:jc w:val="center"/>
              <w:rPr>
                <w:color w:val="auto"/>
              </w:rPr>
            </w:pPr>
            <w:r>
              <w:rPr>
                <w:rFonts w:hint="eastAsia" w:ascii="宋体" w:hAnsi="宋体" w:eastAsia="宋体" w:cs="宋体"/>
                <w:color w:val="auto"/>
              </w:rPr>
              <w:t>1</w:t>
            </w:r>
          </w:p>
        </w:tc>
        <w:tc>
          <w:tcPr>
            <w:tcW w:w="1382" w:type="dxa"/>
            <w:shd w:val="clear" w:color="auto" w:fill="auto"/>
            <w:tcMar>
              <w:top w:w="0" w:type="dxa"/>
              <w:left w:w="105" w:type="dxa"/>
              <w:bottom w:w="0" w:type="dxa"/>
              <w:right w:w="105" w:type="dxa"/>
            </w:tcMar>
            <w:vAlign w:val="center"/>
          </w:tcPr>
          <w:p w14:paraId="3B49D188">
            <w:pPr>
              <w:pStyle w:val="27"/>
              <w:widowControl/>
              <w:spacing w:beforeAutospacing="0" w:afterAutospacing="0"/>
              <w:jc w:val="center"/>
              <w:rPr>
                <w:color w:val="auto"/>
              </w:rPr>
            </w:pPr>
            <w:r>
              <w:rPr>
                <w:rFonts w:hint="eastAsia" w:ascii="宋体" w:hAnsi="宋体" w:eastAsia="宋体" w:cs="宋体"/>
                <w:color w:val="auto"/>
              </w:rPr>
              <w:t>6.1</w:t>
            </w:r>
          </w:p>
        </w:tc>
        <w:tc>
          <w:tcPr>
            <w:tcW w:w="6477" w:type="dxa"/>
            <w:shd w:val="clear" w:color="auto" w:fill="auto"/>
            <w:tcMar>
              <w:top w:w="0" w:type="dxa"/>
              <w:left w:w="105" w:type="dxa"/>
              <w:bottom w:w="0" w:type="dxa"/>
              <w:right w:w="105" w:type="dxa"/>
            </w:tcMar>
            <w:vAlign w:val="center"/>
          </w:tcPr>
          <w:p w14:paraId="46C84E18">
            <w:pPr>
              <w:pStyle w:val="27"/>
              <w:widowControl/>
              <w:spacing w:beforeAutospacing="0" w:afterAutospacing="0"/>
              <w:rPr>
                <w:color w:val="auto"/>
              </w:rPr>
            </w:pPr>
            <w:r>
              <w:rPr>
                <w:rStyle w:val="32"/>
                <w:rFonts w:hint="eastAsia" w:ascii="宋体" w:hAnsi="宋体" w:eastAsia="宋体" w:cs="宋体"/>
                <w:color w:val="auto"/>
              </w:rPr>
              <w:t>是否组织现场考察或召开开标前答疑会：</w:t>
            </w:r>
            <w:r>
              <w:rPr>
                <w:rFonts w:hint="eastAsia" w:ascii="宋体" w:hAnsi="宋体" w:eastAsia="宋体" w:cs="宋体"/>
                <w:color w:val="auto"/>
              </w:rPr>
              <w:t>否。</w:t>
            </w:r>
          </w:p>
        </w:tc>
      </w:tr>
      <w:tr w14:paraId="2518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0" w:type="dxa"/>
              <w:left w:w="105" w:type="dxa"/>
              <w:bottom w:w="0" w:type="dxa"/>
              <w:right w:w="105" w:type="dxa"/>
            </w:tcMar>
            <w:vAlign w:val="center"/>
          </w:tcPr>
          <w:p w14:paraId="274955E4">
            <w:pPr>
              <w:pStyle w:val="27"/>
              <w:widowControl/>
              <w:spacing w:beforeAutospacing="0" w:afterAutospacing="0"/>
              <w:jc w:val="center"/>
              <w:rPr>
                <w:color w:val="auto"/>
              </w:rPr>
            </w:pPr>
            <w:r>
              <w:rPr>
                <w:rFonts w:hint="eastAsia" w:ascii="宋体" w:hAnsi="宋体" w:eastAsia="宋体" w:cs="宋体"/>
                <w:color w:val="auto"/>
              </w:rPr>
              <w:t>2</w:t>
            </w:r>
          </w:p>
        </w:tc>
        <w:tc>
          <w:tcPr>
            <w:tcW w:w="1382" w:type="dxa"/>
            <w:shd w:val="clear" w:color="auto" w:fill="auto"/>
            <w:tcMar>
              <w:top w:w="0" w:type="dxa"/>
              <w:left w:w="105" w:type="dxa"/>
              <w:bottom w:w="0" w:type="dxa"/>
              <w:right w:w="105" w:type="dxa"/>
            </w:tcMar>
            <w:vAlign w:val="center"/>
          </w:tcPr>
          <w:p w14:paraId="0173C52E">
            <w:pPr>
              <w:pStyle w:val="27"/>
              <w:widowControl/>
              <w:spacing w:beforeAutospacing="0" w:afterAutospacing="0"/>
              <w:jc w:val="center"/>
              <w:rPr>
                <w:color w:val="auto"/>
              </w:rPr>
            </w:pPr>
            <w:r>
              <w:rPr>
                <w:rFonts w:hint="eastAsia" w:ascii="宋体" w:hAnsi="宋体" w:eastAsia="宋体" w:cs="宋体"/>
                <w:color w:val="auto"/>
              </w:rPr>
              <w:t>10.4</w:t>
            </w:r>
          </w:p>
        </w:tc>
        <w:tc>
          <w:tcPr>
            <w:tcW w:w="6477" w:type="dxa"/>
            <w:shd w:val="clear" w:color="auto" w:fill="auto"/>
            <w:tcMar>
              <w:top w:w="0" w:type="dxa"/>
              <w:left w:w="105" w:type="dxa"/>
              <w:bottom w:w="0" w:type="dxa"/>
              <w:right w:w="105" w:type="dxa"/>
            </w:tcMar>
            <w:vAlign w:val="center"/>
          </w:tcPr>
          <w:p w14:paraId="2ADEB5DE">
            <w:pPr>
              <w:pStyle w:val="27"/>
              <w:widowControl/>
              <w:wordWrap w:val="0"/>
              <w:spacing w:beforeAutospacing="0" w:afterAutospacing="0"/>
              <w:rPr>
                <w:color w:val="auto"/>
              </w:rPr>
            </w:pPr>
            <w:r>
              <w:rPr>
                <w:rStyle w:val="32"/>
                <w:rFonts w:hint="eastAsia" w:ascii="宋体" w:hAnsi="宋体" w:eastAsia="宋体" w:cs="宋体"/>
                <w:color w:val="auto"/>
              </w:rPr>
              <w:t>投标文件的份数：</w:t>
            </w:r>
          </w:p>
          <w:p w14:paraId="0C4305AD">
            <w:pPr>
              <w:pStyle w:val="27"/>
              <w:widowControl/>
              <w:wordWrap w:val="0"/>
              <w:spacing w:beforeAutospacing="0" w:afterAutospacing="0"/>
              <w:rPr>
                <w:color w:val="auto"/>
              </w:rPr>
            </w:pPr>
            <w:r>
              <w:rPr>
                <w:rFonts w:hint="eastAsia" w:ascii="宋体" w:hAnsi="宋体" w:eastAsia="宋体" w:cs="宋体"/>
                <w:color w:val="auto"/>
              </w:rPr>
              <w:t>（1）纸质投标文件：</w:t>
            </w:r>
          </w:p>
          <w:p w14:paraId="3B516620">
            <w:pPr>
              <w:pStyle w:val="27"/>
              <w:widowControl/>
              <w:wordWrap w:val="0"/>
              <w:spacing w:beforeAutospacing="0" w:afterAutospacing="0"/>
              <w:rPr>
                <w:color w:val="auto"/>
              </w:rPr>
            </w:pPr>
            <w:r>
              <w:rPr>
                <w:rFonts w:hint="eastAsia" w:ascii="宋体" w:hAnsi="宋体" w:eastAsia="宋体" w:cs="宋体"/>
                <w:color w:val="auto"/>
              </w:rPr>
              <w:t>①资格及资信证明部分的正本1份、副本</w:t>
            </w:r>
            <w:r>
              <w:rPr>
                <w:rFonts w:hint="eastAsia" w:ascii="宋体" w:hAnsi="宋体" w:eastAsia="宋体" w:cs="宋体"/>
                <w:color w:val="auto"/>
                <w:u w:val="single"/>
              </w:rPr>
              <w:t>1</w:t>
            </w:r>
            <w:r>
              <w:rPr>
                <w:rFonts w:hint="eastAsia" w:ascii="宋体" w:hAnsi="宋体" w:eastAsia="宋体" w:cs="宋体"/>
                <w:color w:val="auto"/>
              </w:rPr>
              <w:t>份，报价部分的正本</w:t>
            </w:r>
            <w:r>
              <w:rPr>
                <w:rFonts w:hint="eastAsia" w:ascii="宋体" w:hAnsi="宋体" w:eastAsia="宋体" w:cs="宋体"/>
                <w:color w:val="auto"/>
                <w:u w:val="single"/>
              </w:rPr>
              <w:t>1</w:t>
            </w:r>
            <w:r>
              <w:rPr>
                <w:rFonts w:hint="eastAsia" w:ascii="宋体" w:hAnsi="宋体" w:eastAsia="宋体" w:cs="宋体"/>
                <w:color w:val="auto"/>
              </w:rPr>
              <w:t>份、副本</w:t>
            </w:r>
            <w:r>
              <w:rPr>
                <w:rFonts w:hint="eastAsia" w:ascii="宋体" w:hAnsi="宋体" w:eastAsia="宋体" w:cs="宋体"/>
                <w:color w:val="auto"/>
                <w:u w:val="single"/>
              </w:rPr>
              <w:t>1</w:t>
            </w:r>
            <w:r>
              <w:rPr>
                <w:rFonts w:hint="eastAsia" w:ascii="宋体" w:hAnsi="宋体" w:eastAsia="宋体" w:cs="宋体"/>
                <w:color w:val="auto"/>
              </w:rPr>
              <w:t>份，技术商务部分的正本</w:t>
            </w:r>
            <w:r>
              <w:rPr>
                <w:rFonts w:hint="eastAsia" w:ascii="宋体" w:hAnsi="宋体" w:eastAsia="宋体" w:cs="宋体"/>
                <w:color w:val="auto"/>
                <w:u w:val="single"/>
              </w:rPr>
              <w:t>1</w:t>
            </w:r>
            <w:r>
              <w:rPr>
                <w:rFonts w:hint="eastAsia" w:ascii="宋体" w:hAnsi="宋体" w:eastAsia="宋体" w:cs="宋体"/>
                <w:color w:val="auto"/>
              </w:rPr>
              <w:t>份、副本</w:t>
            </w:r>
            <w:r>
              <w:rPr>
                <w:rFonts w:hint="eastAsia" w:ascii="宋体" w:hAnsi="宋体" w:eastAsia="宋体" w:cs="宋体"/>
                <w:color w:val="auto"/>
                <w:u w:val="single"/>
              </w:rPr>
              <w:t>1</w:t>
            </w:r>
            <w:r>
              <w:rPr>
                <w:rFonts w:hint="eastAsia" w:ascii="宋体" w:hAnsi="宋体" w:eastAsia="宋体" w:cs="宋体"/>
                <w:color w:val="auto"/>
              </w:rPr>
              <w:t>份。</w:t>
            </w:r>
          </w:p>
          <w:p w14:paraId="0FE867F1">
            <w:pPr>
              <w:pStyle w:val="27"/>
              <w:widowControl/>
              <w:wordWrap w:val="0"/>
              <w:spacing w:beforeAutospacing="0" w:afterAutospacing="0"/>
              <w:rPr>
                <w:color w:val="auto"/>
              </w:rPr>
            </w:pPr>
            <w:r>
              <w:rPr>
                <w:rFonts w:hint="eastAsia" w:ascii="宋体" w:hAnsi="宋体" w:eastAsia="宋体" w:cs="宋体"/>
                <w:color w:val="auto"/>
              </w:rPr>
              <w:t>②可读介质（光盘或</w:t>
            </w:r>
            <w:r>
              <w:rPr>
                <w:rFonts w:ascii="Times New Roman" w:hAnsi="Times New Roman"/>
                <w:color w:val="auto"/>
              </w:rPr>
              <w:t>U</w:t>
            </w:r>
            <w:r>
              <w:rPr>
                <w:rFonts w:hint="eastAsia" w:ascii="宋体" w:hAnsi="宋体" w:eastAsia="宋体" w:cs="宋体"/>
                <w:color w:val="auto"/>
              </w:rPr>
              <w:t>盘）</w:t>
            </w:r>
            <w:r>
              <w:rPr>
                <w:rFonts w:hint="eastAsia" w:ascii="宋体" w:hAnsi="宋体" w:eastAsia="宋体" w:cs="宋体"/>
                <w:color w:val="auto"/>
                <w:u w:val="single"/>
              </w:rPr>
              <w:t>1</w:t>
            </w:r>
            <w:r>
              <w:rPr>
                <w:rFonts w:hint="eastAsia" w:ascii="宋体" w:hAnsi="宋体" w:eastAsia="宋体" w:cs="宋体"/>
                <w:color w:val="auto"/>
              </w:rPr>
              <w:t>份：投标人应将其上传至福建省政府采购网上公开信息系统的电子投标文件在该可读介质中另存</w:t>
            </w:r>
            <w:r>
              <w:rPr>
                <w:rFonts w:hint="eastAsia" w:ascii="宋体" w:hAnsi="宋体" w:eastAsia="宋体" w:cs="宋体"/>
                <w:color w:val="auto"/>
                <w:u w:val="single"/>
              </w:rPr>
              <w:t>1</w:t>
            </w:r>
            <w:r>
              <w:rPr>
                <w:rFonts w:hint="eastAsia" w:ascii="宋体" w:hAnsi="宋体" w:eastAsia="宋体" w:cs="宋体"/>
                <w:color w:val="auto"/>
              </w:rPr>
              <w:t>份。</w:t>
            </w:r>
          </w:p>
          <w:p w14:paraId="79B6A438">
            <w:pPr>
              <w:pStyle w:val="27"/>
              <w:widowControl/>
              <w:wordWrap w:val="0"/>
              <w:spacing w:beforeAutospacing="0" w:afterAutospacing="0"/>
              <w:rPr>
                <w:color w:val="auto"/>
              </w:rPr>
            </w:pPr>
            <w:r>
              <w:rPr>
                <w:rFonts w:hint="eastAsia" w:ascii="宋体" w:hAnsi="宋体" w:eastAsia="宋体" w:cs="宋体"/>
                <w:color w:val="auto"/>
              </w:rPr>
              <w:t>（2）电子投标文件：详见表</w:t>
            </w:r>
            <w:r>
              <w:rPr>
                <w:rFonts w:ascii="Times New Roman" w:hAnsi="Times New Roman"/>
                <w:color w:val="auto"/>
              </w:rPr>
              <w:t>2</w:t>
            </w:r>
            <w:r>
              <w:rPr>
                <w:rFonts w:hint="eastAsia" w:ascii="宋体" w:hAnsi="宋体" w:eastAsia="宋体" w:cs="宋体"/>
                <w:color w:val="auto"/>
              </w:rPr>
              <w:t>《关于电子招标投标活动的专门规定》。</w:t>
            </w:r>
          </w:p>
        </w:tc>
      </w:tr>
      <w:tr w14:paraId="544A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0" w:type="dxa"/>
              <w:left w:w="105" w:type="dxa"/>
              <w:bottom w:w="0" w:type="dxa"/>
              <w:right w:w="105" w:type="dxa"/>
            </w:tcMar>
            <w:vAlign w:val="center"/>
          </w:tcPr>
          <w:p w14:paraId="258F5D98">
            <w:pPr>
              <w:pStyle w:val="27"/>
              <w:widowControl/>
              <w:spacing w:beforeAutospacing="0" w:afterAutospacing="0"/>
              <w:jc w:val="center"/>
              <w:rPr>
                <w:color w:val="auto"/>
              </w:rPr>
            </w:pPr>
            <w:r>
              <w:rPr>
                <w:rFonts w:hint="eastAsia" w:ascii="宋体" w:hAnsi="宋体" w:eastAsia="宋体" w:cs="宋体"/>
                <w:color w:val="auto"/>
              </w:rPr>
              <w:t>3</w:t>
            </w:r>
          </w:p>
        </w:tc>
        <w:tc>
          <w:tcPr>
            <w:tcW w:w="1382" w:type="dxa"/>
            <w:shd w:val="clear" w:color="auto" w:fill="auto"/>
            <w:tcMar>
              <w:top w:w="0" w:type="dxa"/>
              <w:left w:w="105" w:type="dxa"/>
              <w:bottom w:w="0" w:type="dxa"/>
              <w:right w:w="105" w:type="dxa"/>
            </w:tcMar>
            <w:vAlign w:val="center"/>
          </w:tcPr>
          <w:p w14:paraId="6BB6F78B">
            <w:pPr>
              <w:pStyle w:val="27"/>
              <w:widowControl/>
              <w:spacing w:beforeAutospacing="0" w:afterAutospacing="0"/>
              <w:rPr>
                <w:color w:val="auto"/>
              </w:rPr>
            </w:pPr>
            <w:r>
              <w:rPr>
                <w:rFonts w:hint="eastAsia" w:ascii="宋体" w:hAnsi="宋体" w:eastAsia="宋体" w:cs="宋体"/>
                <w:color w:val="auto"/>
              </w:rPr>
              <w:t>10.5-（</w:t>
            </w:r>
            <w:r>
              <w:rPr>
                <w:rFonts w:ascii="Times New Roman" w:hAnsi="Times New Roman"/>
                <w:color w:val="auto"/>
              </w:rPr>
              <w:t>2</w:t>
            </w:r>
            <w:r>
              <w:rPr>
                <w:rFonts w:hint="eastAsia" w:ascii="宋体" w:hAnsi="宋体" w:eastAsia="宋体" w:cs="宋体"/>
                <w:color w:val="auto"/>
              </w:rPr>
              <w:t>）</w:t>
            </w:r>
            <w:r>
              <w:rPr>
                <w:rFonts w:ascii="Times New Roman" w:hAnsi="Times New Roman"/>
                <w:color w:val="auto"/>
              </w:rPr>
              <w:t>-</w:t>
            </w:r>
            <w:r>
              <w:rPr>
                <w:rFonts w:hint="eastAsia" w:ascii="宋体" w:hAnsi="宋体" w:eastAsia="宋体" w:cs="宋体"/>
                <w:color w:val="auto"/>
              </w:rPr>
              <w:t>③</w:t>
            </w:r>
          </w:p>
        </w:tc>
        <w:tc>
          <w:tcPr>
            <w:tcW w:w="6477" w:type="dxa"/>
            <w:shd w:val="clear" w:color="auto" w:fill="auto"/>
            <w:tcMar>
              <w:top w:w="0" w:type="dxa"/>
              <w:left w:w="105" w:type="dxa"/>
              <w:bottom w:w="0" w:type="dxa"/>
              <w:right w:w="105" w:type="dxa"/>
            </w:tcMar>
            <w:vAlign w:val="center"/>
          </w:tcPr>
          <w:p w14:paraId="4DFE7A29">
            <w:pPr>
              <w:pStyle w:val="27"/>
              <w:widowControl/>
              <w:spacing w:beforeAutospacing="0" w:afterAutospacing="0"/>
              <w:rPr>
                <w:color w:val="auto"/>
              </w:rPr>
            </w:pPr>
            <w:r>
              <w:rPr>
                <w:rStyle w:val="32"/>
                <w:rFonts w:hint="eastAsia" w:ascii="宋体" w:hAnsi="宋体" w:eastAsia="宋体" w:cs="宋体"/>
                <w:color w:val="auto"/>
              </w:rPr>
              <w:t>允许散装或活页装订的内容或材料：</w:t>
            </w:r>
          </w:p>
          <w:p w14:paraId="6A0A9A47">
            <w:pPr>
              <w:pStyle w:val="27"/>
              <w:widowControl/>
              <w:spacing w:beforeAutospacing="0" w:afterAutospacing="0"/>
              <w:rPr>
                <w:color w:val="auto"/>
              </w:rPr>
            </w:pPr>
            <w:r>
              <w:rPr>
                <w:rFonts w:hint="eastAsia" w:ascii="宋体" w:hAnsi="宋体" w:eastAsia="宋体" w:cs="宋体"/>
                <w:color w:val="auto"/>
              </w:rPr>
              <w:t>（1）投标文件的补充、修改或撤回；</w:t>
            </w:r>
          </w:p>
          <w:p w14:paraId="1F256BD0">
            <w:pPr>
              <w:pStyle w:val="27"/>
              <w:widowControl/>
              <w:spacing w:beforeAutospacing="0" w:afterAutospacing="0"/>
              <w:rPr>
                <w:color w:val="auto"/>
              </w:rPr>
            </w:pPr>
            <w:r>
              <w:rPr>
                <w:rFonts w:hint="eastAsia" w:ascii="宋体" w:hAnsi="宋体" w:eastAsia="宋体" w:cs="宋体"/>
                <w:color w:val="auto"/>
              </w:rPr>
              <w:t>（2）其他内容或材料：无</w:t>
            </w:r>
          </w:p>
        </w:tc>
      </w:tr>
      <w:tr w14:paraId="40F0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0" w:type="dxa"/>
              <w:left w:w="105" w:type="dxa"/>
              <w:bottom w:w="0" w:type="dxa"/>
              <w:right w:w="105" w:type="dxa"/>
            </w:tcMar>
            <w:vAlign w:val="center"/>
          </w:tcPr>
          <w:p w14:paraId="416A41A1">
            <w:pPr>
              <w:pStyle w:val="27"/>
              <w:widowControl/>
              <w:spacing w:beforeAutospacing="0" w:afterAutospacing="0"/>
              <w:jc w:val="center"/>
              <w:rPr>
                <w:color w:val="auto"/>
              </w:rPr>
            </w:pPr>
            <w:r>
              <w:rPr>
                <w:rFonts w:hint="eastAsia" w:ascii="宋体" w:hAnsi="宋体" w:eastAsia="宋体" w:cs="宋体"/>
                <w:color w:val="auto"/>
              </w:rPr>
              <w:t>4</w:t>
            </w:r>
          </w:p>
        </w:tc>
        <w:tc>
          <w:tcPr>
            <w:tcW w:w="1382" w:type="dxa"/>
            <w:shd w:val="clear" w:color="auto" w:fill="auto"/>
            <w:tcMar>
              <w:top w:w="0" w:type="dxa"/>
              <w:left w:w="105" w:type="dxa"/>
              <w:bottom w:w="0" w:type="dxa"/>
              <w:right w:w="105" w:type="dxa"/>
            </w:tcMar>
            <w:vAlign w:val="center"/>
          </w:tcPr>
          <w:p w14:paraId="23A6FEFA">
            <w:pPr>
              <w:pStyle w:val="27"/>
              <w:widowControl/>
              <w:spacing w:beforeAutospacing="0" w:afterAutospacing="0"/>
              <w:rPr>
                <w:color w:val="auto"/>
              </w:rPr>
            </w:pPr>
            <w:r>
              <w:rPr>
                <w:rFonts w:hint="eastAsia" w:ascii="宋体" w:hAnsi="宋体" w:eastAsia="宋体" w:cs="宋体"/>
                <w:color w:val="auto"/>
              </w:rPr>
              <w:t> 10.7-（</w:t>
            </w:r>
            <w:r>
              <w:rPr>
                <w:rFonts w:ascii="Times New Roman" w:hAnsi="Times New Roman"/>
                <w:color w:val="auto"/>
              </w:rPr>
              <w:t>1</w:t>
            </w:r>
            <w:r>
              <w:rPr>
                <w:rFonts w:hint="eastAsia" w:ascii="宋体" w:hAnsi="宋体" w:eastAsia="宋体" w:cs="宋体"/>
                <w:color w:val="auto"/>
              </w:rPr>
              <w:t>）</w:t>
            </w:r>
          </w:p>
        </w:tc>
        <w:tc>
          <w:tcPr>
            <w:tcW w:w="6477" w:type="dxa"/>
            <w:shd w:val="clear" w:color="auto" w:fill="auto"/>
            <w:tcMar>
              <w:top w:w="0" w:type="dxa"/>
              <w:left w:w="105" w:type="dxa"/>
              <w:bottom w:w="0" w:type="dxa"/>
              <w:right w:w="105" w:type="dxa"/>
            </w:tcMar>
            <w:vAlign w:val="center"/>
          </w:tcPr>
          <w:p w14:paraId="2D5CC07A">
            <w:pPr>
              <w:pStyle w:val="27"/>
              <w:widowControl/>
              <w:spacing w:beforeAutospacing="0" w:afterAutospacing="0"/>
              <w:rPr>
                <w:color w:val="auto"/>
              </w:rPr>
            </w:pPr>
            <w:r>
              <w:rPr>
                <w:rStyle w:val="32"/>
                <w:rFonts w:hint="eastAsia" w:ascii="宋体" w:hAnsi="宋体" w:eastAsia="宋体" w:cs="宋体"/>
                <w:color w:val="auto"/>
              </w:rPr>
              <w:t>是否允许中标人将本项目的非主体、非关键性工作进行分包：</w:t>
            </w:r>
          </w:p>
          <w:p w14:paraId="1FA75311">
            <w:pPr>
              <w:pStyle w:val="27"/>
              <w:widowControl/>
              <w:spacing w:beforeAutospacing="0" w:afterAutospacing="0"/>
              <w:rPr>
                <w:color w:val="auto"/>
              </w:rPr>
            </w:pPr>
            <w:r>
              <w:rPr>
                <w:rFonts w:hint="eastAsia" w:ascii="宋体" w:hAnsi="宋体" w:eastAsia="宋体" w:cs="宋体"/>
                <w:color w:val="auto"/>
              </w:rPr>
              <w:t>不允许。</w:t>
            </w:r>
          </w:p>
        </w:tc>
      </w:tr>
      <w:tr w14:paraId="22E7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0" w:type="dxa"/>
              <w:left w:w="105" w:type="dxa"/>
              <w:bottom w:w="0" w:type="dxa"/>
              <w:right w:w="105" w:type="dxa"/>
            </w:tcMar>
            <w:vAlign w:val="center"/>
          </w:tcPr>
          <w:p w14:paraId="746D2F2A">
            <w:pPr>
              <w:pStyle w:val="27"/>
              <w:widowControl/>
              <w:spacing w:beforeAutospacing="0" w:afterAutospacing="0"/>
              <w:jc w:val="center"/>
              <w:rPr>
                <w:color w:val="auto"/>
              </w:rPr>
            </w:pPr>
            <w:r>
              <w:rPr>
                <w:rFonts w:hint="eastAsia" w:ascii="宋体" w:hAnsi="宋体" w:eastAsia="宋体" w:cs="宋体"/>
                <w:color w:val="auto"/>
              </w:rPr>
              <w:t>5</w:t>
            </w:r>
          </w:p>
        </w:tc>
        <w:tc>
          <w:tcPr>
            <w:tcW w:w="1382" w:type="dxa"/>
            <w:shd w:val="clear" w:color="auto" w:fill="auto"/>
            <w:tcMar>
              <w:top w:w="0" w:type="dxa"/>
              <w:left w:w="105" w:type="dxa"/>
              <w:bottom w:w="0" w:type="dxa"/>
              <w:right w:w="105" w:type="dxa"/>
            </w:tcMar>
            <w:vAlign w:val="center"/>
          </w:tcPr>
          <w:p w14:paraId="0A494BD7">
            <w:pPr>
              <w:pStyle w:val="27"/>
              <w:widowControl/>
              <w:spacing w:beforeAutospacing="0" w:afterAutospacing="0"/>
              <w:jc w:val="center"/>
              <w:rPr>
                <w:color w:val="auto"/>
              </w:rPr>
            </w:pPr>
            <w:r>
              <w:rPr>
                <w:rFonts w:hint="eastAsia" w:ascii="宋体" w:hAnsi="宋体" w:eastAsia="宋体" w:cs="宋体"/>
                <w:color w:val="auto"/>
              </w:rPr>
              <w:t>10.8-（</w:t>
            </w:r>
            <w:r>
              <w:rPr>
                <w:rFonts w:ascii="Calibri" w:hAnsi="Calibri" w:cs="Calibri"/>
                <w:color w:val="auto"/>
              </w:rPr>
              <w:t>1</w:t>
            </w:r>
            <w:r>
              <w:rPr>
                <w:rFonts w:hint="eastAsia" w:ascii="宋体" w:hAnsi="宋体" w:eastAsia="宋体" w:cs="宋体"/>
                <w:color w:val="auto"/>
              </w:rPr>
              <w:t>）</w:t>
            </w:r>
          </w:p>
        </w:tc>
        <w:tc>
          <w:tcPr>
            <w:tcW w:w="6477" w:type="dxa"/>
            <w:shd w:val="clear" w:color="auto" w:fill="auto"/>
            <w:tcMar>
              <w:top w:w="0" w:type="dxa"/>
              <w:left w:w="105" w:type="dxa"/>
              <w:bottom w:w="0" w:type="dxa"/>
              <w:right w:w="105" w:type="dxa"/>
            </w:tcMar>
            <w:vAlign w:val="center"/>
          </w:tcPr>
          <w:p w14:paraId="6F329031">
            <w:pPr>
              <w:pStyle w:val="27"/>
              <w:widowControl/>
              <w:spacing w:beforeAutospacing="0" w:afterAutospacing="0"/>
              <w:rPr>
                <w:color w:val="auto"/>
              </w:rPr>
            </w:pPr>
            <w:r>
              <w:rPr>
                <w:rStyle w:val="32"/>
                <w:rFonts w:hint="eastAsia" w:ascii="宋体" w:hAnsi="宋体" w:eastAsia="宋体" w:cs="宋体"/>
                <w:color w:val="auto"/>
              </w:rPr>
              <w:t>投标有效期</w:t>
            </w:r>
            <w:r>
              <w:rPr>
                <w:rFonts w:hint="eastAsia" w:ascii="宋体" w:hAnsi="宋体" w:eastAsia="宋体" w:cs="宋体"/>
                <w:color w:val="auto"/>
              </w:rPr>
              <w:t>：投标截止时间起90个日历日。</w:t>
            </w:r>
          </w:p>
        </w:tc>
      </w:tr>
      <w:tr w14:paraId="7252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0" w:type="dxa"/>
              <w:left w:w="105" w:type="dxa"/>
              <w:bottom w:w="0" w:type="dxa"/>
              <w:right w:w="105" w:type="dxa"/>
            </w:tcMar>
            <w:vAlign w:val="center"/>
          </w:tcPr>
          <w:p w14:paraId="04F0F116">
            <w:pPr>
              <w:pStyle w:val="27"/>
              <w:widowControl/>
              <w:spacing w:beforeAutospacing="0" w:afterAutospacing="0"/>
              <w:jc w:val="center"/>
              <w:rPr>
                <w:color w:val="auto"/>
              </w:rPr>
            </w:pPr>
            <w:r>
              <w:rPr>
                <w:rFonts w:hint="eastAsia" w:ascii="宋体" w:hAnsi="宋体" w:eastAsia="宋体" w:cs="宋体"/>
                <w:color w:val="auto"/>
              </w:rPr>
              <w:t>6</w:t>
            </w:r>
          </w:p>
        </w:tc>
        <w:tc>
          <w:tcPr>
            <w:tcW w:w="1382" w:type="dxa"/>
            <w:shd w:val="clear" w:color="auto" w:fill="auto"/>
            <w:tcMar>
              <w:top w:w="0" w:type="dxa"/>
              <w:left w:w="105" w:type="dxa"/>
              <w:bottom w:w="0" w:type="dxa"/>
              <w:right w:w="105" w:type="dxa"/>
            </w:tcMar>
            <w:vAlign w:val="center"/>
          </w:tcPr>
          <w:p w14:paraId="2A83F566">
            <w:pPr>
              <w:pStyle w:val="27"/>
              <w:widowControl/>
              <w:spacing w:beforeAutospacing="0" w:afterAutospacing="0"/>
              <w:jc w:val="center"/>
              <w:rPr>
                <w:color w:val="auto"/>
              </w:rPr>
            </w:pPr>
            <w:r>
              <w:rPr>
                <w:rFonts w:hint="eastAsia" w:ascii="宋体" w:hAnsi="宋体" w:eastAsia="宋体" w:cs="宋体"/>
                <w:color w:val="auto"/>
              </w:rPr>
              <w:t>10.10-（</w:t>
            </w:r>
            <w:r>
              <w:rPr>
                <w:rFonts w:ascii="Calibri" w:hAnsi="Calibri" w:cs="Calibri"/>
                <w:color w:val="auto"/>
              </w:rPr>
              <w:t>2</w:t>
            </w:r>
            <w:r>
              <w:rPr>
                <w:rFonts w:hint="eastAsia" w:ascii="宋体" w:hAnsi="宋体" w:eastAsia="宋体" w:cs="宋体"/>
                <w:color w:val="auto"/>
              </w:rPr>
              <w:t>）</w:t>
            </w:r>
          </w:p>
        </w:tc>
        <w:tc>
          <w:tcPr>
            <w:tcW w:w="6477" w:type="dxa"/>
            <w:shd w:val="clear" w:color="auto" w:fill="auto"/>
            <w:tcMar>
              <w:top w:w="0" w:type="dxa"/>
              <w:left w:w="105" w:type="dxa"/>
              <w:bottom w:w="0" w:type="dxa"/>
              <w:right w:w="105" w:type="dxa"/>
            </w:tcMar>
            <w:vAlign w:val="center"/>
          </w:tcPr>
          <w:p w14:paraId="0B5A059C">
            <w:pPr>
              <w:pStyle w:val="27"/>
              <w:widowControl/>
              <w:spacing w:beforeAutospacing="0" w:afterAutospacing="0"/>
              <w:rPr>
                <w:color w:val="auto"/>
              </w:rPr>
            </w:pPr>
            <w:r>
              <w:rPr>
                <w:rStyle w:val="32"/>
                <w:rFonts w:hint="eastAsia" w:ascii="宋体" w:hAnsi="宋体" w:eastAsia="宋体" w:cs="宋体"/>
                <w:color w:val="auto"/>
              </w:rPr>
              <w:t>密封及其标记的具体形式：</w:t>
            </w:r>
          </w:p>
          <w:p w14:paraId="44CE8898">
            <w:pPr>
              <w:pStyle w:val="27"/>
              <w:widowControl/>
              <w:spacing w:beforeAutospacing="0" w:afterAutospacing="0"/>
              <w:rPr>
                <w:color w:val="auto"/>
              </w:rPr>
            </w:pPr>
            <w:r>
              <w:rPr>
                <w:rFonts w:hint="eastAsia" w:ascii="宋体" w:hAnsi="宋体" w:eastAsia="宋体" w:cs="宋体"/>
                <w:color w:val="auto"/>
              </w:rPr>
              <w:t>（1）全部纸质投标文件（包括正本、副本及可读介质）均应密封，否则</w:t>
            </w:r>
            <w:r>
              <w:rPr>
                <w:rStyle w:val="32"/>
                <w:rFonts w:hint="eastAsia" w:ascii="宋体" w:hAnsi="宋体" w:eastAsia="宋体" w:cs="宋体"/>
                <w:color w:val="auto"/>
              </w:rPr>
              <w:t>投标将被拒绝。</w:t>
            </w:r>
          </w:p>
          <w:p w14:paraId="221730E0">
            <w:pPr>
              <w:pStyle w:val="27"/>
              <w:widowControl/>
              <w:spacing w:beforeAutospacing="0" w:afterAutospacing="0"/>
              <w:rPr>
                <w:color w:val="auto"/>
              </w:rPr>
            </w:pPr>
            <w:r>
              <w:rPr>
                <w:rFonts w:hint="eastAsia" w:ascii="宋体" w:hAnsi="宋体" w:eastAsia="宋体" w:cs="宋体"/>
                <w:color w:val="auto"/>
              </w:rPr>
              <w:t>（2）密封的外包装应至少标记“项目名称、招标编号、所投合同包、投标人的全称”等内容，否则造成投标文件误投、遗漏或提前拆封的，</w:t>
            </w:r>
            <w:r>
              <w:rPr>
                <w:rFonts w:hint="eastAsia" w:ascii="宋体" w:hAnsi="宋体" w:eastAsia="宋体" w:cs="宋体"/>
                <w:color w:val="auto"/>
                <w:u w:val="single"/>
              </w:rPr>
              <w:t>福建省招标中心有限责任公司</w:t>
            </w:r>
            <w:r>
              <w:rPr>
                <w:rFonts w:hint="eastAsia" w:ascii="宋体" w:hAnsi="宋体" w:eastAsia="宋体" w:cs="宋体"/>
                <w:color w:val="auto"/>
              </w:rPr>
              <w:t>不承担责任。</w:t>
            </w:r>
          </w:p>
          <w:p w14:paraId="799C0417">
            <w:pPr>
              <w:pStyle w:val="27"/>
              <w:widowControl/>
              <w:spacing w:beforeAutospacing="0" w:afterAutospacing="0"/>
              <w:rPr>
                <w:color w:val="auto"/>
              </w:rPr>
            </w:pPr>
            <w:r>
              <w:rPr>
                <w:rFonts w:hint="eastAsia" w:ascii="宋体" w:hAnsi="宋体" w:eastAsia="宋体" w:cs="宋体"/>
                <w:color w:val="auto"/>
              </w:rPr>
              <w:t>（3）其他：无</w:t>
            </w:r>
          </w:p>
        </w:tc>
      </w:tr>
      <w:tr w14:paraId="122F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0" w:type="dxa"/>
              <w:left w:w="105" w:type="dxa"/>
              <w:bottom w:w="0" w:type="dxa"/>
              <w:right w:w="105" w:type="dxa"/>
            </w:tcMar>
            <w:vAlign w:val="center"/>
          </w:tcPr>
          <w:p w14:paraId="51004D97">
            <w:pPr>
              <w:pStyle w:val="27"/>
              <w:widowControl/>
              <w:spacing w:beforeAutospacing="0" w:afterAutospacing="0"/>
              <w:jc w:val="center"/>
              <w:rPr>
                <w:color w:val="auto"/>
              </w:rPr>
            </w:pPr>
            <w:r>
              <w:rPr>
                <w:rFonts w:hint="eastAsia" w:ascii="宋体" w:hAnsi="宋体" w:eastAsia="宋体" w:cs="宋体"/>
                <w:color w:val="auto"/>
              </w:rPr>
              <w:t>7</w:t>
            </w:r>
          </w:p>
        </w:tc>
        <w:tc>
          <w:tcPr>
            <w:tcW w:w="1382" w:type="dxa"/>
            <w:shd w:val="clear" w:color="auto" w:fill="auto"/>
            <w:tcMar>
              <w:top w:w="0" w:type="dxa"/>
              <w:left w:w="105" w:type="dxa"/>
              <w:bottom w:w="0" w:type="dxa"/>
              <w:right w:w="105" w:type="dxa"/>
            </w:tcMar>
            <w:vAlign w:val="center"/>
          </w:tcPr>
          <w:p w14:paraId="6354DD2A">
            <w:pPr>
              <w:pStyle w:val="27"/>
              <w:widowControl/>
              <w:spacing w:beforeAutospacing="0" w:afterAutospacing="0"/>
              <w:jc w:val="center"/>
              <w:rPr>
                <w:color w:val="auto"/>
              </w:rPr>
            </w:pPr>
            <w:r>
              <w:rPr>
                <w:rFonts w:hint="eastAsia" w:ascii="宋体" w:hAnsi="宋体" w:eastAsia="宋体" w:cs="宋体"/>
                <w:color w:val="auto"/>
              </w:rPr>
              <w:t>12.1</w:t>
            </w:r>
          </w:p>
        </w:tc>
        <w:tc>
          <w:tcPr>
            <w:tcW w:w="6477" w:type="dxa"/>
            <w:shd w:val="clear" w:color="auto" w:fill="auto"/>
            <w:tcMar>
              <w:top w:w="0" w:type="dxa"/>
              <w:left w:w="105" w:type="dxa"/>
              <w:bottom w:w="0" w:type="dxa"/>
              <w:right w:w="105" w:type="dxa"/>
            </w:tcMar>
            <w:vAlign w:val="center"/>
          </w:tcPr>
          <w:p w14:paraId="0468DD75">
            <w:pPr>
              <w:pStyle w:val="27"/>
              <w:widowControl/>
              <w:spacing w:beforeAutospacing="0" w:afterAutospacing="0"/>
              <w:rPr>
                <w:color w:val="auto"/>
              </w:rPr>
            </w:pPr>
            <w:r>
              <w:rPr>
                <w:rFonts w:hint="eastAsia" w:ascii="宋体" w:hAnsi="宋体" w:eastAsia="宋体" w:cs="宋体"/>
                <w:color w:val="auto"/>
              </w:rPr>
              <w:t>本项目推荐合同包1中标候选人数为1家。合同包2中标候选人数为1家。</w:t>
            </w:r>
          </w:p>
        </w:tc>
      </w:tr>
      <w:tr w14:paraId="1659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75" w:type="dxa"/>
              <w:left w:w="150" w:type="dxa"/>
              <w:bottom w:w="75" w:type="dxa"/>
              <w:right w:w="150" w:type="dxa"/>
            </w:tcMar>
            <w:vAlign w:val="center"/>
          </w:tcPr>
          <w:p w14:paraId="1499813C">
            <w:pPr>
              <w:pStyle w:val="27"/>
              <w:widowControl/>
              <w:spacing w:beforeAutospacing="0" w:afterAutospacing="0"/>
              <w:rPr>
                <w:color w:val="auto"/>
              </w:rPr>
            </w:pPr>
            <w:r>
              <w:rPr>
                <w:color w:val="auto"/>
              </w:rPr>
              <w:t>  8</w:t>
            </w:r>
          </w:p>
        </w:tc>
        <w:tc>
          <w:tcPr>
            <w:tcW w:w="1382" w:type="dxa"/>
            <w:shd w:val="clear" w:color="auto" w:fill="auto"/>
            <w:tcMar>
              <w:top w:w="75" w:type="dxa"/>
              <w:left w:w="150" w:type="dxa"/>
              <w:bottom w:w="75" w:type="dxa"/>
              <w:right w:w="150" w:type="dxa"/>
            </w:tcMar>
            <w:vAlign w:val="center"/>
          </w:tcPr>
          <w:p w14:paraId="32007BE8">
            <w:pPr>
              <w:pStyle w:val="27"/>
              <w:widowControl/>
              <w:spacing w:beforeAutospacing="0" w:afterAutospacing="0"/>
              <w:rPr>
                <w:color w:val="auto"/>
              </w:rPr>
            </w:pPr>
            <w:r>
              <w:rPr>
                <w:color w:val="auto"/>
              </w:rPr>
              <w:t>  </w:t>
            </w:r>
            <w:r>
              <w:rPr>
                <w:rFonts w:hint="eastAsia" w:ascii="宋体" w:hAnsi="宋体" w:eastAsia="宋体" w:cs="宋体"/>
                <w:color w:val="auto"/>
              </w:rPr>
              <w:t>12.2</w:t>
            </w:r>
          </w:p>
        </w:tc>
        <w:tc>
          <w:tcPr>
            <w:tcW w:w="6477" w:type="dxa"/>
            <w:shd w:val="clear" w:color="auto" w:fill="auto"/>
            <w:tcMar>
              <w:top w:w="75" w:type="dxa"/>
              <w:left w:w="150" w:type="dxa"/>
              <w:bottom w:w="75" w:type="dxa"/>
              <w:right w:w="150" w:type="dxa"/>
            </w:tcMar>
            <w:vAlign w:val="center"/>
          </w:tcPr>
          <w:p w14:paraId="6E12FAAE">
            <w:pPr>
              <w:pStyle w:val="27"/>
              <w:widowControl/>
              <w:spacing w:beforeAutospacing="0" w:afterAutospacing="0"/>
              <w:rPr>
                <w:color w:val="auto"/>
              </w:rPr>
            </w:pPr>
            <w:r>
              <w:rPr>
                <w:rStyle w:val="32"/>
                <w:rFonts w:hint="eastAsia" w:ascii="宋体" w:hAnsi="宋体" w:eastAsia="宋体" w:cs="宋体"/>
                <w:color w:val="auto"/>
              </w:rPr>
              <w:t>本项目中标人的确定（以合同包为单位）：</w:t>
            </w:r>
          </w:p>
          <w:p w14:paraId="4949ACCF">
            <w:pPr>
              <w:pStyle w:val="27"/>
              <w:widowControl/>
              <w:spacing w:beforeAutospacing="0" w:afterAutospacing="0"/>
              <w:rPr>
                <w:color w:val="auto"/>
              </w:rPr>
            </w:pPr>
            <w:r>
              <w:rPr>
                <w:rFonts w:hint="eastAsia" w:ascii="宋体" w:hAnsi="宋体" w:eastAsia="宋体" w:cs="宋体"/>
                <w:color w:val="auto"/>
              </w:rPr>
              <w:t>（1）采购人应在政府采购招投标管理办法规定的时限内确定中标人。</w:t>
            </w:r>
          </w:p>
          <w:p w14:paraId="2786B495">
            <w:pPr>
              <w:pStyle w:val="27"/>
              <w:widowControl/>
              <w:spacing w:beforeAutospacing="0" w:afterAutospacing="0"/>
              <w:rPr>
                <w:color w:val="auto"/>
              </w:rPr>
            </w:pPr>
            <w:r>
              <w:rPr>
                <w:rFonts w:hint="eastAsia" w:ascii="宋体" w:hAnsi="宋体" w:eastAsia="宋体" w:cs="宋体"/>
                <w:color w:val="auto"/>
              </w:rPr>
              <w:t>（2）若出现中标候选人并列情形，则按照下列方式确定中标人：</w:t>
            </w:r>
          </w:p>
          <w:p w14:paraId="3120CC30">
            <w:pPr>
              <w:pStyle w:val="27"/>
              <w:widowControl/>
              <w:spacing w:beforeAutospacing="0" w:afterAutospacing="0"/>
              <w:rPr>
                <w:color w:val="auto"/>
              </w:rPr>
            </w:pPr>
            <w:r>
              <w:rPr>
                <w:rFonts w:hint="eastAsia" w:ascii="宋体" w:hAnsi="宋体" w:eastAsia="宋体" w:cs="宋体"/>
                <w:color w:val="auto"/>
              </w:rPr>
              <w:t>①招标文件规定的方式：</w:t>
            </w:r>
            <w:r>
              <w:rPr>
                <w:color w:val="auto"/>
              </w:rPr>
              <w:t>无</w:t>
            </w:r>
            <w:r>
              <w:rPr>
                <w:rFonts w:hint="eastAsia" w:ascii="宋体" w:hAnsi="宋体" w:eastAsia="宋体" w:cs="宋体"/>
                <w:color w:val="auto"/>
              </w:rPr>
              <w:t>。</w:t>
            </w:r>
          </w:p>
          <w:p w14:paraId="43C60A09">
            <w:pPr>
              <w:pStyle w:val="27"/>
              <w:widowControl/>
              <w:spacing w:beforeAutospacing="0" w:afterAutospacing="0"/>
              <w:rPr>
                <w:color w:val="auto"/>
              </w:rPr>
            </w:pPr>
            <w:r>
              <w:rPr>
                <w:rFonts w:hint="eastAsia" w:ascii="宋体" w:hAnsi="宋体" w:eastAsia="宋体" w:cs="宋体"/>
                <w:color w:val="auto"/>
              </w:rPr>
              <w:t>②若本款第①点规定方式为“无”，则按照下列方式确定：无。</w:t>
            </w:r>
          </w:p>
          <w:p w14:paraId="498C8D16">
            <w:pPr>
              <w:pStyle w:val="27"/>
              <w:widowControl/>
              <w:spacing w:beforeAutospacing="0" w:afterAutospacing="0"/>
              <w:rPr>
                <w:color w:val="auto"/>
              </w:rPr>
            </w:pPr>
            <w:r>
              <w:rPr>
                <w:rFonts w:hint="eastAsia" w:ascii="宋体" w:hAnsi="宋体" w:eastAsia="宋体" w:cs="宋体"/>
                <w:color w:val="auto"/>
              </w:rPr>
              <w:t>③若本款第①、②点规定方式均为“无”，则按照下列方式确定：随机抽取。</w:t>
            </w:r>
          </w:p>
          <w:p w14:paraId="67681F1F">
            <w:pPr>
              <w:pStyle w:val="27"/>
              <w:widowControl/>
              <w:spacing w:beforeAutospacing="0" w:afterAutospacing="0"/>
              <w:rPr>
                <w:color w:val="auto"/>
              </w:rPr>
            </w:pPr>
            <w:r>
              <w:rPr>
                <w:rFonts w:hint="eastAsia" w:ascii="宋体" w:hAnsi="宋体" w:eastAsia="宋体" w:cs="宋体"/>
                <w:color w:val="auto"/>
              </w:rPr>
              <w:t>（3）本项目确定的中标人家数：</w:t>
            </w:r>
          </w:p>
          <w:p w14:paraId="57FA0755">
            <w:pPr>
              <w:pStyle w:val="27"/>
              <w:widowControl/>
              <w:spacing w:beforeAutospacing="0" w:afterAutospacing="0"/>
              <w:rPr>
                <w:rFonts w:eastAsia="宋体"/>
                <w:color w:val="auto"/>
              </w:rPr>
            </w:pPr>
            <w:r>
              <w:rPr>
                <w:rFonts w:hint="eastAsia" w:ascii="宋体" w:hAnsi="宋体" w:eastAsia="宋体" w:cs="宋体"/>
                <w:color w:val="auto"/>
              </w:rPr>
              <w:t>①本项目确定合同包1中标人数为1家，合同包2中标人数为1家；</w:t>
            </w:r>
          </w:p>
          <w:p w14:paraId="146A48D8">
            <w:pPr>
              <w:pStyle w:val="27"/>
              <w:widowControl/>
              <w:spacing w:beforeAutospacing="0" w:afterAutospacing="0"/>
              <w:rPr>
                <w:color w:val="auto"/>
              </w:rPr>
            </w:pPr>
            <w:r>
              <w:rPr>
                <w:rFonts w:hint="eastAsia" w:ascii="宋体" w:hAnsi="宋体" w:eastAsia="宋体" w:cs="宋体"/>
                <w:color w:val="auto"/>
              </w:rPr>
              <w:t>②若出现中标候选人符合法定家数但不足本款第①点规定中标人家数情形，则按照中标候选人的实际家数确定中标人。</w:t>
            </w:r>
          </w:p>
        </w:tc>
      </w:tr>
      <w:tr w14:paraId="77E7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0" w:type="dxa"/>
              <w:left w:w="105" w:type="dxa"/>
              <w:bottom w:w="0" w:type="dxa"/>
              <w:right w:w="105" w:type="dxa"/>
            </w:tcMar>
            <w:vAlign w:val="center"/>
          </w:tcPr>
          <w:p w14:paraId="36E7A461">
            <w:pPr>
              <w:pStyle w:val="27"/>
              <w:widowControl/>
              <w:spacing w:beforeAutospacing="0" w:afterAutospacing="0"/>
              <w:jc w:val="center"/>
              <w:rPr>
                <w:color w:val="auto"/>
              </w:rPr>
            </w:pPr>
            <w:r>
              <w:rPr>
                <w:rFonts w:hint="eastAsia" w:ascii="宋体" w:hAnsi="宋体" w:eastAsia="宋体" w:cs="宋体"/>
                <w:color w:val="auto"/>
              </w:rPr>
              <w:t>9</w:t>
            </w:r>
          </w:p>
        </w:tc>
        <w:tc>
          <w:tcPr>
            <w:tcW w:w="1382" w:type="dxa"/>
            <w:shd w:val="clear" w:color="auto" w:fill="auto"/>
            <w:tcMar>
              <w:top w:w="0" w:type="dxa"/>
              <w:left w:w="105" w:type="dxa"/>
              <w:bottom w:w="0" w:type="dxa"/>
              <w:right w:w="105" w:type="dxa"/>
            </w:tcMar>
            <w:vAlign w:val="center"/>
          </w:tcPr>
          <w:p w14:paraId="0BECD720">
            <w:pPr>
              <w:pStyle w:val="27"/>
              <w:widowControl/>
              <w:spacing w:beforeAutospacing="0" w:afterAutospacing="0"/>
              <w:rPr>
                <w:color w:val="auto"/>
              </w:rPr>
            </w:pPr>
            <w:r>
              <w:rPr>
                <w:rFonts w:hint="eastAsia" w:ascii="宋体" w:hAnsi="宋体" w:eastAsia="宋体" w:cs="宋体"/>
                <w:color w:val="auto"/>
              </w:rPr>
              <w:t> 15.1-（</w:t>
            </w:r>
            <w:r>
              <w:rPr>
                <w:rFonts w:ascii="Times New Roman" w:hAnsi="Times New Roman"/>
                <w:color w:val="auto"/>
              </w:rPr>
              <w:t>2</w:t>
            </w:r>
            <w:r>
              <w:rPr>
                <w:rFonts w:hint="eastAsia" w:ascii="宋体" w:hAnsi="宋体" w:eastAsia="宋体" w:cs="宋体"/>
                <w:color w:val="auto"/>
              </w:rPr>
              <w:t>）</w:t>
            </w:r>
          </w:p>
        </w:tc>
        <w:tc>
          <w:tcPr>
            <w:tcW w:w="6477" w:type="dxa"/>
            <w:shd w:val="clear" w:color="auto" w:fill="auto"/>
            <w:tcMar>
              <w:top w:w="0" w:type="dxa"/>
              <w:left w:w="105" w:type="dxa"/>
              <w:bottom w:w="0" w:type="dxa"/>
              <w:right w:w="105" w:type="dxa"/>
            </w:tcMar>
            <w:vAlign w:val="center"/>
          </w:tcPr>
          <w:p w14:paraId="389890E9">
            <w:pPr>
              <w:pStyle w:val="27"/>
              <w:widowControl/>
              <w:wordWrap w:val="0"/>
              <w:spacing w:beforeAutospacing="0" w:afterAutospacing="0"/>
              <w:rPr>
                <w:color w:val="auto"/>
              </w:rPr>
            </w:pPr>
            <w:r>
              <w:rPr>
                <w:rStyle w:val="32"/>
                <w:rFonts w:hint="eastAsia" w:ascii="宋体" w:hAnsi="宋体" w:eastAsia="宋体" w:cs="宋体"/>
                <w:color w:val="auto"/>
              </w:rPr>
              <w:t>质疑函原件应采用下列方式提交：</w:t>
            </w:r>
            <w:r>
              <w:rPr>
                <w:rFonts w:hint="eastAsia" w:ascii="宋体" w:hAnsi="宋体" w:eastAsia="宋体" w:cs="宋体"/>
                <w:color w:val="auto"/>
              </w:rPr>
              <w:t>书面形式。</w:t>
            </w:r>
          </w:p>
        </w:tc>
      </w:tr>
      <w:tr w14:paraId="3D60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0" w:type="dxa"/>
              <w:left w:w="105" w:type="dxa"/>
              <w:bottom w:w="0" w:type="dxa"/>
              <w:right w:w="105" w:type="dxa"/>
            </w:tcMar>
            <w:vAlign w:val="center"/>
          </w:tcPr>
          <w:p w14:paraId="416C1F6D">
            <w:pPr>
              <w:pStyle w:val="27"/>
              <w:widowControl/>
              <w:spacing w:beforeAutospacing="0" w:afterAutospacing="0"/>
              <w:jc w:val="center"/>
              <w:rPr>
                <w:color w:val="auto"/>
              </w:rPr>
            </w:pPr>
            <w:r>
              <w:rPr>
                <w:rFonts w:hint="eastAsia" w:ascii="宋体" w:hAnsi="宋体" w:eastAsia="宋体" w:cs="宋体"/>
                <w:color w:val="auto"/>
              </w:rPr>
              <w:t>10</w:t>
            </w:r>
          </w:p>
        </w:tc>
        <w:tc>
          <w:tcPr>
            <w:tcW w:w="1382" w:type="dxa"/>
            <w:shd w:val="clear" w:color="auto" w:fill="auto"/>
            <w:tcMar>
              <w:top w:w="0" w:type="dxa"/>
              <w:left w:w="105" w:type="dxa"/>
              <w:bottom w:w="0" w:type="dxa"/>
              <w:right w:w="105" w:type="dxa"/>
            </w:tcMar>
            <w:vAlign w:val="center"/>
          </w:tcPr>
          <w:p w14:paraId="4CB1C9C7">
            <w:pPr>
              <w:pStyle w:val="27"/>
              <w:widowControl/>
              <w:spacing w:beforeAutospacing="0" w:afterAutospacing="0"/>
              <w:rPr>
                <w:color w:val="auto"/>
              </w:rPr>
            </w:pPr>
            <w:r>
              <w:rPr>
                <w:rFonts w:hint="eastAsia" w:ascii="宋体" w:hAnsi="宋体" w:eastAsia="宋体" w:cs="宋体"/>
                <w:color w:val="auto"/>
              </w:rPr>
              <w:t> </w:t>
            </w:r>
          </w:p>
          <w:p w14:paraId="309CC1C4">
            <w:pPr>
              <w:pStyle w:val="27"/>
              <w:widowControl/>
              <w:spacing w:beforeAutospacing="0" w:afterAutospacing="0"/>
              <w:rPr>
                <w:color w:val="auto"/>
              </w:rPr>
            </w:pPr>
            <w:r>
              <w:rPr>
                <w:rFonts w:hint="eastAsia" w:ascii="宋体" w:hAnsi="宋体" w:eastAsia="宋体" w:cs="宋体"/>
                <w:color w:val="auto"/>
              </w:rPr>
              <w:t>   15.4</w:t>
            </w:r>
          </w:p>
          <w:p w14:paraId="0CE105F2">
            <w:pPr>
              <w:pStyle w:val="27"/>
              <w:widowControl/>
              <w:spacing w:beforeAutospacing="0" w:afterAutospacing="0"/>
              <w:rPr>
                <w:color w:val="auto"/>
              </w:rPr>
            </w:pPr>
            <w:r>
              <w:rPr>
                <w:rFonts w:ascii="Calibri" w:hAnsi="Calibri" w:cs="Calibri"/>
                <w:color w:val="auto"/>
              </w:rPr>
              <w:t> </w:t>
            </w:r>
          </w:p>
          <w:p w14:paraId="0CB3384B">
            <w:pPr>
              <w:pStyle w:val="27"/>
              <w:widowControl/>
              <w:spacing w:beforeAutospacing="0" w:afterAutospacing="0"/>
              <w:jc w:val="center"/>
              <w:rPr>
                <w:color w:val="auto"/>
              </w:rPr>
            </w:pPr>
            <w:r>
              <w:rPr>
                <w:rFonts w:ascii="Calibri" w:hAnsi="Calibri" w:cs="Calibri"/>
                <w:color w:val="auto"/>
              </w:rPr>
              <w:t> </w:t>
            </w:r>
          </w:p>
        </w:tc>
        <w:tc>
          <w:tcPr>
            <w:tcW w:w="6477" w:type="dxa"/>
            <w:shd w:val="clear" w:color="auto" w:fill="auto"/>
            <w:tcMar>
              <w:top w:w="0" w:type="dxa"/>
              <w:left w:w="105" w:type="dxa"/>
              <w:bottom w:w="0" w:type="dxa"/>
              <w:right w:w="105" w:type="dxa"/>
            </w:tcMar>
            <w:vAlign w:val="center"/>
          </w:tcPr>
          <w:p w14:paraId="43A2B00A">
            <w:pPr>
              <w:pStyle w:val="27"/>
              <w:widowControl/>
              <w:spacing w:beforeAutospacing="0" w:afterAutospacing="0"/>
              <w:rPr>
                <w:color w:val="auto"/>
              </w:rPr>
            </w:pPr>
            <w:r>
              <w:rPr>
                <w:rStyle w:val="32"/>
                <w:rFonts w:hint="eastAsia" w:ascii="宋体" w:hAnsi="宋体" w:eastAsia="宋体" w:cs="宋体"/>
                <w:color w:val="auto"/>
              </w:rPr>
              <w:t>招标文件的质疑</w:t>
            </w:r>
          </w:p>
          <w:p w14:paraId="443EEDD6">
            <w:pPr>
              <w:pStyle w:val="27"/>
              <w:widowControl/>
              <w:spacing w:beforeAutospacing="0" w:afterAutospacing="0"/>
              <w:rPr>
                <w:color w:val="auto"/>
              </w:rPr>
            </w:pPr>
            <w:r>
              <w:rPr>
                <w:rFonts w:hint="eastAsia" w:ascii="宋体" w:hAnsi="宋体" w:eastAsia="宋体" w:cs="宋体"/>
                <w:color w:val="auto"/>
              </w:rPr>
              <w:t>（1）潜在投标人可在质疑时效期间内对招标文件以书面形式提出质疑。</w:t>
            </w:r>
          </w:p>
          <w:p w14:paraId="4C2F4FDA">
            <w:pPr>
              <w:pStyle w:val="27"/>
              <w:widowControl/>
              <w:spacing w:beforeAutospacing="0" w:afterAutospacing="0"/>
              <w:rPr>
                <w:color w:val="auto"/>
              </w:rPr>
            </w:pPr>
            <w:r>
              <w:rPr>
                <w:rFonts w:hint="eastAsia" w:ascii="宋体" w:hAnsi="宋体" w:eastAsia="宋体" w:cs="宋体"/>
                <w:color w:val="auto"/>
              </w:rPr>
              <w:t>（2）质疑时效期间：</w:t>
            </w:r>
          </w:p>
          <w:p w14:paraId="49CCBE5C">
            <w:pPr>
              <w:pStyle w:val="27"/>
              <w:widowControl/>
              <w:spacing w:beforeAutospacing="0" w:afterAutospacing="0"/>
              <w:rPr>
                <w:color w:val="auto"/>
              </w:rPr>
            </w:pPr>
            <w:r>
              <w:rPr>
                <w:rFonts w:hint="eastAsia" w:ascii="宋体" w:hAnsi="宋体" w:eastAsia="宋体" w:cs="宋体"/>
                <w:color w:val="auto"/>
              </w:rPr>
              <w:t>①在招标文件公告期限内：自招标文件首次下载之日起</w:t>
            </w:r>
            <w:r>
              <w:rPr>
                <w:rFonts w:ascii="Times New Roman" w:hAnsi="Times New Roman"/>
                <w:color w:val="auto"/>
              </w:rPr>
              <w:t>7</w:t>
            </w:r>
            <w:r>
              <w:rPr>
                <w:rFonts w:hint="eastAsia" w:ascii="宋体" w:hAnsi="宋体" w:eastAsia="宋体" w:cs="宋体"/>
                <w:color w:val="auto"/>
              </w:rPr>
              <w:t>个工作日内向</w:t>
            </w:r>
            <w:r>
              <w:rPr>
                <w:rFonts w:hint="eastAsia" w:ascii="宋体" w:hAnsi="宋体" w:eastAsia="宋体" w:cs="宋体"/>
                <w:color w:val="auto"/>
                <w:u w:val="single"/>
              </w:rPr>
              <w:t>福建省招标中心有限责任公司</w:t>
            </w:r>
            <w:r>
              <w:rPr>
                <w:rFonts w:hint="eastAsia" w:ascii="宋体" w:hAnsi="宋体" w:eastAsia="宋体" w:cs="宋体"/>
                <w:color w:val="auto"/>
              </w:rPr>
              <w:t>提出，招标文件公告期限、首次下载之日均以福建省政府采购网上公开信息系统记载的为准。</w:t>
            </w:r>
          </w:p>
          <w:p w14:paraId="300D07BD">
            <w:pPr>
              <w:pStyle w:val="27"/>
              <w:widowControl/>
              <w:spacing w:beforeAutospacing="0" w:afterAutospacing="0"/>
              <w:rPr>
                <w:color w:val="auto"/>
              </w:rPr>
            </w:pPr>
            <w:r>
              <w:rPr>
                <w:rFonts w:hint="eastAsia" w:ascii="宋体" w:hAnsi="宋体" w:eastAsia="宋体" w:cs="宋体"/>
                <w:color w:val="auto"/>
              </w:rPr>
              <w:t>②在招标文件公告期限截止后至招标文件提供期限届满前的期间内：自招标文件公告期限届满之日起</w:t>
            </w:r>
            <w:r>
              <w:rPr>
                <w:rFonts w:ascii="Times New Roman" w:hAnsi="Times New Roman"/>
                <w:color w:val="auto"/>
              </w:rPr>
              <w:t>7</w:t>
            </w:r>
            <w:r>
              <w:rPr>
                <w:rFonts w:hint="eastAsia" w:ascii="宋体" w:hAnsi="宋体" w:eastAsia="宋体" w:cs="宋体"/>
                <w:color w:val="auto"/>
              </w:rPr>
              <w:t>个工作日内向</w:t>
            </w:r>
            <w:r>
              <w:rPr>
                <w:rFonts w:hint="eastAsia" w:ascii="宋体" w:hAnsi="宋体" w:eastAsia="宋体" w:cs="宋体"/>
                <w:color w:val="auto"/>
                <w:u w:val="single"/>
              </w:rPr>
              <w:t>福建省招标中心有限责任公司</w:t>
            </w:r>
            <w:r>
              <w:rPr>
                <w:rFonts w:hint="eastAsia" w:ascii="宋体" w:hAnsi="宋体" w:eastAsia="宋体" w:cs="宋体"/>
                <w:color w:val="auto"/>
              </w:rPr>
              <w:t>提出，招标文件公告期限、招标文件提供期限均以福建省政府采购网上公开信息系统记载的为准。</w:t>
            </w:r>
          </w:p>
          <w:p w14:paraId="2084698D">
            <w:pPr>
              <w:pStyle w:val="27"/>
              <w:widowControl/>
              <w:spacing w:beforeAutospacing="0" w:afterAutospacing="0"/>
              <w:rPr>
                <w:color w:val="auto"/>
              </w:rPr>
            </w:pPr>
            <w:r>
              <w:rPr>
                <w:rStyle w:val="32"/>
                <w:rFonts w:hint="eastAsia" w:ascii="宋体" w:hAnsi="宋体" w:eastAsia="宋体" w:cs="宋体"/>
                <w:color w:val="auto"/>
              </w:rPr>
              <w:t>※除上述规定外，对招标文件提出的质疑还应符合招标文件第三章第</w:t>
            </w:r>
            <w:r>
              <w:rPr>
                <w:rStyle w:val="32"/>
                <w:rFonts w:ascii="Times New Roman" w:hAnsi="Times New Roman"/>
                <w:color w:val="auto"/>
              </w:rPr>
              <w:t>15.1</w:t>
            </w:r>
            <w:r>
              <w:rPr>
                <w:rStyle w:val="32"/>
                <w:rFonts w:hint="eastAsia" w:ascii="宋体" w:hAnsi="宋体" w:eastAsia="宋体" w:cs="宋体"/>
                <w:color w:val="auto"/>
              </w:rPr>
              <w:t>条的有关规定。</w:t>
            </w:r>
          </w:p>
        </w:tc>
      </w:tr>
      <w:tr w14:paraId="00D1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0" w:type="dxa"/>
              <w:left w:w="105" w:type="dxa"/>
              <w:bottom w:w="0" w:type="dxa"/>
              <w:right w:w="105" w:type="dxa"/>
            </w:tcMar>
            <w:vAlign w:val="center"/>
          </w:tcPr>
          <w:p w14:paraId="60404D76">
            <w:pPr>
              <w:pStyle w:val="27"/>
              <w:widowControl/>
              <w:spacing w:beforeAutospacing="0" w:afterAutospacing="0"/>
              <w:jc w:val="center"/>
              <w:rPr>
                <w:color w:val="auto"/>
              </w:rPr>
            </w:pPr>
            <w:r>
              <w:rPr>
                <w:rFonts w:hint="eastAsia" w:ascii="宋体" w:hAnsi="宋体" w:eastAsia="宋体" w:cs="宋体"/>
                <w:color w:val="auto"/>
              </w:rPr>
              <w:t>11</w:t>
            </w:r>
          </w:p>
        </w:tc>
        <w:tc>
          <w:tcPr>
            <w:tcW w:w="1382" w:type="dxa"/>
            <w:shd w:val="clear" w:color="auto" w:fill="auto"/>
            <w:tcMar>
              <w:top w:w="0" w:type="dxa"/>
              <w:left w:w="105" w:type="dxa"/>
              <w:bottom w:w="0" w:type="dxa"/>
              <w:right w:w="105" w:type="dxa"/>
            </w:tcMar>
            <w:vAlign w:val="center"/>
          </w:tcPr>
          <w:p w14:paraId="21B34DAC">
            <w:pPr>
              <w:pStyle w:val="27"/>
              <w:widowControl/>
              <w:spacing w:beforeAutospacing="0" w:afterAutospacing="0"/>
              <w:jc w:val="center"/>
              <w:rPr>
                <w:color w:val="auto"/>
              </w:rPr>
            </w:pPr>
            <w:r>
              <w:rPr>
                <w:rFonts w:hint="eastAsia" w:ascii="宋体" w:hAnsi="宋体" w:eastAsia="宋体" w:cs="宋体"/>
                <w:color w:val="auto"/>
              </w:rPr>
              <w:t>16.1</w:t>
            </w:r>
          </w:p>
        </w:tc>
        <w:tc>
          <w:tcPr>
            <w:tcW w:w="6477" w:type="dxa"/>
            <w:shd w:val="clear" w:color="auto" w:fill="auto"/>
            <w:tcMar>
              <w:top w:w="0" w:type="dxa"/>
              <w:left w:w="105" w:type="dxa"/>
              <w:bottom w:w="0" w:type="dxa"/>
              <w:right w:w="105" w:type="dxa"/>
            </w:tcMar>
            <w:vAlign w:val="center"/>
          </w:tcPr>
          <w:p w14:paraId="1AB54D18">
            <w:pPr>
              <w:pStyle w:val="27"/>
              <w:widowControl/>
              <w:spacing w:beforeAutospacing="0" w:afterAutospacing="0"/>
              <w:rPr>
                <w:color w:val="auto"/>
              </w:rPr>
            </w:pPr>
            <w:r>
              <w:rPr>
                <w:rStyle w:val="32"/>
                <w:rFonts w:hint="eastAsia" w:ascii="宋体" w:hAnsi="宋体" w:eastAsia="宋体" w:cs="宋体"/>
                <w:color w:val="auto"/>
              </w:rPr>
              <w:t>监督管理部门：</w:t>
            </w:r>
            <w:r>
              <w:rPr>
                <w:rFonts w:hint="eastAsia" w:ascii="宋体" w:hAnsi="宋体" w:eastAsia="宋体" w:cs="宋体"/>
                <w:color w:val="auto"/>
              </w:rPr>
              <w:t>福州市财政局</w:t>
            </w:r>
            <w:r>
              <w:rPr>
                <w:rStyle w:val="32"/>
                <w:rFonts w:hint="eastAsia" w:ascii="宋体" w:hAnsi="宋体" w:eastAsia="宋体" w:cs="宋体"/>
                <w:color w:val="auto"/>
              </w:rPr>
              <w:t>（仅限依法进行政府采购的货物或服务类项目）</w:t>
            </w:r>
            <w:r>
              <w:rPr>
                <w:rFonts w:hint="eastAsia" w:ascii="宋体" w:hAnsi="宋体" w:eastAsia="宋体" w:cs="宋体"/>
                <w:color w:val="auto"/>
              </w:rPr>
              <w:t>。</w:t>
            </w:r>
          </w:p>
        </w:tc>
      </w:tr>
      <w:tr w14:paraId="5483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0" w:type="dxa"/>
              <w:left w:w="105" w:type="dxa"/>
              <w:bottom w:w="0" w:type="dxa"/>
              <w:right w:w="105" w:type="dxa"/>
            </w:tcMar>
            <w:vAlign w:val="center"/>
          </w:tcPr>
          <w:p w14:paraId="7964BA26">
            <w:pPr>
              <w:pStyle w:val="27"/>
              <w:widowControl/>
              <w:spacing w:beforeAutospacing="0" w:afterAutospacing="0"/>
              <w:jc w:val="center"/>
              <w:rPr>
                <w:color w:val="auto"/>
              </w:rPr>
            </w:pPr>
            <w:r>
              <w:rPr>
                <w:rFonts w:hint="eastAsia" w:ascii="宋体" w:hAnsi="宋体" w:eastAsia="宋体" w:cs="宋体"/>
                <w:color w:val="auto"/>
              </w:rPr>
              <w:t>12</w:t>
            </w:r>
          </w:p>
        </w:tc>
        <w:tc>
          <w:tcPr>
            <w:tcW w:w="1382" w:type="dxa"/>
            <w:shd w:val="clear" w:color="auto" w:fill="auto"/>
            <w:tcMar>
              <w:top w:w="0" w:type="dxa"/>
              <w:left w:w="105" w:type="dxa"/>
              <w:bottom w:w="0" w:type="dxa"/>
              <w:right w:w="105" w:type="dxa"/>
            </w:tcMar>
            <w:vAlign w:val="center"/>
          </w:tcPr>
          <w:p w14:paraId="04892893">
            <w:pPr>
              <w:pStyle w:val="27"/>
              <w:widowControl/>
              <w:spacing w:beforeAutospacing="0" w:afterAutospacing="0"/>
              <w:jc w:val="center"/>
              <w:rPr>
                <w:color w:val="auto"/>
              </w:rPr>
            </w:pPr>
            <w:r>
              <w:rPr>
                <w:rFonts w:hint="eastAsia" w:ascii="宋体" w:hAnsi="宋体" w:eastAsia="宋体" w:cs="宋体"/>
                <w:color w:val="auto"/>
              </w:rPr>
              <w:t>18.1</w:t>
            </w:r>
          </w:p>
        </w:tc>
        <w:tc>
          <w:tcPr>
            <w:tcW w:w="6477" w:type="dxa"/>
            <w:shd w:val="clear" w:color="auto" w:fill="auto"/>
            <w:tcMar>
              <w:top w:w="0" w:type="dxa"/>
              <w:left w:w="105" w:type="dxa"/>
              <w:bottom w:w="0" w:type="dxa"/>
              <w:right w:w="105" w:type="dxa"/>
            </w:tcMar>
            <w:vAlign w:val="center"/>
          </w:tcPr>
          <w:p w14:paraId="196A94A3">
            <w:pPr>
              <w:pStyle w:val="27"/>
              <w:widowControl/>
              <w:wordWrap w:val="0"/>
              <w:spacing w:beforeAutospacing="0" w:afterAutospacing="0"/>
              <w:rPr>
                <w:color w:val="auto"/>
              </w:rPr>
            </w:pPr>
            <w:r>
              <w:rPr>
                <w:rStyle w:val="32"/>
                <w:rFonts w:hint="eastAsia" w:ascii="宋体" w:hAnsi="宋体" w:eastAsia="宋体" w:cs="宋体"/>
                <w:color w:val="auto"/>
              </w:rPr>
              <w:t>财政部和福建省财政厅指定的政府采购信息发布媒体（以下简称：“指定媒体”）：</w:t>
            </w:r>
          </w:p>
          <w:p w14:paraId="3EA11BEF">
            <w:pPr>
              <w:pStyle w:val="27"/>
              <w:widowControl/>
              <w:wordWrap w:val="0"/>
              <w:spacing w:beforeAutospacing="0" w:afterAutospacing="0"/>
              <w:rPr>
                <w:color w:val="auto"/>
              </w:rPr>
            </w:pPr>
            <w:r>
              <w:rPr>
                <w:rFonts w:hint="eastAsia" w:ascii="宋体" w:hAnsi="宋体" w:eastAsia="宋体" w:cs="宋体"/>
                <w:color w:val="auto"/>
              </w:rPr>
              <w:t>（1）中国政府采购网，网址www.ccgp.gov.cn</w:t>
            </w:r>
            <w:r>
              <w:rPr>
                <w:color w:val="auto"/>
              </w:rPr>
              <w:t>。</w:t>
            </w:r>
          </w:p>
          <w:p w14:paraId="394051C7">
            <w:pPr>
              <w:pStyle w:val="27"/>
              <w:widowControl/>
              <w:wordWrap w:val="0"/>
              <w:spacing w:beforeAutospacing="0" w:afterAutospacing="0"/>
              <w:rPr>
                <w:color w:val="auto"/>
              </w:rPr>
            </w:pPr>
            <w:r>
              <w:rPr>
                <w:rFonts w:hint="eastAsia" w:ascii="宋体" w:hAnsi="宋体" w:eastAsia="宋体" w:cs="宋体"/>
                <w:color w:val="auto"/>
              </w:rPr>
              <w:t>（2）中国政府采购网福建分网（福建省政府采购网），网址zfcg.czt.fujian.gov.cn</w:t>
            </w:r>
            <w:r>
              <w:rPr>
                <w:color w:val="auto"/>
              </w:rPr>
              <w:t>。</w:t>
            </w:r>
          </w:p>
          <w:p w14:paraId="327F5C9B">
            <w:pPr>
              <w:pStyle w:val="27"/>
              <w:widowControl/>
              <w:wordWrap w:val="0"/>
              <w:spacing w:beforeAutospacing="0" w:afterAutospacing="0"/>
              <w:rPr>
                <w:color w:val="auto"/>
              </w:rPr>
            </w:pPr>
            <w:r>
              <w:rPr>
                <w:rStyle w:val="32"/>
                <w:rFonts w:hint="eastAsia" w:ascii="宋体" w:hAnsi="宋体" w:eastAsia="宋体" w:cs="宋体"/>
                <w:color w:val="auto"/>
              </w:rPr>
              <w:t>※除招标文件第一章第</w:t>
            </w:r>
            <w:r>
              <w:rPr>
                <w:rStyle w:val="32"/>
                <w:rFonts w:ascii="Times New Roman" w:hAnsi="Times New Roman"/>
                <w:color w:val="auto"/>
              </w:rPr>
              <w:t>11.1</w:t>
            </w:r>
            <w:r>
              <w:rPr>
                <w:rStyle w:val="32"/>
                <w:rFonts w:hint="eastAsia" w:ascii="宋体" w:hAnsi="宋体" w:eastAsia="宋体" w:cs="宋体"/>
                <w:color w:val="auto"/>
              </w:rPr>
              <w:t>条规定情形外，若出现上述指定媒体信息不一致情形，应以中国政府采购网福建分网（福建省政府采购网）发布的为准。</w:t>
            </w:r>
          </w:p>
        </w:tc>
      </w:tr>
      <w:tr w14:paraId="76CC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7" w:type="dxa"/>
            <w:shd w:val="clear" w:color="auto" w:fill="auto"/>
            <w:tcMar>
              <w:top w:w="0" w:type="dxa"/>
              <w:left w:w="105" w:type="dxa"/>
              <w:bottom w:w="0" w:type="dxa"/>
              <w:right w:w="105" w:type="dxa"/>
            </w:tcMar>
            <w:vAlign w:val="center"/>
          </w:tcPr>
          <w:p w14:paraId="3985E5AF">
            <w:pPr>
              <w:pStyle w:val="27"/>
              <w:widowControl/>
              <w:spacing w:beforeAutospacing="0" w:afterAutospacing="0"/>
              <w:jc w:val="center"/>
              <w:rPr>
                <w:color w:val="auto"/>
              </w:rPr>
            </w:pPr>
            <w:r>
              <w:rPr>
                <w:rFonts w:hint="eastAsia" w:ascii="宋体" w:hAnsi="宋体" w:eastAsia="宋体" w:cs="宋体"/>
                <w:color w:val="auto"/>
              </w:rPr>
              <w:t>13</w:t>
            </w:r>
          </w:p>
        </w:tc>
        <w:tc>
          <w:tcPr>
            <w:tcW w:w="1382" w:type="dxa"/>
            <w:shd w:val="clear" w:color="auto" w:fill="auto"/>
            <w:tcMar>
              <w:top w:w="0" w:type="dxa"/>
              <w:left w:w="105" w:type="dxa"/>
              <w:bottom w:w="0" w:type="dxa"/>
              <w:right w:w="105" w:type="dxa"/>
            </w:tcMar>
            <w:vAlign w:val="center"/>
          </w:tcPr>
          <w:p w14:paraId="15172B02">
            <w:pPr>
              <w:pStyle w:val="27"/>
              <w:widowControl/>
              <w:spacing w:beforeAutospacing="0" w:afterAutospacing="0"/>
              <w:jc w:val="center"/>
              <w:rPr>
                <w:color w:val="auto"/>
              </w:rPr>
            </w:pPr>
            <w:r>
              <w:rPr>
                <w:rFonts w:hint="eastAsia" w:ascii="宋体" w:hAnsi="宋体" w:eastAsia="宋体" w:cs="宋体"/>
                <w:color w:val="auto"/>
              </w:rPr>
              <w:t>19</w:t>
            </w:r>
          </w:p>
        </w:tc>
        <w:tc>
          <w:tcPr>
            <w:tcW w:w="6477" w:type="dxa"/>
            <w:shd w:val="clear" w:color="auto" w:fill="auto"/>
            <w:tcMar>
              <w:top w:w="0" w:type="dxa"/>
              <w:left w:w="105" w:type="dxa"/>
              <w:bottom w:w="0" w:type="dxa"/>
              <w:right w:w="105" w:type="dxa"/>
            </w:tcMar>
            <w:vAlign w:val="center"/>
          </w:tcPr>
          <w:p w14:paraId="5C59C635">
            <w:pPr>
              <w:pStyle w:val="27"/>
              <w:widowControl/>
              <w:wordWrap w:val="0"/>
              <w:spacing w:beforeAutospacing="0" w:afterAutospacing="0"/>
              <w:rPr>
                <w:color w:val="auto"/>
              </w:rPr>
            </w:pPr>
            <w:r>
              <w:rPr>
                <w:rStyle w:val="32"/>
                <w:rFonts w:hint="eastAsia" w:ascii="宋体" w:hAnsi="宋体" w:eastAsia="宋体" w:cs="宋体"/>
                <w:color w:val="auto"/>
              </w:rPr>
              <w:t>其他事项：</w:t>
            </w:r>
          </w:p>
          <w:p w14:paraId="4861241C">
            <w:pPr>
              <w:pStyle w:val="27"/>
              <w:widowControl/>
              <w:numPr>
                <w:ilvl w:val="0"/>
                <w:numId w:val="3"/>
              </w:numPr>
              <w:wordWrap w:val="0"/>
              <w:spacing w:beforeAutospacing="0" w:afterAutospacing="0"/>
              <w:rPr>
                <w:color w:val="auto"/>
              </w:rPr>
            </w:pPr>
            <w:r>
              <w:rPr>
                <w:rStyle w:val="32"/>
                <w:rFonts w:hint="eastAsia" w:ascii="宋体" w:hAnsi="宋体" w:eastAsia="宋体" w:cs="宋体"/>
                <w:color w:val="auto"/>
              </w:rPr>
              <w:t>本项目代理服务费由</w:t>
            </w:r>
            <w:r>
              <w:rPr>
                <w:rFonts w:hint="eastAsia" w:ascii="宋体" w:hAnsi="宋体" w:eastAsia="宋体" w:cs="宋体"/>
                <w:color w:val="auto"/>
              </w:rPr>
              <w:t>中标人</w:t>
            </w:r>
            <w:r>
              <w:rPr>
                <w:rStyle w:val="32"/>
                <w:rFonts w:hint="eastAsia" w:ascii="宋体" w:hAnsi="宋体" w:eastAsia="宋体" w:cs="宋体"/>
                <w:color w:val="auto"/>
              </w:rPr>
              <w:t>支付。</w:t>
            </w:r>
            <w:r>
              <w:rPr>
                <w:rStyle w:val="32"/>
                <w:rFonts w:hint="eastAsia" w:ascii="宋体" w:hAnsi="宋体" w:eastAsia="宋体" w:cs="宋体"/>
                <w:color w:val="auto"/>
              </w:rPr>
              <w:br w:type="textWrapping"/>
            </w:r>
            <w:r>
              <w:rPr>
                <w:rStyle w:val="32"/>
                <w:rFonts w:hint="eastAsia" w:ascii="宋体" w:hAnsi="宋体" w:eastAsia="宋体" w:cs="宋体"/>
                <w:color w:val="auto"/>
              </w:rPr>
              <w:t>(2)其他：</w:t>
            </w:r>
            <w:r>
              <w:rPr>
                <w:rFonts w:hint="eastAsia" w:ascii="宋体" w:hAnsi="宋体" w:eastAsia="宋体" w:cs="宋体"/>
                <w:color w:val="auto"/>
              </w:rPr>
              <w:t>①</w:t>
            </w:r>
            <w:r>
              <w:rPr>
                <w:rFonts w:hint="eastAsia" w:ascii="宋体" w:hAnsi="宋体" w:eastAsia="宋体" w:cs="宋体"/>
                <w:bCs/>
                <w:color w:val="auto"/>
              </w:rPr>
              <w:t>本项目的招标代理服务费由中标人支付，具体收费标准：100万元以下 1.5%；100万元-500万元 0.8%；500万元-1000万元0.45%；1000万元-5000万元0.25%，招标服务费按照合同包中标金额以差额定率累进法计算。中标人应在领取中标通知书前以转帐、电汇付款方式一次性向采购代理机构缴纳招标代理服务费。 服务费缴纳账户信息：【开户名：福建省招标中心有限责任公司；开户行：兴业银行福州西门支行；账 号：118080100100104492】</w:t>
            </w:r>
            <w:r>
              <w:rPr>
                <w:rFonts w:hint="eastAsia" w:ascii="宋体" w:hAnsi="宋体" w:eastAsia="宋体" w:cs="宋体"/>
                <w:color w:val="auto"/>
              </w:rPr>
              <w:t>。②若因投标人自身原因导致其电子投标文件无法解密的，投标将被拒绝。③质疑受理的其它要求： A、质疑人线下提交书面质疑的，质疑书还应包括：a、质疑人已在福建省政府采购网上公开信息系统上已对本项目进行报名的证明文件（体现报名时间），否则将不被认定为潜在投标人【招标文件首次下载之日为质疑人在福建省政府采购网上公开信息系统成功报名之日】；b、质疑人为法人或其他组织的，质疑函需逐页加盖质疑人单位公章；若本项目接受自然人投标且质疑人为自然人的，质疑函需质疑人本人逐页签名。B、在法定质疑期内供 应商须一次性提出针对同一采购程序环节的质疑，二（多）次质疑不予受理，采购代理机构或采购人只针对第一次有效质疑进行答复。C、投标人对本项目招标文件有任何疑议或不认同之处，需在法定时间内按规定以书面方式提出质疑，否则视为投标人接受招标文件的规定。④开标后，如个别供应商开标报价明显低于其它供应商报价的，根据系统自动预警提示，评标时，评委会将会对价格合理性进行评估，根据《政府采购货物和服务招标投标管理办法》87号令第六十条的规定要求投标人在评标现场合理的时间内（一般在接到通知的半小时内）提供书面说明，必要时还应要求其一并提交有关证明材料；投标人不能证明其报价合理性的，评标委员会应将其作为投标无效处理。建议投标人提前评估其报价的合理性，提早准备相应材料，以便出现上述情形时能在规定时间内提供。⑤法定条件中“信用记录查询”的补充说明：由资格审查小组进行查询审查：在资格审查当日资格审查小组通过“信用中国”网站（www.creditchina.gov.cn）、中国政府采购网（www.ccgp.gov.cn）查询并打印投标人信用记录。若发现投标人参加本项目采购活动(投标截止时间止)前三年内被列入失信被执行人名单、重大税收违法案件当事人名单、政府采购严重违法失信行为记录名单，受到政府采购行政处罚（存在被拒绝参与政府采购活动相关信息的），且相关信用惩戒期限未满，以及其他不符合《中华人民共和国政府采购法》第二十二条规定条件的供 应商，其资格审查不合格。 取消招标文件中涉及投标人需提供信用记录查询相关文件要求的条款，投标人无需再提供。 ⑥因疫情影响享受缓缴或免缴社保、税款的企业，无法提供相关社保、税收缴纳证明材料的，提供有关情况说明视同社保、税收缴纳证明材料提交完整。⑦若投标人在《参加采购活动前三年内在经营活动中没有重大违法记录书面声明》中对近三年无行贿记录进行声明的，视为满足资格条件中关于“检察机关行贿犯罪档案查询结果告知函”有关要求。 ⑧关于招标文件要求的“财务状况报告（财务报告、或资信证明、或投标担保函）”的补充说明：“上一年度”是指2020年度或2021年度均视同为满足招标文件的要求。⑨为本项目的整体采购项目的前期工作提供项目可行性研究报告编制单位为“福建省邮电规划设计院有限公司”，其不得再参加本项目整体项目及本项目所有分项的采购活动。⑩本项目为非专门面向中小企业采购项目。</w:t>
            </w:r>
          </w:p>
        </w:tc>
      </w:tr>
      <w:tr w14:paraId="1837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2009" w:type="dxa"/>
            <w:gridSpan w:val="2"/>
            <w:shd w:val="clear" w:color="auto" w:fill="auto"/>
            <w:tcMar>
              <w:top w:w="75" w:type="dxa"/>
              <w:left w:w="150" w:type="dxa"/>
              <w:bottom w:w="75" w:type="dxa"/>
              <w:right w:w="150" w:type="dxa"/>
            </w:tcMar>
            <w:vAlign w:val="center"/>
          </w:tcPr>
          <w:p w14:paraId="0C176E67">
            <w:pPr>
              <w:pStyle w:val="27"/>
              <w:widowControl/>
              <w:spacing w:beforeAutospacing="0" w:afterAutospacing="0"/>
              <w:rPr>
                <w:color w:val="auto"/>
              </w:rPr>
            </w:pPr>
            <w:r>
              <w:rPr>
                <w:rFonts w:hint="eastAsia" w:ascii="宋体" w:hAnsi="宋体" w:eastAsia="宋体" w:cs="宋体"/>
                <w:color w:val="auto"/>
              </w:rPr>
              <w:t>     备注</w:t>
            </w:r>
          </w:p>
        </w:tc>
        <w:tc>
          <w:tcPr>
            <w:tcW w:w="6477" w:type="dxa"/>
            <w:shd w:val="clear" w:color="auto" w:fill="auto"/>
            <w:tcMar>
              <w:top w:w="75" w:type="dxa"/>
              <w:left w:w="150" w:type="dxa"/>
              <w:bottom w:w="75" w:type="dxa"/>
              <w:right w:w="150" w:type="dxa"/>
            </w:tcMar>
            <w:vAlign w:val="center"/>
          </w:tcPr>
          <w:p w14:paraId="1A4BEB06">
            <w:pPr>
              <w:pStyle w:val="27"/>
              <w:widowControl/>
              <w:spacing w:beforeAutospacing="0" w:afterAutospacing="0"/>
              <w:rPr>
                <w:color w:val="auto"/>
              </w:rPr>
            </w:pPr>
            <w:r>
              <w:rPr>
                <w:rStyle w:val="32"/>
                <w:rFonts w:hint="eastAsia" w:ascii="宋体" w:hAnsi="宋体" w:eastAsia="宋体" w:cs="宋体"/>
                <w:color w:val="auto"/>
              </w:rPr>
              <w:t>后有表</w:t>
            </w:r>
            <w:r>
              <w:rPr>
                <w:rStyle w:val="32"/>
                <w:rFonts w:ascii="Times New Roman" w:hAnsi="Times New Roman"/>
                <w:color w:val="auto"/>
              </w:rPr>
              <w:t>2</w:t>
            </w:r>
            <w:r>
              <w:rPr>
                <w:rStyle w:val="32"/>
                <w:rFonts w:hint="eastAsia" w:ascii="宋体" w:hAnsi="宋体" w:eastAsia="宋体" w:cs="宋体"/>
                <w:color w:val="auto"/>
              </w:rPr>
              <w:t>，请勿遗漏。</w:t>
            </w:r>
          </w:p>
        </w:tc>
      </w:tr>
    </w:tbl>
    <w:p w14:paraId="4670DAA6">
      <w:pPr>
        <w:pStyle w:val="27"/>
        <w:widowControl/>
        <w:spacing w:before="75" w:beforeAutospacing="0" w:after="75" w:afterAutospacing="0"/>
        <w:rPr>
          <w:color w:val="auto"/>
        </w:rPr>
      </w:pPr>
      <w:r>
        <w:rPr>
          <w:color w:val="auto"/>
        </w:rPr>
        <w:t> </w:t>
      </w:r>
    </w:p>
    <w:p w14:paraId="53400EE0">
      <w:pPr>
        <w:pStyle w:val="27"/>
        <w:widowControl/>
        <w:spacing w:before="75" w:beforeAutospacing="0" w:after="75" w:afterAutospacing="0"/>
        <w:rPr>
          <w:color w:val="auto"/>
        </w:rPr>
      </w:pPr>
      <w:r>
        <w:rPr>
          <w:color w:val="auto"/>
        </w:rPr>
        <w:t> </w:t>
      </w:r>
    </w:p>
    <w:p w14:paraId="5FEF09C8">
      <w:pPr>
        <w:pStyle w:val="27"/>
        <w:widowControl/>
        <w:spacing w:before="75" w:beforeAutospacing="0" w:after="75" w:afterAutospacing="0"/>
        <w:outlineLvl w:val="1"/>
        <w:rPr>
          <w:color w:val="auto"/>
        </w:rPr>
      </w:pPr>
      <w:r>
        <w:rPr>
          <w:rFonts w:hint="eastAsia" w:ascii="宋体" w:hAnsi="宋体" w:eastAsia="宋体" w:cs="宋体"/>
          <w:color w:val="auto"/>
        </w:rPr>
        <w:t>表2</w:t>
      </w:r>
    </w:p>
    <w:tbl>
      <w:tblPr>
        <w:tblStyle w:val="30"/>
        <w:tblW w:w="8575"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17"/>
        <w:gridCol w:w="8058"/>
      </w:tblGrid>
      <w:tr w14:paraId="0CEF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8515" w:type="dxa"/>
            <w:gridSpan w:val="2"/>
            <w:shd w:val="clear" w:color="auto" w:fill="auto"/>
            <w:tcMar>
              <w:top w:w="0" w:type="dxa"/>
              <w:left w:w="105" w:type="dxa"/>
              <w:bottom w:w="0" w:type="dxa"/>
              <w:right w:w="105" w:type="dxa"/>
            </w:tcMar>
            <w:vAlign w:val="center"/>
          </w:tcPr>
          <w:p w14:paraId="5050C7EC">
            <w:pPr>
              <w:pStyle w:val="27"/>
              <w:widowControl/>
              <w:spacing w:beforeAutospacing="0" w:afterAutospacing="0"/>
              <w:jc w:val="center"/>
              <w:rPr>
                <w:color w:val="auto"/>
              </w:rPr>
            </w:pPr>
            <w:r>
              <w:rPr>
                <w:rStyle w:val="32"/>
                <w:rFonts w:hint="eastAsia" w:ascii="宋体" w:hAnsi="宋体" w:eastAsia="宋体" w:cs="宋体"/>
                <w:color w:val="auto"/>
              </w:rPr>
              <w:t>关于电子招标投标活动的专门规定</w:t>
            </w:r>
          </w:p>
        </w:tc>
      </w:tr>
      <w:tr w14:paraId="079F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72" w:type="dxa"/>
            <w:shd w:val="clear" w:color="auto" w:fill="auto"/>
            <w:tcMar>
              <w:top w:w="0" w:type="dxa"/>
              <w:left w:w="105" w:type="dxa"/>
              <w:bottom w:w="0" w:type="dxa"/>
              <w:right w:w="105" w:type="dxa"/>
            </w:tcMar>
            <w:vAlign w:val="center"/>
          </w:tcPr>
          <w:p w14:paraId="30F36331">
            <w:pPr>
              <w:pStyle w:val="27"/>
              <w:widowControl/>
              <w:spacing w:beforeAutospacing="0" w:afterAutospacing="0"/>
              <w:jc w:val="center"/>
              <w:rPr>
                <w:color w:val="auto"/>
              </w:rPr>
            </w:pPr>
            <w:r>
              <w:rPr>
                <w:rFonts w:hint="eastAsia" w:ascii="宋体" w:hAnsi="宋体" w:eastAsia="宋体" w:cs="宋体"/>
                <w:color w:val="auto"/>
              </w:rPr>
              <w:t>序号</w:t>
            </w:r>
          </w:p>
        </w:tc>
        <w:tc>
          <w:tcPr>
            <w:tcW w:w="8013" w:type="dxa"/>
            <w:shd w:val="clear" w:color="auto" w:fill="auto"/>
            <w:tcMar>
              <w:top w:w="0" w:type="dxa"/>
              <w:left w:w="105" w:type="dxa"/>
              <w:bottom w:w="0" w:type="dxa"/>
              <w:right w:w="105" w:type="dxa"/>
            </w:tcMar>
            <w:vAlign w:val="center"/>
          </w:tcPr>
          <w:p w14:paraId="4546149A">
            <w:pPr>
              <w:pStyle w:val="27"/>
              <w:widowControl/>
              <w:spacing w:beforeAutospacing="0" w:afterAutospacing="0"/>
              <w:jc w:val="center"/>
              <w:rPr>
                <w:color w:val="auto"/>
              </w:rPr>
            </w:pPr>
            <w:r>
              <w:rPr>
                <w:rFonts w:hint="eastAsia" w:ascii="宋体" w:hAnsi="宋体" w:eastAsia="宋体" w:cs="宋体"/>
                <w:color w:val="auto"/>
              </w:rPr>
              <w:t>编列内容</w:t>
            </w:r>
          </w:p>
        </w:tc>
      </w:tr>
      <w:tr w14:paraId="5063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72" w:type="dxa"/>
            <w:shd w:val="clear" w:color="auto" w:fill="auto"/>
            <w:tcMar>
              <w:top w:w="0" w:type="dxa"/>
              <w:left w:w="105" w:type="dxa"/>
              <w:bottom w:w="0" w:type="dxa"/>
              <w:right w:w="105" w:type="dxa"/>
            </w:tcMar>
            <w:vAlign w:val="center"/>
          </w:tcPr>
          <w:p w14:paraId="6AA2A3CD">
            <w:pPr>
              <w:pStyle w:val="27"/>
              <w:widowControl/>
              <w:spacing w:beforeAutospacing="0" w:afterAutospacing="0"/>
              <w:jc w:val="center"/>
              <w:rPr>
                <w:color w:val="auto"/>
              </w:rPr>
            </w:pPr>
            <w:r>
              <w:rPr>
                <w:rFonts w:hint="eastAsia" w:ascii="宋体" w:hAnsi="宋体" w:eastAsia="宋体" w:cs="宋体"/>
                <w:color w:val="auto"/>
              </w:rPr>
              <w:t>1</w:t>
            </w:r>
          </w:p>
        </w:tc>
        <w:tc>
          <w:tcPr>
            <w:tcW w:w="8013" w:type="dxa"/>
            <w:shd w:val="clear" w:color="auto" w:fill="auto"/>
            <w:tcMar>
              <w:top w:w="0" w:type="dxa"/>
              <w:left w:w="105" w:type="dxa"/>
              <w:bottom w:w="0" w:type="dxa"/>
              <w:right w:w="105" w:type="dxa"/>
            </w:tcMar>
            <w:vAlign w:val="center"/>
          </w:tcPr>
          <w:p w14:paraId="5A243D16">
            <w:pPr>
              <w:pStyle w:val="27"/>
              <w:widowControl/>
              <w:wordWrap w:val="0"/>
              <w:spacing w:beforeAutospacing="0" w:afterAutospacing="0"/>
              <w:rPr>
                <w:color w:val="auto"/>
              </w:rPr>
            </w:pPr>
            <w:r>
              <w:rPr>
                <w:rFonts w:hint="eastAsia" w:ascii="宋体" w:hAnsi="宋体" w:eastAsia="宋体" w:cs="宋体"/>
                <w:color w:val="auto"/>
              </w:rPr>
              <w:t>（1）招标文件中除下述第（</w:t>
            </w:r>
            <w:r>
              <w:rPr>
                <w:rFonts w:ascii="Calibri" w:hAnsi="Calibri" w:cs="Calibri"/>
                <w:color w:val="auto"/>
              </w:rPr>
              <w:t>2</w:t>
            </w:r>
            <w:r>
              <w:rPr>
                <w:rFonts w:hint="eastAsia" w:ascii="宋体" w:hAnsi="宋体" w:eastAsia="宋体" w:cs="宋体"/>
                <w:color w:val="auto"/>
              </w:rPr>
              <w:t>）、（</w:t>
            </w:r>
            <w:r>
              <w:rPr>
                <w:rFonts w:ascii="Calibri" w:hAnsi="Calibri" w:cs="Calibri"/>
                <w:color w:val="auto"/>
              </w:rPr>
              <w:t>3</w:t>
            </w:r>
            <w:r>
              <w:rPr>
                <w:rFonts w:hint="eastAsia" w:ascii="宋体" w:hAnsi="宋体" w:eastAsia="宋体" w:cs="宋体"/>
                <w:color w:val="auto"/>
              </w:rPr>
              <w:t>）款所述内容外的其他内容及规定适用本项目的电子招标投标活动。</w:t>
            </w:r>
          </w:p>
          <w:p w14:paraId="4B60A325">
            <w:pPr>
              <w:pStyle w:val="27"/>
              <w:widowControl/>
              <w:wordWrap w:val="0"/>
              <w:spacing w:beforeAutospacing="0" w:afterAutospacing="0"/>
              <w:rPr>
                <w:color w:val="auto"/>
              </w:rPr>
            </w:pPr>
            <w:r>
              <w:rPr>
                <w:rFonts w:hint="eastAsia" w:ascii="宋体" w:hAnsi="宋体" w:eastAsia="宋体" w:cs="宋体"/>
                <w:color w:val="auto"/>
              </w:rPr>
              <w:t>（2）将招标文件</w:t>
            </w:r>
            <w:r>
              <w:rPr>
                <w:rFonts w:ascii="宋体" w:hAnsi="宋体" w:eastAsia="宋体" w:cs="宋体"/>
                <w:color w:val="auto"/>
                <w:u w:val="single"/>
              </w:rPr>
              <w:t>无。</w:t>
            </w:r>
            <w:r>
              <w:rPr>
                <w:rFonts w:hint="eastAsia" w:ascii="宋体" w:hAnsi="宋体" w:eastAsia="宋体" w:cs="宋体"/>
                <w:color w:val="auto"/>
              </w:rPr>
              <w:t>的内容</w:t>
            </w:r>
            <w:r>
              <w:rPr>
                <w:rStyle w:val="32"/>
                <w:rFonts w:hint="eastAsia" w:ascii="宋体" w:hAnsi="宋体" w:eastAsia="宋体" w:cs="宋体"/>
                <w:color w:val="auto"/>
              </w:rPr>
              <w:t>修正为</w:t>
            </w:r>
            <w:r>
              <w:rPr>
                <w:rFonts w:ascii="宋体" w:hAnsi="宋体" w:eastAsia="宋体" w:cs="宋体"/>
                <w:color w:val="auto"/>
                <w:u w:val="single"/>
              </w:rPr>
              <w:t>无。</w:t>
            </w:r>
            <w:r>
              <w:rPr>
                <w:rFonts w:hint="eastAsia" w:ascii="宋体" w:hAnsi="宋体" w:eastAsia="宋体" w:cs="宋体"/>
                <w:color w:val="auto"/>
              </w:rPr>
              <w:t>下列内容：后适用本项目的电子招标投标活动。</w:t>
            </w:r>
          </w:p>
          <w:p w14:paraId="0A58F148">
            <w:pPr>
              <w:pStyle w:val="27"/>
              <w:widowControl/>
              <w:wordWrap w:val="0"/>
              <w:spacing w:beforeAutospacing="0" w:afterAutospacing="0"/>
              <w:rPr>
                <w:color w:val="auto"/>
              </w:rPr>
            </w:pPr>
            <w:r>
              <w:rPr>
                <w:rFonts w:hint="eastAsia" w:ascii="宋体" w:hAnsi="宋体" w:eastAsia="宋体" w:cs="宋体"/>
                <w:color w:val="auto"/>
              </w:rPr>
              <w:t>（3）将下列内容</w:t>
            </w:r>
            <w:r>
              <w:rPr>
                <w:rStyle w:val="32"/>
                <w:rFonts w:hint="eastAsia" w:ascii="宋体" w:hAnsi="宋体" w:eastAsia="宋体" w:cs="宋体"/>
                <w:color w:val="auto"/>
              </w:rPr>
              <w:t>增列为</w:t>
            </w:r>
            <w:r>
              <w:rPr>
                <w:rFonts w:hint="eastAsia" w:ascii="宋体" w:hAnsi="宋体" w:eastAsia="宋体" w:cs="宋体"/>
                <w:color w:val="auto"/>
              </w:rPr>
              <w:t>招标文件的组成部分（以下简称：“增列内容”）适用本项目的电子招标投标活动，若增列内容与招标文件其他章节内容有冲突，应以增列内容为准：</w:t>
            </w:r>
          </w:p>
          <w:p w14:paraId="24FEBF09">
            <w:pPr>
              <w:pStyle w:val="27"/>
              <w:widowControl/>
              <w:wordWrap w:val="0"/>
              <w:spacing w:beforeAutospacing="0" w:afterAutospacing="0"/>
              <w:rPr>
                <w:color w:val="auto"/>
              </w:rPr>
            </w:pPr>
            <w:r>
              <w:rPr>
                <w:rFonts w:hint="eastAsia" w:ascii="宋体" w:hAnsi="宋体" w:eastAsia="宋体" w:cs="宋体"/>
                <w:color w:val="auto"/>
              </w:rPr>
              <w:t>①电子招标投标活动的具体操作流程以福建省政府采购网上公开信息系统设定的为准。</w:t>
            </w:r>
          </w:p>
          <w:p w14:paraId="7CD10848">
            <w:pPr>
              <w:pStyle w:val="27"/>
              <w:widowControl/>
              <w:wordWrap w:val="0"/>
              <w:spacing w:beforeAutospacing="0" w:afterAutospacing="0"/>
              <w:rPr>
                <w:color w:val="auto"/>
              </w:rPr>
            </w:pPr>
            <w:r>
              <w:rPr>
                <w:rFonts w:hint="eastAsia" w:ascii="宋体" w:hAnsi="宋体" w:eastAsia="宋体" w:cs="宋体"/>
                <w:color w:val="auto"/>
              </w:rPr>
              <w:t>②关于投标文件：</w:t>
            </w:r>
          </w:p>
          <w:p w14:paraId="506BFC08">
            <w:pPr>
              <w:pStyle w:val="27"/>
              <w:widowControl/>
              <w:wordWrap w:val="0"/>
              <w:spacing w:beforeAutospacing="0" w:afterAutospacing="0"/>
              <w:rPr>
                <w:color w:val="auto"/>
              </w:rPr>
            </w:pPr>
            <w:r>
              <w:rPr>
                <w:rFonts w:hint="eastAsia" w:ascii="宋体" w:hAnsi="宋体" w:eastAsia="宋体" w:cs="宋体"/>
                <w:color w:val="auto"/>
              </w:rPr>
              <w:t>a.投标人应按照福建省政府采购网上公开信息系统设定的评审节点编制电子投标文件，否则</w:t>
            </w:r>
            <w:r>
              <w:rPr>
                <w:rStyle w:val="32"/>
                <w:rFonts w:hint="eastAsia" w:ascii="宋体" w:hAnsi="宋体" w:eastAsia="宋体" w:cs="宋体"/>
                <w:color w:val="auto"/>
              </w:rPr>
              <w:t>资格审查小组、评标委员会将按照不利于投标人的内容进行认定。</w:t>
            </w:r>
          </w:p>
          <w:p w14:paraId="757B0EF7">
            <w:pPr>
              <w:pStyle w:val="27"/>
              <w:widowControl/>
              <w:wordWrap w:val="0"/>
              <w:spacing w:beforeAutospacing="0" w:afterAutospacing="0"/>
              <w:rPr>
                <w:color w:val="auto"/>
              </w:rPr>
            </w:pPr>
            <w:r>
              <w:rPr>
                <w:rFonts w:hint="eastAsia" w:ascii="宋体" w:hAnsi="宋体" w:eastAsia="宋体" w:cs="宋体"/>
                <w:color w:val="auto"/>
              </w:rPr>
              <w:t>b.投标人应在投标截止时间前按照福建省政府采购网上公开信息系统设定的操作流程将电子投标文件</w:t>
            </w:r>
            <w:r>
              <w:rPr>
                <w:rStyle w:val="32"/>
                <w:rFonts w:hint="eastAsia" w:ascii="宋体" w:hAnsi="宋体" w:eastAsia="宋体" w:cs="宋体"/>
                <w:color w:val="auto"/>
                <w:u w:val="single"/>
              </w:rPr>
              <w:t>1</w:t>
            </w:r>
            <w:r>
              <w:rPr>
                <w:rFonts w:hint="eastAsia" w:ascii="宋体" w:hAnsi="宋体" w:eastAsia="宋体" w:cs="宋体"/>
                <w:color w:val="auto"/>
              </w:rPr>
              <w:t>份上传至福建省政府采购网上公开信息系统，电子投标文件应与纸质投标文件保持一致，并以电子投标文件为准。电子投标文件的分项报价一览表、纸质投标文件的分项报价一览表、投标客户端的分项报价一览表应保持一致，并以投标客户端的分项报价一览表为准。</w:t>
            </w:r>
          </w:p>
          <w:p w14:paraId="1335083F">
            <w:pPr>
              <w:pStyle w:val="27"/>
              <w:widowControl/>
              <w:wordWrap w:val="0"/>
              <w:spacing w:beforeAutospacing="0" w:afterAutospacing="0"/>
              <w:rPr>
                <w:color w:val="auto"/>
              </w:rPr>
            </w:pPr>
            <w:r>
              <w:rPr>
                <w:rFonts w:hint="eastAsia" w:ascii="宋体" w:hAnsi="宋体" w:eastAsia="宋体" w:cs="宋体"/>
                <w:color w:val="auto"/>
              </w:rPr>
              <w:t>c.若出现福建省政府采购网上公开信息系统设定的意外情形（如：系统故障等），经本项目监督管理部门同意使用纸质投标文件的，应以纸质投标文件为准。</w:t>
            </w:r>
          </w:p>
          <w:p w14:paraId="2E3F8908">
            <w:pPr>
              <w:pStyle w:val="27"/>
              <w:widowControl/>
              <w:wordWrap w:val="0"/>
              <w:spacing w:beforeAutospacing="0" w:afterAutospacing="0"/>
              <w:rPr>
                <w:color w:val="auto"/>
              </w:rPr>
            </w:pPr>
            <w:r>
              <w:rPr>
                <w:rFonts w:hint="eastAsia" w:ascii="宋体" w:hAnsi="宋体" w:eastAsia="宋体" w:cs="宋体"/>
                <w:color w:val="auto"/>
              </w:rPr>
              <w:t>③关于证明材料或资料：</w:t>
            </w:r>
          </w:p>
          <w:p w14:paraId="148C6F6D">
            <w:pPr>
              <w:pStyle w:val="27"/>
              <w:widowControl/>
              <w:wordWrap w:val="0"/>
              <w:rPr>
                <w:color w:val="auto"/>
              </w:rPr>
            </w:pPr>
            <w:r>
              <w:rPr>
                <w:rFonts w:hint="eastAsia" w:ascii="宋体" w:hAnsi="宋体" w:eastAsia="宋体" w:cs="宋体"/>
                <w:color w:val="auto"/>
              </w:rPr>
              <w:t>a.除《检察机关行贿犯罪档案查询结果告知函》外，招标文件要求原件的，投标人在电子投标文件中可提供复印件（含扫描件），但在纸质投标文件正本中应提供原件</w:t>
            </w:r>
            <w:r>
              <w:rPr>
                <w:rStyle w:val="32"/>
                <w:rFonts w:hint="eastAsia" w:ascii="宋体" w:hAnsi="宋体" w:eastAsia="宋体" w:cs="宋体"/>
                <w:color w:val="auto"/>
              </w:rPr>
              <w:t>（资格审查小组、评标委员会将核对纸质投标文件正本，未提供原件的证明材料或资料将导致投标无效）</w:t>
            </w:r>
            <w:r>
              <w:rPr>
                <w:rFonts w:hint="eastAsia" w:ascii="宋体" w:hAnsi="宋体" w:eastAsia="宋体" w:cs="宋体"/>
                <w:color w:val="auto"/>
              </w:rPr>
              <w:t>；招标文件要求复印件的，投标人在纸质投标文件中提供原件、复印件（含扫描件）皆可；招标文件对原件、复印件未作要求的，投标人在纸质投标文件中提供原件、复印件（含扫描件）皆可。</w:t>
            </w:r>
          </w:p>
          <w:p w14:paraId="5A9B72B7">
            <w:pPr>
              <w:pStyle w:val="27"/>
              <w:widowControl/>
              <w:wordWrap w:val="0"/>
              <w:rPr>
                <w:color w:val="auto"/>
              </w:rPr>
            </w:pPr>
            <w:r>
              <w:rPr>
                <w:rFonts w:hint="eastAsia" w:ascii="宋体" w:hAnsi="宋体" w:eastAsia="宋体" w:cs="宋体"/>
                <w:color w:val="auto"/>
              </w:rPr>
              <w:t>b.除《检察机关行贿犯罪档案查询结果告知函》外，若投标人提供注明“复印件无效”的证明材料或资料，其纸质投标文件正本中应提供原件</w:t>
            </w:r>
            <w:r>
              <w:rPr>
                <w:rStyle w:val="32"/>
                <w:rFonts w:hint="eastAsia" w:ascii="宋体" w:hAnsi="宋体" w:eastAsia="宋体" w:cs="宋体"/>
                <w:color w:val="auto"/>
              </w:rPr>
              <w:t>（资格审查小组、评标委员会将核对纸质投标文件正本，未提供原件的证明材料或资料将导致投标无效）。</w:t>
            </w:r>
          </w:p>
          <w:p w14:paraId="59CC1454">
            <w:pPr>
              <w:pStyle w:val="27"/>
              <w:widowControl/>
              <w:wordWrap w:val="0"/>
              <w:rPr>
                <w:color w:val="auto"/>
              </w:rPr>
            </w:pPr>
            <w:r>
              <w:rPr>
                <w:rFonts w:hint="eastAsia" w:ascii="宋体" w:hAnsi="宋体" w:eastAsia="宋体" w:cs="宋体"/>
                <w:color w:val="auto"/>
              </w:rPr>
              <w:t>c.《检察机关行贿犯罪档案查询结果告知函》</w:t>
            </w:r>
          </w:p>
          <w:p w14:paraId="2D685B7B">
            <w:pPr>
              <w:pStyle w:val="27"/>
              <w:widowControl/>
              <w:wordWrap w:val="0"/>
              <w:rPr>
                <w:color w:val="auto"/>
              </w:rPr>
            </w:pPr>
            <w:r>
              <w:rPr>
                <w:rFonts w:hint="eastAsia" w:ascii="宋体" w:hAnsi="宋体" w:eastAsia="宋体" w:cs="宋体"/>
                <w:color w:val="auto"/>
              </w:rPr>
              <w:t>c1投标人在电子投标文件中可提供复印件（含扫描件）、符合招标文件第七章规定的打印件（或截图），在纸质投标文件正本中提供原件、复印件（含扫描件）、符合招标文件第七章规定的打印件（或截图）皆可。</w:t>
            </w:r>
          </w:p>
          <w:p w14:paraId="79AE813B">
            <w:pPr>
              <w:pStyle w:val="27"/>
              <w:widowControl/>
              <w:wordWrap w:val="0"/>
              <w:rPr>
                <w:color w:val="auto"/>
              </w:rPr>
            </w:pPr>
            <w:r>
              <w:rPr>
                <w:rFonts w:hint="eastAsia" w:ascii="宋体" w:hAnsi="宋体" w:eastAsia="宋体" w:cs="宋体"/>
                <w:color w:val="auto"/>
              </w:rPr>
              <w:t>c2《检察机关行贿犯罪档案查询结果告知函》应在有效期内且内容完整、清晰、整洁，否则</w:t>
            </w:r>
            <w:r>
              <w:rPr>
                <w:rStyle w:val="32"/>
                <w:rFonts w:hint="eastAsia" w:ascii="宋体" w:hAnsi="宋体" w:eastAsia="宋体" w:cs="宋体"/>
                <w:color w:val="auto"/>
              </w:rPr>
              <w:t>投标无效。</w:t>
            </w:r>
          </w:p>
          <w:p w14:paraId="4B761C77">
            <w:pPr>
              <w:pStyle w:val="27"/>
              <w:widowControl/>
              <w:wordWrap w:val="0"/>
              <w:rPr>
                <w:color w:val="auto"/>
              </w:rPr>
            </w:pPr>
            <w:r>
              <w:rPr>
                <w:rFonts w:hint="eastAsia" w:ascii="宋体" w:hAnsi="宋体" w:eastAsia="宋体" w:cs="宋体"/>
                <w:color w:val="auto"/>
              </w:rPr>
              <w:t>c3有效期内的《检察机关行贿犯罪档案查询结果告知函》复印件（含扫描件）及符合招标文件第七章规定的打印件（或截图），无论内容中是否注明“复印件无效”，</w:t>
            </w:r>
            <w:r>
              <w:rPr>
                <w:rStyle w:val="32"/>
                <w:rFonts w:hint="eastAsia" w:ascii="宋体" w:hAnsi="宋体" w:eastAsia="宋体" w:cs="宋体"/>
                <w:color w:val="auto"/>
              </w:rPr>
              <w:t>均视同有效。</w:t>
            </w:r>
          </w:p>
          <w:p w14:paraId="53816C47">
            <w:pPr>
              <w:pStyle w:val="27"/>
              <w:widowControl/>
              <w:wordWrap w:val="0"/>
              <w:spacing w:beforeAutospacing="0" w:afterAutospacing="0"/>
              <w:rPr>
                <w:color w:val="auto"/>
              </w:rPr>
            </w:pPr>
            <w:r>
              <w:rPr>
                <w:rFonts w:hint="eastAsia" w:ascii="宋体" w:hAnsi="宋体" w:eastAsia="宋体" w:cs="宋体"/>
                <w:color w:val="auto"/>
              </w:rPr>
              <w:t>④关于“全称”、“投标人代表签字”及“加盖单位公章”：</w:t>
            </w:r>
          </w:p>
          <w:p w14:paraId="07E09F50">
            <w:pPr>
              <w:pStyle w:val="27"/>
              <w:widowControl/>
              <w:wordWrap w:val="0"/>
              <w:spacing w:beforeAutospacing="0" w:afterAutospacing="0"/>
              <w:rPr>
                <w:color w:val="auto"/>
              </w:rPr>
            </w:pPr>
            <w:r>
              <w:rPr>
                <w:rFonts w:hint="eastAsia" w:ascii="宋体" w:hAnsi="宋体" w:eastAsia="宋体" w:cs="宋体"/>
                <w:color w:val="auto"/>
              </w:rPr>
              <w:t>a.在电子投标文件中，涉及“全称”和“投标人代表签字”的内容可使用打字录入方式完成。</w:t>
            </w:r>
          </w:p>
          <w:p w14:paraId="65010B51">
            <w:pPr>
              <w:pStyle w:val="27"/>
              <w:widowControl/>
              <w:wordWrap w:val="0"/>
              <w:spacing w:beforeAutospacing="0" w:afterAutospacing="0"/>
              <w:rPr>
                <w:color w:val="auto"/>
              </w:rPr>
            </w:pPr>
            <w:r>
              <w:rPr>
                <w:rFonts w:hint="eastAsia" w:ascii="宋体" w:hAnsi="宋体" w:eastAsia="宋体" w:cs="宋体"/>
                <w:color w:val="auto"/>
              </w:rPr>
              <w:t>b.在电子投标文件中，涉及“加盖单位公章”的内容应使用投标人的</w:t>
            </w:r>
            <w:r>
              <w:rPr>
                <w:rFonts w:ascii="Calibri" w:hAnsi="Calibri" w:cs="Calibri"/>
                <w:color w:val="auto"/>
              </w:rPr>
              <w:t>CA</w:t>
            </w:r>
            <w:r>
              <w:rPr>
                <w:rFonts w:hint="eastAsia" w:ascii="宋体" w:hAnsi="宋体" w:eastAsia="宋体" w:cs="宋体"/>
                <w:color w:val="auto"/>
              </w:rPr>
              <w:t>证书完成，否则</w:t>
            </w:r>
            <w:r>
              <w:rPr>
                <w:rStyle w:val="32"/>
                <w:rFonts w:hint="eastAsia" w:ascii="宋体" w:hAnsi="宋体" w:eastAsia="宋体" w:cs="宋体"/>
                <w:color w:val="auto"/>
              </w:rPr>
              <w:t>投标无效。</w:t>
            </w:r>
          </w:p>
          <w:p w14:paraId="1B288D9D">
            <w:pPr>
              <w:pStyle w:val="27"/>
              <w:widowControl/>
              <w:wordWrap w:val="0"/>
              <w:spacing w:beforeAutospacing="0" w:afterAutospacing="0"/>
              <w:rPr>
                <w:color w:val="auto"/>
              </w:rPr>
            </w:pPr>
            <w:r>
              <w:rPr>
                <w:rFonts w:hint="eastAsia" w:ascii="宋体" w:hAnsi="宋体" w:eastAsia="宋体" w:cs="宋体"/>
                <w:color w:val="auto"/>
              </w:rPr>
              <w:t>c.在电子投标文件中，若投标人按照本增列内容第④点第</w:t>
            </w:r>
            <w:r>
              <w:rPr>
                <w:rFonts w:ascii="Calibri" w:hAnsi="Calibri" w:cs="Calibri"/>
                <w:color w:val="auto"/>
              </w:rPr>
              <w:t>b</w:t>
            </w:r>
            <w:r>
              <w:rPr>
                <w:rFonts w:hint="eastAsia" w:ascii="宋体" w:hAnsi="宋体" w:eastAsia="宋体" w:cs="宋体"/>
                <w:color w:val="auto"/>
              </w:rPr>
              <w:t>项规定加盖其单位公章，则出现无全称、或投标人代表未签字等情形，</w:t>
            </w:r>
            <w:r>
              <w:rPr>
                <w:rStyle w:val="32"/>
                <w:rFonts w:hint="eastAsia" w:ascii="宋体" w:hAnsi="宋体" w:eastAsia="宋体" w:cs="宋体"/>
                <w:color w:val="auto"/>
              </w:rPr>
              <w:t>不视为投标无效。</w:t>
            </w:r>
          </w:p>
          <w:p w14:paraId="452627B7">
            <w:pPr>
              <w:pStyle w:val="27"/>
              <w:widowControl/>
              <w:wordWrap w:val="0"/>
              <w:spacing w:beforeAutospacing="0" w:afterAutospacing="0"/>
              <w:rPr>
                <w:color w:val="auto"/>
              </w:rPr>
            </w:pPr>
            <w:r>
              <w:rPr>
                <w:rFonts w:hint="eastAsia" w:ascii="宋体" w:hAnsi="宋体" w:eastAsia="宋体" w:cs="宋体"/>
                <w:color w:val="auto"/>
              </w:rPr>
              <w:t>⑤关于投标人的</w:t>
            </w:r>
            <w:r>
              <w:rPr>
                <w:rFonts w:ascii="Calibri" w:hAnsi="Calibri" w:cs="Calibri"/>
                <w:color w:val="auto"/>
              </w:rPr>
              <w:t>CA</w:t>
            </w:r>
            <w:r>
              <w:rPr>
                <w:rFonts w:hint="eastAsia" w:ascii="宋体" w:hAnsi="宋体" w:eastAsia="宋体" w:cs="宋体"/>
                <w:color w:val="auto"/>
              </w:rPr>
              <w:t>证书：</w:t>
            </w:r>
          </w:p>
          <w:p w14:paraId="0C9BAE43">
            <w:pPr>
              <w:pStyle w:val="27"/>
              <w:widowControl/>
              <w:wordWrap w:val="0"/>
              <w:spacing w:beforeAutospacing="0" w:afterAutospacing="0"/>
              <w:rPr>
                <w:color w:val="auto"/>
              </w:rPr>
            </w:pPr>
            <w:r>
              <w:rPr>
                <w:rFonts w:hint="eastAsia" w:ascii="宋体" w:hAnsi="宋体" w:eastAsia="宋体" w:cs="宋体"/>
                <w:color w:val="auto"/>
              </w:rPr>
              <w:t>a.投标人的</w:t>
            </w:r>
            <w:r>
              <w:rPr>
                <w:rFonts w:ascii="Calibri" w:hAnsi="Calibri" w:cs="Calibri"/>
                <w:color w:val="auto"/>
              </w:rPr>
              <w:t>CA</w:t>
            </w:r>
            <w:r>
              <w:rPr>
                <w:rFonts w:hint="eastAsia" w:ascii="宋体" w:hAnsi="宋体" w:eastAsia="宋体" w:cs="宋体"/>
                <w:color w:val="auto"/>
              </w:rPr>
              <w:t>证书应在投标截止时间前连同密封的纸质投标文件送达招标文件第一章第</w:t>
            </w:r>
            <w:r>
              <w:rPr>
                <w:rFonts w:ascii="Calibri" w:hAnsi="Calibri" w:cs="Calibri"/>
                <w:color w:val="auto"/>
              </w:rPr>
              <w:t>10</w:t>
            </w:r>
            <w:r>
              <w:rPr>
                <w:rFonts w:hint="eastAsia" w:ascii="宋体" w:hAnsi="宋体" w:eastAsia="宋体" w:cs="宋体"/>
                <w:color w:val="auto"/>
              </w:rPr>
              <w:t>条载明的地点，否则</w:t>
            </w:r>
            <w:r>
              <w:rPr>
                <w:rStyle w:val="32"/>
                <w:rFonts w:hint="eastAsia" w:ascii="宋体" w:hAnsi="宋体" w:eastAsia="宋体" w:cs="宋体"/>
                <w:color w:val="auto"/>
              </w:rPr>
              <w:t>投标将被拒绝。</w:t>
            </w:r>
          </w:p>
          <w:p w14:paraId="6F2C0A97">
            <w:pPr>
              <w:pStyle w:val="27"/>
              <w:widowControl/>
              <w:wordWrap w:val="0"/>
              <w:spacing w:beforeAutospacing="0" w:afterAutospacing="0"/>
              <w:rPr>
                <w:color w:val="auto"/>
              </w:rPr>
            </w:pPr>
            <w:r>
              <w:rPr>
                <w:rFonts w:hint="eastAsia" w:ascii="宋体" w:hAnsi="宋体" w:eastAsia="宋体" w:cs="宋体"/>
                <w:color w:val="auto"/>
              </w:rPr>
              <w:t>b.投标人的</w:t>
            </w:r>
            <w:r>
              <w:rPr>
                <w:rFonts w:ascii="Calibri" w:hAnsi="Calibri" w:cs="Calibri"/>
                <w:color w:val="auto"/>
              </w:rPr>
              <w:t>CA</w:t>
            </w:r>
            <w:r>
              <w:rPr>
                <w:rFonts w:hint="eastAsia" w:ascii="宋体" w:hAnsi="宋体" w:eastAsia="宋体" w:cs="宋体"/>
                <w:color w:val="auto"/>
              </w:rPr>
              <w:t>证书可采用信封（包括但不限于：信封、档案袋、文件袋等）作为外包装进行单独包装。外包装密封、不密封皆可。</w:t>
            </w:r>
          </w:p>
          <w:p w14:paraId="392A9C21">
            <w:pPr>
              <w:pStyle w:val="27"/>
              <w:widowControl/>
              <w:wordWrap w:val="0"/>
              <w:spacing w:beforeAutospacing="0" w:afterAutospacing="0"/>
              <w:rPr>
                <w:color w:val="auto"/>
              </w:rPr>
            </w:pPr>
            <w:r>
              <w:rPr>
                <w:rFonts w:hint="eastAsia" w:ascii="宋体" w:hAnsi="宋体" w:eastAsia="宋体" w:cs="宋体"/>
                <w:color w:val="auto"/>
              </w:rPr>
              <w:t>c.投标人的</w:t>
            </w:r>
            <w:r>
              <w:rPr>
                <w:rFonts w:ascii="Calibri" w:hAnsi="Calibri" w:cs="Calibri"/>
                <w:color w:val="auto"/>
              </w:rPr>
              <w:t>CA</w:t>
            </w:r>
            <w:r>
              <w:rPr>
                <w:rFonts w:hint="eastAsia" w:ascii="宋体" w:hAnsi="宋体" w:eastAsia="宋体" w:cs="宋体"/>
                <w:color w:val="auto"/>
              </w:rPr>
              <w:t>证书或外包装应标记“项目名称、招标编号、投标人的全称”等内容，以方便识别、使用。</w:t>
            </w:r>
          </w:p>
          <w:p w14:paraId="36605C9A">
            <w:pPr>
              <w:pStyle w:val="27"/>
              <w:widowControl/>
              <w:wordWrap w:val="0"/>
              <w:spacing w:beforeAutospacing="0" w:afterAutospacing="0"/>
              <w:rPr>
                <w:color w:val="auto"/>
              </w:rPr>
            </w:pPr>
            <w:r>
              <w:rPr>
                <w:rFonts w:hint="eastAsia" w:ascii="宋体" w:hAnsi="宋体" w:eastAsia="宋体" w:cs="宋体"/>
                <w:color w:val="auto"/>
              </w:rPr>
              <w:t>d.投标人的</w:t>
            </w:r>
            <w:r>
              <w:rPr>
                <w:rFonts w:ascii="Calibri" w:hAnsi="Calibri" w:cs="Calibri"/>
                <w:color w:val="auto"/>
              </w:rPr>
              <w:t>CA</w:t>
            </w:r>
            <w:r>
              <w:rPr>
                <w:rFonts w:hint="eastAsia" w:ascii="宋体" w:hAnsi="宋体" w:eastAsia="宋体" w:cs="宋体"/>
                <w:color w:val="auto"/>
              </w:rPr>
              <w:t>证书应能正常、有效使用，否则产生不利后果由投标人承担责任。</w:t>
            </w:r>
          </w:p>
          <w:p w14:paraId="3E034FEA">
            <w:pPr>
              <w:pStyle w:val="27"/>
              <w:widowControl/>
              <w:wordWrap w:val="0"/>
              <w:spacing w:beforeAutospacing="0" w:afterAutospacing="0"/>
              <w:rPr>
                <w:color w:val="auto"/>
              </w:rPr>
            </w:pPr>
            <w:r>
              <w:rPr>
                <w:rFonts w:hint="eastAsia" w:ascii="宋体" w:hAnsi="宋体" w:eastAsia="宋体" w:cs="宋体"/>
                <w:color w:val="auto"/>
              </w:rPr>
              <w:t>⑥关于投标截止时间过后</w:t>
            </w:r>
          </w:p>
          <w:p w14:paraId="3C71AABE">
            <w:pPr>
              <w:pStyle w:val="27"/>
              <w:widowControl/>
              <w:wordWrap w:val="0"/>
              <w:spacing w:beforeAutospacing="0" w:afterAutospacing="0"/>
              <w:rPr>
                <w:color w:val="auto"/>
              </w:rPr>
            </w:pPr>
            <w:r>
              <w:rPr>
                <w:rFonts w:hint="eastAsia" w:ascii="宋体" w:hAnsi="宋体" w:eastAsia="宋体" w:cs="宋体"/>
                <w:color w:val="auto"/>
              </w:rPr>
              <w:t>a.被福建省政府采购网上公开信息系统判定为投标保证金未提交（即未于投标截止时间前到达招标文件载明的投标保证金账户）的投标人，</w:t>
            </w:r>
            <w:r>
              <w:rPr>
                <w:rStyle w:val="32"/>
                <w:rFonts w:hint="eastAsia" w:ascii="宋体" w:hAnsi="宋体" w:eastAsia="宋体" w:cs="宋体"/>
                <w:color w:val="auto"/>
              </w:rPr>
              <w:t>投标将被拒绝。</w:t>
            </w:r>
          </w:p>
          <w:p w14:paraId="320AAA3F">
            <w:pPr>
              <w:pStyle w:val="27"/>
              <w:widowControl/>
              <w:wordWrap w:val="0"/>
              <w:spacing w:beforeAutospacing="0" w:afterAutospacing="0"/>
              <w:rPr>
                <w:color w:val="auto"/>
              </w:rPr>
            </w:pPr>
            <w:r>
              <w:rPr>
                <w:rFonts w:hint="eastAsia" w:ascii="宋体" w:hAnsi="宋体" w:eastAsia="宋体" w:cs="宋体"/>
                <w:color w:val="auto"/>
              </w:rPr>
              <w:t>b.有下列情形之一的，其</w:t>
            </w:r>
            <w:r>
              <w:rPr>
                <w:rStyle w:val="32"/>
                <w:rFonts w:hint="eastAsia" w:ascii="宋体" w:hAnsi="宋体" w:eastAsia="宋体" w:cs="宋体"/>
                <w:color w:val="auto"/>
              </w:rPr>
              <w:t>投标无效</w:t>
            </w:r>
            <w:r>
              <w:rPr>
                <w:rFonts w:hint="eastAsia" w:ascii="宋体" w:hAnsi="宋体" w:eastAsia="宋体" w:cs="宋体"/>
                <w:color w:val="auto"/>
              </w:rPr>
              <w:t>,其保证金不予退还：</w:t>
            </w:r>
          </w:p>
          <w:p w14:paraId="0C8A0073">
            <w:pPr>
              <w:pStyle w:val="27"/>
              <w:widowControl/>
              <w:wordWrap w:val="0"/>
              <w:spacing w:beforeAutospacing="0" w:afterAutospacing="0"/>
              <w:rPr>
                <w:color w:val="auto"/>
              </w:rPr>
            </w:pPr>
            <w:r>
              <w:rPr>
                <w:rFonts w:hint="eastAsia" w:ascii="宋体" w:hAnsi="宋体" w:eastAsia="宋体" w:cs="宋体"/>
                <w:color w:val="auto"/>
              </w:rPr>
              <w:t>b1不同投标人的电子投标文件被福建省政府采购网上公开信息系统判定为具有相同内部识别码；</w:t>
            </w:r>
          </w:p>
          <w:p w14:paraId="2B7AAA46">
            <w:pPr>
              <w:pStyle w:val="27"/>
              <w:widowControl/>
              <w:wordWrap w:val="0"/>
              <w:spacing w:beforeAutospacing="0" w:afterAutospacing="0"/>
              <w:rPr>
                <w:color w:val="auto"/>
              </w:rPr>
            </w:pPr>
            <w:r>
              <w:rPr>
                <w:rFonts w:hint="eastAsia" w:ascii="宋体" w:hAnsi="宋体" w:eastAsia="宋体" w:cs="宋体"/>
                <w:color w:val="auto"/>
              </w:rPr>
              <w:t>b2不同投标人的投标保证金被福建省政府采购网上公开信息系统判定为从同一单位或个人的账户转出；</w:t>
            </w:r>
          </w:p>
          <w:p w14:paraId="3DCD6D24">
            <w:pPr>
              <w:pStyle w:val="27"/>
              <w:widowControl/>
              <w:wordWrap w:val="0"/>
              <w:spacing w:beforeAutospacing="0" w:afterAutospacing="0"/>
              <w:rPr>
                <w:color w:val="auto"/>
              </w:rPr>
            </w:pPr>
            <w:r>
              <w:rPr>
                <w:rFonts w:hint="eastAsia" w:ascii="宋体" w:hAnsi="宋体" w:eastAsia="宋体" w:cs="宋体"/>
                <w:color w:val="auto"/>
              </w:rPr>
              <w:t>b3投标人的投标保证金被福建省政府采购网上公开信息系统判定为同一合同项下有其他投标人提交的投标保证金</w:t>
            </w:r>
          </w:p>
          <w:p w14:paraId="77FA4F5B">
            <w:pPr>
              <w:pStyle w:val="27"/>
              <w:widowControl/>
              <w:wordWrap w:val="0"/>
              <w:rPr>
                <w:color w:val="auto"/>
              </w:rPr>
            </w:pPr>
            <w:r>
              <w:rPr>
                <w:rFonts w:hint="eastAsia" w:ascii="宋体" w:hAnsi="宋体" w:eastAsia="宋体" w:cs="宋体"/>
                <w:color w:val="auto"/>
              </w:rPr>
              <w:t>b4不同投标人被福建省政府采购网上公开信息系统判定为串通投标的其他情形。</w:t>
            </w:r>
          </w:p>
          <w:p w14:paraId="1B1AF79E">
            <w:pPr>
              <w:pStyle w:val="27"/>
              <w:widowControl/>
              <w:wordWrap w:val="0"/>
              <w:spacing w:beforeAutospacing="0" w:afterAutospacing="0"/>
              <w:rPr>
                <w:color w:val="auto"/>
              </w:rPr>
            </w:pPr>
            <w:r>
              <w:rPr>
                <w:rFonts w:hint="eastAsia" w:ascii="宋体" w:hAnsi="宋体" w:eastAsia="宋体" w:cs="宋体"/>
                <w:color w:val="auto"/>
              </w:rPr>
              <w:t>⑦接受联合体投标且投标人为联合体的，投标人应由“联合体牵头方”完成福建省政府采购网上公开信息系统设定的具体操作流程（包括但不限于：报名、提交投标保证金、编制电子投标文件等）。</w:t>
            </w:r>
          </w:p>
          <w:p w14:paraId="441A09FB">
            <w:pPr>
              <w:pStyle w:val="27"/>
              <w:widowControl/>
              <w:wordWrap w:val="0"/>
              <w:spacing w:beforeAutospacing="0" w:afterAutospacing="0"/>
              <w:rPr>
                <w:color w:val="auto"/>
              </w:rPr>
            </w:pPr>
            <w:r>
              <w:rPr>
                <w:rFonts w:hint="eastAsia" w:ascii="宋体" w:hAnsi="宋体" w:eastAsia="宋体" w:cs="宋体"/>
                <w:color w:val="auto"/>
              </w:rPr>
              <w:t>⑧其他：</w:t>
            </w:r>
            <w:r>
              <w:rPr>
                <w:color w:val="auto"/>
              </w:rPr>
              <w:t>无</w:t>
            </w:r>
            <w:r>
              <w:rPr>
                <w:rFonts w:hint="eastAsia" w:ascii="宋体" w:hAnsi="宋体" w:eastAsia="宋体" w:cs="宋体"/>
                <w:color w:val="auto"/>
              </w:rPr>
              <w:t>。</w:t>
            </w:r>
          </w:p>
        </w:tc>
      </w:tr>
    </w:tbl>
    <w:p w14:paraId="65E6DCFA">
      <w:pPr>
        <w:pStyle w:val="27"/>
        <w:widowControl/>
        <w:spacing w:before="75" w:beforeAutospacing="0" w:after="75" w:afterAutospacing="0"/>
        <w:rPr>
          <w:color w:val="auto"/>
        </w:rPr>
      </w:pPr>
      <w:r>
        <w:rPr>
          <w:color w:val="auto"/>
        </w:rPr>
        <w:t> </w:t>
      </w:r>
    </w:p>
    <w:p w14:paraId="06DD0513">
      <w:pPr>
        <w:pStyle w:val="27"/>
        <w:widowControl/>
        <w:spacing w:before="75" w:beforeAutospacing="0" w:after="75" w:afterAutospacing="0"/>
        <w:rPr>
          <w:color w:val="auto"/>
        </w:rPr>
      </w:pPr>
      <w:r>
        <w:rPr>
          <w:color w:val="auto"/>
        </w:rPr>
        <w:t> </w:t>
      </w:r>
    </w:p>
    <w:p w14:paraId="1736E29D">
      <w:pPr>
        <w:pStyle w:val="27"/>
        <w:widowControl/>
        <w:spacing w:before="75" w:beforeAutospacing="0" w:after="75" w:afterAutospacing="0"/>
        <w:jc w:val="center"/>
        <w:rPr>
          <w:rStyle w:val="32"/>
          <w:rFonts w:ascii="宋体" w:hAnsi="宋体" w:eastAsia="宋体" w:cs="宋体"/>
          <w:color w:val="auto"/>
          <w:sz w:val="31"/>
          <w:szCs w:val="31"/>
        </w:rPr>
      </w:pPr>
      <w:r>
        <w:rPr>
          <w:rStyle w:val="32"/>
          <w:rFonts w:hint="eastAsia" w:ascii="宋体" w:hAnsi="宋体" w:eastAsia="宋体" w:cs="宋体"/>
          <w:color w:val="auto"/>
          <w:sz w:val="31"/>
          <w:szCs w:val="31"/>
        </w:rPr>
        <w:br w:type="page"/>
      </w:r>
    </w:p>
    <w:p w14:paraId="0F924A08">
      <w:pPr>
        <w:pStyle w:val="27"/>
        <w:widowControl/>
        <w:spacing w:before="75" w:beforeAutospacing="0" w:after="75" w:afterAutospacing="0"/>
        <w:jc w:val="center"/>
        <w:outlineLvl w:val="0"/>
        <w:rPr>
          <w:color w:val="auto"/>
        </w:rPr>
      </w:pPr>
      <w:bookmarkStart w:id="3" w:name="_Toc1964"/>
      <w:r>
        <w:rPr>
          <w:rStyle w:val="32"/>
          <w:rFonts w:hint="eastAsia" w:ascii="宋体" w:hAnsi="宋体" w:eastAsia="宋体" w:cs="宋体"/>
          <w:color w:val="auto"/>
          <w:sz w:val="31"/>
          <w:szCs w:val="31"/>
        </w:rPr>
        <w:t>第三章   投标人须知</w:t>
      </w:r>
      <w:bookmarkEnd w:id="3"/>
    </w:p>
    <w:p w14:paraId="35FC4F9D">
      <w:pPr>
        <w:pStyle w:val="27"/>
        <w:widowControl/>
        <w:spacing w:before="75" w:beforeAutospacing="0" w:after="75" w:afterAutospacing="0"/>
        <w:rPr>
          <w:color w:val="auto"/>
        </w:rPr>
      </w:pPr>
      <w:r>
        <w:rPr>
          <w:rFonts w:hint="eastAsia" w:ascii="宋体" w:hAnsi="宋体" w:eastAsia="宋体" w:cs="宋体"/>
          <w:color w:val="auto"/>
        </w:rPr>
        <w:t> </w:t>
      </w:r>
    </w:p>
    <w:p w14:paraId="01A4771B">
      <w:pPr>
        <w:pStyle w:val="27"/>
        <w:widowControl/>
        <w:spacing w:before="75" w:beforeAutospacing="0" w:after="75" w:afterAutospacing="0"/>
        <w:jc w:val="center"/>
        <w:rPr>
          <w:color w:val="auto"/>
        </w:rPr>
      </w:pPr>
      <w:r>
        <w:rPr>
          <w:rStyle w:val="32"/>
          <w:rFonts w:hint="eastAsia" w:ascii="宋体" w:hAnsi="宋体" w:eastAsia="宋体" w:cs="宋体"/>
          <w:color w:val="auto"/>
        </w:rPr>
        <w:t>一、总则</w:t>
      </w:r>
    </w:p>
    <w:p w14:paraId="7E19D515">
      <w:pPr>
        <w:pStyle w:val="27"/>
        <w:widowControl/>
        <w:spacing w:before="75" w:beforeAutospacing="0" w:after="75" w:afterAutospacing="0"/>
        <w:rPr>
          <w:color w:val="auto"/>
        </w:rPr>
      </w:pPr>
      <w:r>
        <w:rPr>
          <w:rFonts w:hint="eastAsia" w:ascii="宋体" w:hAnsi="宋体" w:eastAsia="宋体" w:cs="宋体"/>
          <w:color w:val="auto"/>
        </w:rPr>
        <w:t>1、适用范围</w:t>
      </w:r>
    </w:p>
    <w:p w14:paraId="05D07BDD">
      <w:pPr>
        <w:pStyle w:val="27"/>
        <w:widowControl/>
        <w:spacing w:before="75" w:beforeAutospacing="0" w:after="75" w:afterAutospacing="0"/>
        <w:rPr>
          <w:color w:val="auto"/>
        </w:rPr>
      </w:pPr>
      <w:r>
        <w:rPr>
          <w:rFonts w:hint="eastAsia" w:ascii="宋体" w:hAnsi="宋体" w:eastAsia="宋体" w:cs="宋体"/>
          <w:color w:val="auto"/>
        </w:rPr>
        <w:t>1.1适用于招标文件载明项目的政府采购活动（以下简称：“本次采购活动”）。</w:t>
      </w:r>
    </w:p>
    <w:p w14:paraId="6DE3F63A">
      <w:pPr>
        <w:pStyle w:val="27"/>
        <w:widowControl/>
        <w:spacing w:before="75" w:beforeAutospacing="0" w:after="75" w:afterAutospacing="0"/>
        <w:rPr>
          <w:color w:val="auto"/>
        </w:rPr>
      </w:pPr>
      <w:r>
        <w:rPr>
          <w:rFonts w:hint="eastAsia" w:ascii="宋体" w:hAnsi="宋体" w:eastAsia="宋体" w:cs="宋体"/>
          <w:color w:val="auto"/>
        </w:rPr>
        <w:t>2、定义</w:t>
      </w:r>
    </w:p>
    <w:p w14:paraId="2B02D361">
      <w:pPr>
        <w:pStyle w:val="27"/>
        <w:widowControl/>
        <w:spacing w:before="75" w:beforeAutospacing="0" w:after="75" w:afterAutospacing="0"/>
        <w:rPr>
          <w:color w:val="auto"/>
        </w:rPr>
      </w:pPr>
      <w:r>
        <w:rPr>
          <w:rFonts w:hint="eastAsia" w:ascii="宋体" w:hAnsi="宋体" w:eastAsia="宋体" w:cs="宋体"/>
          <w:color w:val="auto"/>
        </w:rPr>
        <w:t>2.1“采购标的”指招标文件载明的需要采购的货物或服务。</w:t>
      </w:r>
    </w:p>
    <w:p w14:paraId="2A86EA3A">
      <w:pPr>
        <w:pStyle w:val="27"/>
        <w:widowControl/>
        <w:spacing w:before="75" w:beforeAutospacing="0" w:after="75" w:afterAutospacing="0"/>
        <w:rPr>
          <w:color w:val="auto"/>
        </w:rPr>
      </w:pPr>
      <w:r>
        <w:rPr>
          <w:rFonts w:hint="eastAsia" w:ascii="宋体" w:hAnsi="宋体" w:eastAsia="宋体" w:cs="宋体"/>
          <w:color w:val="auto"/>
        </w:rPr>
        <w:t>2.2“潜在投标人”指按照招标文件第一章第</w:t>
      </w:r>
      <w:r>
        <w:rPr>
          <w:rFonts w:ascii="Calibri" w:hAnsi="Calibri" w:cs="Calibri"/>
          <w:color w:val="auto"/>
        </w:rPr>
        <w:t>7</w:t>
      </w:r>
      <w:r>
        <w:rPr>
          <w:rFonts w:hint="eastAsia" w:ascii="宋体" w:hAnsi="宋体" w:eastAsia="宋体" w:cs="宋体"/>
          <w:color w:val="auto"/>
        </w:rPr>
        <w:t>条规定进行报名且有意向参加本项目投标的供应商。</w:t>
      </w:r>
    </w:p>
    <w:p w14:paraId="250C5903">
      <w:pPr>
        <w:pStyle w:val="27"/>
        <w:widowControl/>
        <w:spacing w:before="75" w:beforeAutospacing="0" w:after="75" w:afterAutospacing="0"/>
        <w:rPr>
          <w:color w:val="auto"/>
        </w:rPr>
      </w:pPr>
      <w:r>
        <w:rPr>
          <w:rFonts w:hint="eastAsia" w:ascii="宋体" w:hAnsi="宋体" w:eastAsia="宋体" w:cs="宋体"/>
          <w:color w:val="auto"/>
        </w:rPr>
        <w:t>2.3“投标人”指按照招标文件第一章第</w:t>
      </w:r>
      <w:r>
        <w:rPr>
          <w:rFonts w:ascii="Calibri" w:hAnsi="Calibri" w:cs="Calibri"/>
          <w:color w:val="auto"/>
        </w:rPr>
        <w:t>7</w:t>
      </w:r>
      <w:r>
        <w:rPr>
          <w:rFonts w:hint="eastAsia" w:ascii="宋体" w:hAnsi="宋体" w:eastAsia="宋体" w:cs="宋体"/>
          <w:color w:val="auto"/>
        </w:rPr>
        <w:t>条规定进行报名并参加本项目投标的供应商。</w:t>
      </w:r>
    </w:p>
    <w:p w14:paraId="4B662181">
      <w:pPr>
        <w:pStyle w:val="27"/>
        <w:widowControl/>
        <w:spacing w:before="75" w:beforeAutospacing="0" w:after="75" w:afterAutospacing="0"/>
        <w:rPr>
          <w:color w:val="auto"/>
        </w:rPr>
      </w:pPr>
      <w:r>
        <w:rPr>
          <w:rFonts w:hint="eastAsia" w:ascii="宋体" w:hAnsi="宋体" w:eastAsia="宋体" w:cs="宋体"/>
          <w:color w:val="auto"/>
        </w:rPr>
        <w:t>2.4“单位负责人”指单位法定代表人或法律、法规规定代表单位行使职权的主要负责人。</w:t>
      </w:r>
    </w:p>
    <w:p w14:paraId="1ACD9F14">
      <w:pPr>
        <w:pStyle w:val="27"/>
        <w:widowControl/>
        <w:spacing w:before="75" w:beforeAutospacing="0" w:after="75" w:afterAutospacing="0"/>
        <w:rPr>
          <w:color w:val="auto"/>
        </w:rPr>
      </w:pPr>
      <w:r>
        <w:rPr>
          <w:rFonts w:hint="eastAsia" w:ascii="宋体" w:hAnsi="宋体" w:eastAsia="宋体" w:cs="宋体"/>
          <w:color w:val="auto"/>
        </w:rPr>
        <w:t>2.5“投标人代表”指投标人的单位负责人或“单位负责人授权书”中载明的接受授权方。</w:t>
      </w:r>
    </w:p>
    <w:p w14:paraId="2829E65E">
      <w:pPr>
        <w:pStyle w:val="27"/>
        <w:widowControl/>
        <w:spacing w:before="75" w:beforeAutospacing="0" w:after="75" w:afterAutospacing="0"/>
        <w:rPr>
          <w:color w:val="auto"/>
        </w:rPr>
      </w:pPr>
      <w:r>
        <w:rPr>
          <w:rFonts w:hint="eastAsia" w:ascii="宋体" w:hAnsi="宋体" w:eastAsia="宋体" w:cs="宋体"/>
          <w:color w:val="auto"/>
        </w:rPr>
        <w:t> </w:t>
      </w:r>
    </w:p>
    <w:p w14:paraId="37CFFAC1">
      <w:pPr>
        <w:pStyle w:val="27"/>
        <w:widowControl/>
        <w:spacing w:before="75" w:beforeAutospacing="0" w:after="75" w:afterAutospacing="0"/>
        <w:jc w:val="center"/>
        <w:rPr>
          <w:color w:val="auto"/>
        </w:rPr>
      </w:pPr>
      <w:r>
        <w:rPr>
          <w:rStyle w:val="32"/>
          <w:rFonts w:hint="eastAsia" w:ascii="宋体" w:hAnsi="宋体" w:eastAsia="宋体" w:cs="宋体"/>
          <w:color w:val="auto"/>
        </w:rPr>
        <w:t>二、投标人</w:t>
      </w:r>
    </w:p>
    <w:p w14:paraId="495A7D2A">
      <w:pPr>
        <w:pStyle w:val="27"/>
        <w:widowControl/>
        <w:spacing w:before="75" w:beforeAutospacing="0" w:after="75" w:afterAutospacing="0"/>
        <w:rPr>
          <w:color w:val="auto"/>
        </w:rPr>
      </w:pPr>
      <w:r>
        <w:rPr>
          <w:rFonts w:hint="eastAsia" w:ascii="宋体" w:hAnsi="宋体" w:eastAsia="宋体" w:cs="宋体"/>
          <w:color w:val="auto"/>
        </w:rPr>
        <w:t>3、合格投标人</w:t>
      </w:r>
    </w:p>
    <w:p w14:paraId="14605B8F">
      <w:pPr>
        <w:pStyle w:val="27"/>
        <w:widowControl/>
        <w:spacing w:before="75" w:beforeAutospacing="0" w:after="75" w:afterAutospacing="0"/>
        <w:rPr>
          <w:color w:val="auto"/>
        </w:rPr>
      </w:pPr>
      <w:r>
        <w:rPr>
          <w:rFonts w:hint="eastAsia" w:ascii="宋体" w:hAnsi="宋体" w:eastAsia="宋体" w:cs="宋体"/>
          <w:color w:val="auto"/>
        </w:rPr>
        <w:t>3.1一般规定</w:t>
      </w:r>
    </w:p>
    <w:p w14:paraId="770CED9F">
      <w:pPr>
        <w:pStyle w:val="27"/>
        <w:widowControl/>
        <w:spacing w:before="75" w:beforeAutospacing="0" w:after="75" w:afterAutospacing="0"/>
        <w:ind w:firstLine="480"/>
        <w:rPr>
          <w:color w:val="auto"/>
        </w:rPr>
      </w:pPr>
      <w:r>
        <w:rPr>
          <w:rFonts w:hint="eastAsia" w:ascii="宋体" w:hAnsi="宋体" w:eastAsia="宋体" w:cs="宋体"/>
          <w:color w:val="auto"/>
        </w:rPr>
        <w:t>（1）投标人应遵守政府采购法及实施条例、政府采购招投标管理办法、政府采购质疑和投诉办法及财政部、福建省财政厅有关政府采购文件的规定，同时还应遵守有关法律、法规和规章的强制性规定。</w:t>
      </w:r>
    </w:p>
    <w:p w14:paraId="42E20F39">
      <w:pPr>
        <w:pStyle w:val="27"/>
        <w:widowControl/>
        <w:spacing w:before="75" w:beforeAutospacing="0" w:after="75" w:afterAutospacing="0"/>
        <w:ind w:firstLine="480"/>
        <w:rPr>
          <w:color w:val="auto"/>
        </w:rPr>
      </w:pPr>
      <w:r>
        <w:rPr>
          <w:rFonts w:hint="eastAsia" w:ascii="宋体" w:hAnsi="宋体" w:eastAsia="宋体" w:cs="宋体"/>
          <w:color w:val="auto"/>
        </w:rPr>
        <w:t>（2）投标人的资格要求：详见招标文件第一章。</w:t>
      </w:r>
    </w:p>
    <w:p w14:paraId="73B98B74">
      <w:pPr>
        <w:pStyle w:val="27"/>
        <w:widowControl/>
        <w:spacing w:before="75" w:beforeAutospacing="0" w:after="75" w:afterAutospacing="0"/>
        <w:rPr>
          <w:color w:val="auto"/>
        </w:rPr>
      </w:pPr>
      <w:r>
        <w:rPr>
          <w:rFonts w:hint="eastAsia" w:ascii="宋体" w:hAnsi="宋体" w:eastAsia="宋体" w:cs="宋体"/>
          <w:color w:val="auto"/>
        </w:rPr>
        <w:t>3.2若本项目接受联合体投标且投标人为联合体，则联合体各方应遵守本章第3.1条规定，同时还应遵守下列规定：</w:t>
      </w:r>
    </w:p>
    <w:p w14:paraId="4B7C4DF9">
      <w:pPr>
        <w:pStyle w:val="27"/>
        <w:widowControl/>
        <w:spacing w:before="75" w:beforeAutospacing="0" w:after="75" w:afterAutospacing="0"/>
        <w:ind w:firstLine="480"/>
        <w:rPr>
          <w:color w:val="auto"/>
        </w:rPr>
      </w:pPr>
      <w:r>
        <w:rPr>
          <w:rFonts w:hint="eastAsia" w:ascii="宋体" w:hAnsi="宋体" w:eastAsia="宋体" w:cs="宋体"/>
          <w:color w:val="auto"/>
        </w:rPr>
        <w:t>（1）联合体各方应提交联合体协议，联合体协议应符合招标文件规定。</w:t>
      </w:r>
    </w:p>
    <w:p w14:paraId="554BCFA3">
      <w:pPr>
        <w:pStyle w:val="27"/>
        <w:widowControl/>
        <w:spacing w:before="75" w:beforeAutospacing="0" w:after="75" w:afterAutospacing="0"/>
        <w:ind w:firstLine="480"/>
        <w:rPr>
          <w:color w:val="auto"/>
        </w:rPr>
      </w:pPr>
      <w:r>
        <w:rPr>
          <w:rFonts w:hint="eastAsia" w:ascii="宋体" w:hAnsi="宋体" w:eastAsia="宋体" w:cs="宋体"/>
          <w:color w:val="auto"/>
        </w:rPr>
        <w:t>（2）联合体各方不得再单独参加或与其他供应商另外组成联合体参加同一合同项下的投标。</w:t>
      </w:r>
    </w:p>
    <w:p w14:paraId="4DF38989">
      <w:pPr>
        <w:pStyle w:val="27"/>
        <w:widowControl/>
        <w:spacing w:before="75" w:beforeAutospacing="0" w:after="75" w:afterAutospacing="0"/>
        <w:ind w:firstLine="480"/>
        <w:rPr>
          <w:color w:val="auto"/>
        </w:rPr>
      </w:pPr>
      <w:r>
        <w:rPr>
          <w:rFonts w:hint="eastAsia" w:ascii="宋体" w:hAnsi="宋体" w:eastAsia="宋体" w:cs="宋体"/>
          <w:color w:val="auto"/>
        </w:rPr>
        <w:t>（3）联合体各方应共同与采购人签订政府采购合同，就政府采购合同约定的事项对采购人承担连带责任。</w:t>
      </w:r>
    </w:p>
    <w:p w14:paraId="70A6E606">
      <w:pPr>
        <w:pStyle w:val="27"/>
        <w:widowControl/>
        <w:spacing w:before="75" w:beforeAutospacing="0" w:after="75" w:afterAutospacing="0"/>
        <w:rPr>
          <w:color w:val="auto"/>
        </w:rPr>
      </w:pPr>
      <w:r>
        <w:rPr>
          <w:rFonts w:hint="eastAsia" w:ascii="宋体" w:hAnsi="宋体" w:eastAsia="宋体" w:cs="宋体"/>
          <w:color w:val="auto"/>
        </w:rPr>
        <w:t>4、投标费用</w:t>
      </w:r>
    </w:p>
    <w:p w14:paraId="1BAA42A2">
      <w:pPr>
        <w:pStyle w:val="27"/>
        <w:widowControl/>
        <w:spacing w:before="75" w:beforeAutospacing="0" w:after="75" w:afterAutospacing="0"/>
        <w:rPr>
          <w:color w:val="auto"/>
        </w:rPr>
      </w:pPr>
      <w:r>
        <w:rPr>
          <w:rFonts w:hint="eastAsia" w:ascii="宋体" w:hAnsi="宋体" w:eastAsia="宋体" w:cs="宋体"/>
          <w:color w:val="auto"/>
        </w:rPr>
        <w:t>4.1除招标文件另有规定外，投标人应自行承担其参加本项目投标所涉及的一切费用。</w:t>
      </w:r>
    </w:p>
    <w:p w14:paraId="7DAA778A">
      <w:pPr>
        <w:pStyle w:val="27"/>
        <w:widowControl/>
        <w:spacing w:before="75" w:beforeAutospacing="0" w:after="75" w:afterAutospacing="0"/>
        <w:rPr>
          <w:color w:val="auto"/>
        </w:rPr>
      </w:pPr>
      <w:r>
        <w:rPr>
          <w:rFonts w:hint="eastAsia" w:ascii="宋体" w:hAnsi="宋体" w:eastAsia="宋体" w:cs="宋体"/>
          <w:color w:val="auto"/>
        </w:rPr>
        <w:t> </w:t>
      </w:r>
    </w:p>
    <w:p w14:paraId="2D84D9C0">
      <w:pPr>
        <w:pStyle w:val="27"/>
        <w:widowControl/>
        <w:spacing w:before="75" w:beforeAutospacing="0" w:after="75" w:afterAutospacing="0"/>
        <w:jc w:val="center"/>
        <w:rPr>
          <w:color w:val="auto"/>
        </w:rPr>
      </w:pPr>
      <w:r>
        <w:rPr>
          <w:rStyle w:val="32"/>
          <w:rFonts w:hint="eastAsia" w:ascii="宋体" w:hAnsi="宋体" w:eastAsia="宋体" w:cs="宋体"/>
          <w:color w:val="auto"/>
        </w:rPr>
        <w:t>三、招标</w:t>
      </w:r>
    </w:p>
    <w:p w14:paraId="75EE3150">
      <w:pPr>
        <w:pStyle w:val="27"/>
        <w:widowControl/>
        <w:spacing w:before="75" w:beforeAutospacing="0" w:after="75" w:afterAutospacing="0"/>
        <w:rPr>
          <w:color w:val="auto"/>
        </w:rPr>
      </w:pPr>
      <w:r>
        <w:rPr>
          <w:rFonts w:hint="eastAsia" w:ascii="宋体" w:hAnsi="宋体" w:eastAsia="宋体" w:cs="宋体"/>
          <w:color w:val="auto"/>
        </w:rPr>
        <w:t>5、招标文件</w:t>
      </w:r>
    </w:p>
    <w:p w14:paraId="2A28F2AE">
      <w:pPr>
        <w:pStyle w:val="27"/>
        <w:widowControl/>
        <w:spacing w:before="75" w:beforeAutospacing="0" w:after="75" w:afterAutospacing="0"/>
        <w:rPr>
          <w:color w:val="auto"/>
        </w:rPr>
      </w:pPr>
      <w:r>
        <w:rPr>
          <w:rFonts w:hint="eastAsia" w:ascii="宋体" w:hAnsi="宋体" w:eastAsia="宋体" w:cs="宋体"/>
          <w:color w:val="auto"/>
        </w:rPr>
        <w:t>5.1招标文件由下述部分组成：</w:t>
      </w:r>
    </w:p>
    <w:p w14:paraId="341A1E42">
      <w:pPr>
        <w:pStyle w:val="27"/>
        <w:widowControl/>
        <w:spacing w:before="75" w:beforeAutospacing="0" w:after="75" w:afterAutospacing="0"/>
        <w:ind w:firstLine="480"/>
        <w:rPr>
          <w:color w:val="auto"/>
        </w:rPr>
      </w:pPr>
      <w:r>
        <w:rPr>
          <w:rFonts w:hint="eastAsia" w:ascii="宋体" w:hAnsi="宋体" w:eastAsia="宋体" w:cs="宋体"/>
          <w:color w:val="auto"/>
        </w:rPr>
        <w:t>（1）投标邀请</w:t>
      </w:r>
    </w:p>
    <w:p w14:paraId="4E5113C7">
      <w:pPr>
        <w:pStyle w:val="27"/>
        <w:widowControl/>
        <w:spacing w:before="75" w:beforeAutospacing="0" w:after="75" w:afterAutospacing="0"/>
        <w:ind w:firstLine="480"/>
        <w:rPr>
          <w:color w:val="auto"/>
        </w:rPr>
      </w:pPr>
      <w:r>
        <w:rPr>
          <w:rFonts w:hint="eastAsia" w:ascii="宋体" w:hAnsi="宋体" w:eastAsia="宋体" w:cs="宋体"/>
          <w:color w:val="auto"/>
        </w:rPr>
        <w:t>（2）投标人须知前附表（表</w:t>
      </w:r>
      <w:r>
        <w:rPr>
          <w:rFonts w:ascii="Calibri" w:hAnsi="Calibri" w:cs="Calibri"/>
          <w:color w:val="auto"/>
        </w:rPr>
        <w:t>1</w:t>
      </w:r>
      <w:r>
        <w:rPr>
          <w:rFonts w:hint="eastAsia" w:ascii="宋体" w:hAnsi="宋体" w:eastAsia="宋体" w:cs="宋体"/>
          <w:color w:val="auto"/>
        </w:rPr>
        <w:t>、</w:t>
      </w:r>
      <w:r>
        <w:rPr>
          <w:rFonts w:ascii="Calibri" w:hAnsi="Calibri" w:cs="Calibri"/>
          <w:color w:val="auto"/>
        </w:rPr>
        <w:t>2</w:t>
      </w:r>
      <w:r>
        <w:rPr>
          <w:rFonts w:hint="eastAsia" w:ascii="宋体" w:hAnsi="宋体" w:eastAsia="宋体" w:cs="宋体"/>
          <w:color w:val="auto"/>
        </w:rPr>
        <w:t>）</w:t>
      </w:r>
    </w:p>
    <w:p w14:paraId="034FD30D">
      <w:pPr>
        <w:pStyle w:val="27"/>
        <w:widowControl/>
        <w:spacing w:before="75" w:beforeAutospacing="0" w:after="75" w:afterAutospacing="0"/>
        <w:ind w:firstLine="480"/>
        <w:rPr>
          <w:color w:val="auto"/>
        </w:rPr>
      </w:pPr>
      <w:r>
        <w:rPr>
          <w:rFonts w:hint="eastAsia" w:ascii="宋体" w:hAnsi="宋体" w:eastAsia="宋体" w:cs="宋体"/>
          <w:color w:val="auto"/>
        </w:rPr>
        <w:t>（3）投标人须知</w:t>
      </w:r>
    </w:p>
    <w:p w14:paraId="2D75BE60">
      <w:pPr>
        <w:pStyle w:val="27"/>
        <w:widowControl/>
        <w:spacing w:before="75" w:beforeAutospacing="0" w:after="75" w:afterAutospacing="0"/>
        <w:ind w:firstLine="480"/>
        <w:rPr>
          <w:color w:val="auto"/>
        </w:rPr>
      </w:pPr>
      <w:r>
        <w:rPr>
          <w:rFonts w:hint="eastAsia" w:ascii="宋体" w:hAnsi="宋体" w:eastAsia="宋体" w:cs="宋体"/>
          <w:color w:val="auto"/>
        </w:rPr>
        <w:t>（4）资格审查与评标</w:t>
      </w:r>
    </w:p>
    <w:p w14:paraId="4A2A004C">
      <w:pPr>
        <w:pStyle w:val="27"/>
        <w:widowControl/>
        <w:spacing w:before="75" w:beforeAutospacing="0" w:after="75" w:afterAutospacing="0"/>
        <w:ind w:firstLine="480"/>
        <w:rPr>
          <w:color w:val="auto"/>
        </w:rPr>
      </w:pPr>
      <w:r>
        <w:rPr>
          <w:rFonts w:hint="eastAsia" w:ascii="宋体" w:hAnsi="宋体" w:eastAsia="宋体" w:cs="宋体"/>
          <w:color w:val="auto"/>
        </w:rPr>
        <w:t>（5）招标内容及要求</w:t>
      </w:r>
    </w:p>
    <w:p w14:paraId="53A686BF">
      <w:pPr>
        <w:pStyle w:val="27"/>
        <w:widowControl/>
        <w:spacing w:before="75" w:beforeAutospacing="0" w:after="75" w:afterAutospacing="0"/>
        <w:ind w:firstLine="480"/>
        <w:rPr>
          <w:color w:val="auto"/>
        </w:rPr>
      </w:pPr>
      <w:r>
        <w:rPr>
          <w:rFonts w:hint="eastAsia" w:ascii="宋体" w:hAnsi="宋体" w:eastAsia="宋体" w:cs="宋体"/>
          <w:color w:val="auto"/>
        </w:rPr>
        <w:t>（6）政府采购合同（参考文本）</w:t>
      </w:r>
    </w:p>
    <w:p w14:paraId="0DA20AEB">
      <w:pPr>
        <w:pStyle w:val="27"/>
        <w:widowControl/>
        <w:spacing w:before="75" w:beforeAutospacing="0" w:after="75" w:afterAutospacing="0"/>
        <w:ind w:firstLine="480"/>
        <w:rPr>
          <w:color w:val="auto"/>
        </w:rPr>
      </w:pPr>
      <w:r>
        <w:rPr>
          <w:rFonts w:hint="eastAsia" w:ascii="宋体" w:hAnsi="宋体" w:eastAsia="宋体" w:cs="宋体"/>
          <w:color w:val="auto"/>
        </w:rPr>
        <w:t>（7）投标文件格式</w:t>
      </w:r>
    </w:p>
    <w:p w14:paraId="40DDEE7E">
      <w:pPr>
        <w:pStyle w:val="27"/>
        <w:widowControl/>
        <w:spacing w:before="75" w:beforeAutospacing="0" w:after="75" w:afterAutospacing="0"/>
        <w:ind w:firstLine="480"/>
        <w:rPr>
          <w:color w:val="auto"/>
        </w:rPr>
      </w:pPr>
      <w:r>
        <w:rPr>
          <w:rFonts w:hint="eastAsia" w:ascii="宋体" w:hAnsi="宋体" w:eastAsia="宋体" w:cs="宋体"/>
          <w:color w:val="auto"/>
        </w:rPr>
        <w:t>（8）按照招标文件规定作为招标文件组成部分的其他内容（若有）</w:t>
      </w:r>
    </w:p>
    <w:p w14:paraId="031E4BF6">
      <w:pPr>
        <w:pStyle w:val="27"/>
        <w:widowControl/>
        <w:spacing w:before="75" w:beforeAutospacing="0" w:after="75" w:afterAutospacing="0"/>
        <w:rPr>
          <w:color w:val="auto"/>
        </w:rPr>
      </w:pPr>
      <w:r>
        <w:rPr>
          <w:rFonts w:hint="eastAsia" w:ascii="宋体" w:hAnsi="宋体" w:eastAsia="宋体" w:cs="宋体"/>
          <w:color w:val="auto"/>
        </w:rPr>
        <w:t>5.2招标文件的澄清或修改</w:t>
      </w:r>
    </w:p>
    <w:p w14:paraId="64532504">
      <w:pPr>
        <w:pStyle w:val="27"/>
        <w:widowControl/>
        <w:spacing w:before="75" w:beforeAutospacing="0" w:after="75" w:afterAutospacing="0"/>
        <w:ind w:firstLine="480"/>
        <w:rPr>
          <w:color w:val="auto"/>
        </w:rPr>
      </w:pPr>
      <w:r>
        <w:rPr>
          <w:rFonts w:hint="eastAsia" w:ascii="宋体" w:hAnsi="宋体" w:eastAsia="宋体" w:cs="宋体"/>
          <w:color w:val="auto"/>
        </w:rPr>
        <w:t>（1）</w:t>
      </w:r>
      <w:r>
        <w:rPr>
          <w:color w:val="auto"/>
          <w:u w:val="single"/>
        </w:rPr>
        <w:t>福建省招标中心有限责任公司</w:t>
      </w:r>
      <w:r>
        <w:rPr>
          <w:rFonts w:hint="eastAsia" w:ascii="宋体" w:hAnsi="宋体" w:eastAsia="宋体" w:cs="宋体"/>
          <w:color w:val="auto"/>
        </w:rPr>
        <w:t>可对已发出的招标文件进行必要的澄清或修改，但不得对招标文件载明的采购标的和投标人的资格要求进行改变。</w:t>
      </w:r>
    </w:p>
    <w:p w14:paraId="3898FB44">
      <w:pPr>
        <w:pStyle w:val="27"/>
        <w:widowControl/>
        <w:spacing w:before="75" w:beforeAutospacing="0" w:after="75" w:afterAutospacing="0"/>
        <w:ind w:firstLine="480"/>
        <w:rPr>
          <w:color w:val="auto"/>
        </w:rPr>
      </w:pPr>
      <w:r>
        <w:rPr>
          <w:rFonts w:hint="eastAsia" w:ascii="宋体" w:hAnsi="宋体" w:eastAsia="宋体" w:cs="宋体"/>
          <w:color w:val="auto"/>
        </w:rPr>
        <w:t>（2）除本章第</w:t>
      </w:r>
      <w:r>
        <w:rPr>
          <w:rFonts w:ascii="Calibri" w:hAnsi="Calibri" w:cs="Calibri"/>
          <w:color w:val="auto"/>
        </w:rPr>
        <w:t>5.2</w:t>
      </w:r>
      <w:r>
        <w:rPr>
          <w:rFonts w:hint="eastAsia" w:ascii="宋体" w:hAnsi="宋体" w:eastAsia="宋体" w:cs="宋体"/>
          <w:color w:val="auto"/>
        </w:rPr>
        <w:t>条第（</w:t>
      </w:r>
      <w:r>
        <w:rPr>
          <w:rFonts w:ascii="Calibri" w:hAnsi="Calibri" w:cs="Calibri"/>
          <w:color w:val="auto"/>
        </w:rPr>
        <w:t>3</w:t>
      </w:r>
      <w:r>
        <w:rPr>
          <w:rFonts w:hint="eastAsia" w:ascii="宋体" w:hAnsi="宋体" w:eastAsia="宋体" w:cs="宋体"/>
          <w:color w:val="auto"/>
        </w:rPr>
        <w:t>）款规定情形外，澄清或修改的内容可能影响投标文件编制的，</w:t>
      </w:r>
      <w:r>
        <w:rPr>
          <w:rFonts w:hint="eastAsia" w:ascii="宋体" w:hAnsi="宋体" w:eastAsia="宋体" w:cs="宋体"/>
          <w:color w:val="auto"/>
          <w:u w:val="single"/>
        </w:rPr>
        <w:t>福建省招标中心有限责任公司</w:t>
      </w:r>
      <w:r>
        <w:rPr>
          <w:rFonts w:hint="eastAsia" w:ascii="宋体" w:hAnsi="宋体" w:eastAsia="宋体" w:cs="宋体"/>
          <w:color w:val="auto"/>
        </w:rPr>
        <w:t>将在投标截止时间至少15个日历日前，在招标文件载明的指定媒体以更正公告的形式发布澄清或修改的内容。不足</w:t>
      </w:r>
      <w:r>
        <w:rPr>
          <w:rFonts w:ascii="Calibri" w:hAnsi="Calibri" w:cs="Calibri"/>
          <w:color w:val="auto"/>
        </w:rPr>
        <w:t>15</w:t>
      </w:r>
      <w:r>
        <w:rPr>
          <w:rFonts w:hint="eastAsia" w:ascii="宋体" w:hAnsi="宋体" w:eastAsia="宋体" w:cs="宋体"/>
          <w:color w:val="auto"/>
        </w:rPr>
        <w:t>个日历日的，</w:t>
      </w:r>
      <w:r>
        <w:rPr>
          <w:rFonts w:hint="eastAsia" w:ascii="宋体" w:hAnsi="宋体" w:eastAsia="宋体" w:cs="宋体"/>
          <w:color w:val="auto"/>
          <w:u w:val="single"/>
        </w:rPr>
        <w:t>福建省招标中心有限责任公司</w:t>
      </w:r>
      <w:r>
        <w:rPr>
          <w:rFonts w:hint="eastAsia" w:ascii="宋体" w:hAnsi="宋体" w:eastAsia="宋体" w:cs="宋体"/>
          <w:color w:val="auto"/>
        </w:rPr>
        <w:t>将顺延投标截止时间及开标时间，</w:t>
      </w:r>
      <w:r>
        <w:rPr>
          <w:rFonts w:hint="eastAsia" w:ascii="宋体" w:hAnsi="宋体" w:eastAsia="宋体" w:cs="宋体"/>
          <w:color w:val="auto"/>
          <w:u w:val="single"/>
        </w:rPr>
        <w:t>福建省招标中心有限责任公司</w:t>
      </w:r>
      <w:r>
        <w:rPr>
          <w:rFonts w:hint="eastAsia" w:ascii="宋体" w:hAnsi="宋体" w:eastAsia="宋体" w:cs="宋体"/>
          <w:color w:val="auto"/>
        </w:rPr>
        <w:t>和投标人受原投标截止时间及开标时间制约的所有权利和义务均延长至新的投标截止时间及开标时间。</w:t>
      </w:r>
    </w:p>
    <w:p w14:paraId="5C44622A">
      <w:pPr>
        <w:pStyle w:val="27"/>
        <w:widowControl/>
        <w:spacing w:before="75" w:beforeAutospacing="0" w:after="75" w:afterAutospacing="0"/>
        <w:ind w:firstLine="480"/>
        <w:rPr>
          <w:color w:val="auto"/>
        </w:rPr>
      </w:pPr>
      <w:r>
        <w:rPr>
          <w:rFonts w:hint="eastAsia" w:ascii="宋体" w:hAnsi="宋体" w:eastAsia="宋体" w:cs="宋体"/>
          <w:color w:val="auto"/>
        </w:rPr>
        <w:t>（3）澄清或修改的内容可能改变招标文件载明的采购标的和投标人的资格要求的，本次采购活动结束，</w:t>
      </w:r>
      <w:r>
        <w:rPr>
          <w:rFonts w:hint="eastAsia" w:ascii="宋体" w:hAnsi="宋体" w:eastAsia="宋体" w:cs="宋体"/>
          <w:color w:val="auto"/>
          <w:u w:val="single"/>
        </w:rPr>
        <w:t>福建省招标中心有限责任公司</w:t>
      </w:r>
      <w:r>
        <w:rPr>
          <w:rFonts w:hint="eastAsia" w:ascii="宋体" w:hAnsi="宋体" w:eastAsia="宋体" w:cs="宋体"/>
          <w:color w:val="auto"/>
        </w:rPr>
        <w:t>将依法组织后续采购活动（包括但不限于：重新招标、采用其他方式采购等）。</w:t>
      </w:r>
    </w:p>
    <w:p w14:paraId="42E74308">
      <w:pPr>
        <w:pStyle w:val="27"/>
        <w:widowControl/>
        <w:spacing w:before="75" w:beforeAutospacing="0" w:after="75" w:afterAutospacing="0"/>
        <w:rPr>
          <w:color w:val="auto"/>
        </w:rPr>
      </w:pPr>
      <w:r>
        <w:rPr>
          <w:rFonts w:hint="eastAsia" w:ascii="宋体" w:hAnsi="宋体" w:eastAsia="宋体" w:cs="宋体"/>
          <w:color w:val="auto"/>
        </w:rPr>
        <w:t>6、现场考察或开标前答疑会</w:t>
      </w:r>
    </w:p>
    <w:p w14:paraId="19B75364">
      <w:pPr>
        <w:pStyle w:val="27"/>
        <w:widowControl/>
        <w:spacing w:before="75" w:beforeAutospacing="0" w:after="75" w:afterAutospacing="0"/>
        <w:rPr>
          <w:color w:val="auto"/>
        </w:rPr>
      </w:pPr>
      <w:r>
        <w:rPr>
          <w:rFonts w:hint="eastAsia" w:ascii="宋体" w:hAnsi="宋体" w:eastAsia="宋体" w:cs="宋体"/>
          <w:color w:val="auto"/>
        </w:rPr>
        <w:t>6.1是否组织现场考察或召开开标前答疑会：详见招标文件第二章。</w:t>
      </w:r>
    </w:p>
    <w:p w14:paraId="3E53913E">
      <w:pPr>
        <w:pStyle w:val="27"/>
        <w:widowControl/>
        <w:spacing w:before="75" w:beforeAutospacing="0" w:after="75" w:afterAutospacing="0"/>
        <w:rPr>
          <w:color w:val="auto"/>
        </w:rPr>
      </w:pPr>
      <w:r>
        <w:rPr>
          <w:rFonts w:hint="eastAsia" w:ascii="宋体" w:hAnsi="宋体" w:eastAsia="宋体" w:cs="宋体"/>
          <w:color w:val="auto"/>
        </w:rPr>
        <w:t>7、更正公告</w:t>
      </w:r>
    </w:p>
    <w:p w14:paraId="29F1351B">
      <w:pPr>
        <w:pStyle w:val="27"/>
        <w:widowControl/>
        <w:spacing w:before="75" w:beforeAutospacing="0" w:after="75" w:afterAutospacing="0"/>
        <w:rPr>
          <w:color w:val="auto"/>
        </w:rPr>
      </w:pPr>
      <w:r>
        <w:rPr>
          <w:rFonts w:hint="eastAsia" w:ascii="宋体" w:hAnsi="宋体" w:eastAsia="宋体" w:cs="宋体"/>
          <w:color w:val="auto"/>
        </w:rPr>
        <w:t>7.1若</w:t>
      </w:r>
      <w:r>
        <w:rPr>
          <w:rFonts w:hint="eastAsia" w:ascii="宋体" w:hAnsi="宋体" w:eastAsia="宋体" w:cs="宋体"/>
          <w:color w:val="auto"/>
          <w:u w:val="single"/>
        </w:rPr>
        <w:t>福建省招标中心有限责任公司</w:t>
      </w:r>
      <w:r>
        <w:rPr>
          <w:rFonts w:hint="eastAsia" w:ascii="宋体" w:hAnsi="宋体" w:eastAsia="宋体" w:cs="宋体"/>
          <w:color w:val="auto"/>
        </w:rPr>
        <w:t>发布更正公告，则更正公告及其所发布的内容或信息（包括但不限于：招标文件的澄清或修改、现场考察或答疑会的有关事宜等）</w:t>
      </w:r>
      <w:r>
        <w:rPr>
          <w:rStyle w:val="32"/>
          <w:rFonts w:hint="eastAsia" w:ascii="宋体" w:hAnsi="宋体" w:eastAsia="宋体" w:cs="宋体"/>
          <w:color w:val="auto"/>
        </w:rPr>
        <w:t>作为招标文件组成部分</w:t>
      </w:r>
      <w:r>
        <w:rPr>
          <w:rFonts w:hint="eastAsia" w:ascii="宋体" w:hAnsi="宋体" w:eastAsia="宋体" w:cs="宋体"/>
          <w:color w:val="auto"/>
        </w:rPr>
        <w:t>，对投标人具有约束力。</w:t>
      </w:r>
    </w:p>
    <w:p w14:paraId="0BC14609">
      <w:pPr>
        <w:pStyle w:val="27"/>
        <w:widowControl/>
        <w:spacing w:before="75" w:beforeAutospacing="0" w:after="75" w:afterAutospacing="0"/>
        <w:rPr>
          <w:color w:val="auto"/>
        </w:rPr>
      </w:pPr>
      <w:r>
        <w:rPr>
          <w:rFonts w:hint="eastAsia" w:ascii="宋体" w:hAnsi="宋体" w:eastAsia="宋体" w:cs="宋体"/>
          <w:color w:val="auto"/>
        </w:rPr>
        <w:t>7.2更正公告作为</w:t>
      </w:r>
      <w:r>
        <w:rPr>
          <w:rFonts w:hint="eastAsia" w:ascii="宋体" w:hAnsi="宋体" w:eastAsia="宋体" w:cs="宋体"/>
          <w:color w:val="auto"/>
          <w:u w:val="single"/>
        </w:rPr>
        <w:t>福建省招标中心有限责任公司</w:t>
      </w:r>
      <w:r>
        <w:rPr>
          <w:rFonts w:hint="eastAsia" w:ascii="宋体" w:hAnsi="宋体" w:eastAsia="宋体" w:cs="宋体"/>
          <w:color w:val="auto"/>
        </w:rPr>
        <w:t>通知所有潜在投标人的书面形式。</w:t>
      </w:r>
    </w:p>
    <w:p w14:paraId="57F3304E">
      <w:pPr>
        <w:pStyle w:val="27"/>
        <w:widowControl/>
        <w:spacing w:before="75" w:beforeAutospacing="0" w:after="75" w:afterAutospacing="0"/>
        <w:rPr>
          <w:color w:val="auto"/>
        </w:rPr>
      </w:pPr>
      <w:r>
        <w:rPr>
          <w:rFonts w:hint="eastAsia" w:ascii="宋体" w:hAnsi="宋体" w:eastAsia="宋体" w:cs="宋体"/>
          <w:color w:val="auto"/>
        </w:rPr>
        <w:t>8、终止公告</w:t>
      </w:r>
    </w:p>
    <w:p w14:paraId="748DE02B">
      <w:pPr>
        <w:pStyle w:val="27"/>
        <w:widowControl/>
        <w:spacing w:before="75" w:beforeAutospacing="0" w:after="75" w:afterAutospacing="0"/>
        <w:rPr>
          <w:color w:val="auto"/>
        </w:rPr>
      </w:pPr>
      <w:r>
        <w:rPr>
          <w:rFonts w:hint="eastAsia" w:ascii="宋体" w:hAnsi="宋体" w:eastAsia="宋体" w:cs="宋体"/>
          <w:color w:val="auto"/>
        </w:rPr>
        <w:t>8.1若出现因重大变故导致采购任务取消情形，福建省招标中心有限责任公司可终止招标并发布终止公告。</w:t>
      </w:r>
    </w:p>
    <w:p w14:paraId="4FEBD41C">
      <w:pPr>
        <w:pStyle w:val="27"/>
        <w:widowControl/>
        <w:spacing w:before="75" w:beforeAutospacing="0" w:after="75" w:afterAutospacing="0"/>
        <w:rPr>
          <w:color w:val="auto"/>
        </w:rPr>
      </w:pPr>
      <w:r>
        <w:rPr>
          <w:rFonts w:hint="eastAsia" w:ascii="宋体" w:hAnsi="宋体" w:eastAsia="宋体" w:cs="宋体"/>
          <w:color w:val="auto"/>
        </w:rPr>
        <w:t>8.2终止公告作为福建省招标中心有限责任公司通知所有潜在投标人的书面形式。</w:t>
      </w:r>
    </w:p>
    <w:p w14:paraId="32F30710">
      <w:pPr>
        <w:pStyle w:val="27"/>
        <w:widowControl/>
        <w:spacing w:before="75" w:beforeAutospacing="0" w:after="75" w:afterAutospacing="0"/>
        <w:rPr>
          <w:color w:val="auto"/>
        </w:rPr>
      </w:pPr>
      <w:r>
        <w:rPr>
          <w:rFonts w:hint="eastAsia" w:ascii="宋体" w:hAnsi="宋体" w:eastAsia="宋体" w:cs="宋体"/>
          <w:color w:val="auto"/>
        </w:rPr>
        <w:t> </w:t>
      </w:r>
    </w:p>
    <w:p w14:paraId="4EF8F9C7">
      <w:pPr>
        <w:pStyle w:val="27"/>
        <w:widowControl/>
        <w:spacing w:before="75" w:beforeAutospacing="0" w:after="75" w:afterAutospacing="0"/>
        <w:jc w:val="center"/>
        <w:rPr>
          <w:color w:val="auto"/>
        </w:rPr>
      </w:pPr>
      <w:r>
        <w:rPr>
          <w:rStyle w:val="32"/>
          <w:rFonts w:hint="eastAsia" w:ascii="宋体" w:hAnsi="宋体" w:eastAsia="宋体" w:cs="宋体"/>
          <w:color w:val="auto"/>
        </w:rPr>
        <w:t>四、投标</w:t>
      </w:r>
    </w:p>
    <w:p w14:paraId="40DD81C3">
      <w:pPr>
        <w:pStyle w:val="27"/>
        <w:widowControl/>
        <w:spacing w:before="75" w:beforeAutospacing="0" w:after="75" w:afterAutospacing="0"/>
        <w:rPr>
          <w:color w:val="auto"/>
        </w:rPr>
      </w:pPr>
      <w:r>
        <w:rPr>
          <w:rFonts w:hint="eastAsia" w:ascii="宋体" w:hAnsi="宋体" w:eastAsia="宋体" w:cs="宋体"/>
          <w:color w:val="auto"/>
        </w:rPr>
        <w:t>9、投标</w:t>
      </w:r>
    </w:p>
    <w:p w14:paraId="6F9B804C">
      <w:pPr>
        <w:pStyle w:val="27"/>
        <w:widowControl/>
        <w:spacing w:before="75" w:beforeAutospacing="0" w:after="75" w:afterAutospacing="0"/>
        <w:rPr>
          <w:color w:val="auto"/>
        </w:rPr>
      </w:pPr>
      <w:r>
        <w:rPr>
          <w:rFonts w:hint="eastAsia" w:ascii="宋体" w:hAnsi="宋体" w:eastAsia="宋体" w:cs="宋体"/>
          <w:color w:val="auto"/>
        </w:rPr>
        <w:t>9.1投标人可对招标文件载明的全部或部分合同包进行投标。</w:t>
      </w:r>
    </w:p>
    <w:p w14:paraId="17DCDC71">
      <w:pPr>
        <w:pStyle w:val="27"/>
        <w:widowControl/>
        <w:spacing w:before="75" w:beforeAutospacing="0" w:after="75" w:afterAutospacing="0"/>
        <w:rPr>
          <w:color w:val="auto"/>
        </w:rPr>
      </w:pPr>
      <w:r>
        <w:rPr>
          <w:rFonts w:hint="eastAsia" w:ascii="宋体" w:hAnsi="宋体" w:eastAsia="宋体" w:cs="宋体"/>
          <w:color w:val="auto"/>
        </w:rPr>
        <w:t>9.2投标人应对同一个合同包内的所有内容进行完整投标，否则</w:t>
      </w:r>
      <w:r>
        <w:rPr>
          <w:rStyle w:val="32"/>
          <w:rFonts w:hint="eastAsia" w:ascii="宋体" w:hAnsi="宋体" w:eastAsia="宋体" w:cs="宋体"/>
          <w:color w:val="auto"/>
        </w:rPr>
        <w:t>投标无效</w:t>
      </w:r>
      <w:r>
        <w:rPr>
          <w:rFonts w:hint="eastAsia" w:ascii="宋体" w:hAnsi="宋体" w:eastAsia="宋体" w:cs="宋体"/>
          <w:color w:val="auto"/>
        </w:rPr>
        <w:t>。</w:t>
      </w:r>
    </w:p>
    <w:p w14:paraId="6AB92962">
      <w:pPr>
        <w:pStyle w:val="27"/>
        <w:widowControl/>
        <w:spacing w:before="75" w:beforeAutospacing="0" w:after="75" w:afterAutospacing="0"/>
        <w:rPr>
          <w:color w:val="auto"/>
        </w:rPr>
      </w:pPr>
      <w:r>
        <w:rPr>
          <w:rFonts w:hint="eastAsia" w:ascii="宋体" w:hAnsi="宋体" w:eastAsia="宋体" w:cs="宋体"/>
          <w:color w:val="auto"/>
        </w:rPr>
        <w:t>9.3投标人代表只能接受一个投标人的授权参加投标，否则</w:t>
      </w:r>
      <w:r>
        <w:rPr>
          <w:rStyle w:val="32"/>
          <w:rFonts w:hint="eastAsia" w:ascii="宋体" w:hAnsi="宋体" w:eastAsia="宋体" w:cs="宋体"/>
          <w:color w:val="auto"/>
        </w:rPr>
        <w:t>投标无效</w:t>
      </w:r>
      <w:r>
        <w:rPr>
          <w:rFonts w:hint="eastAsia" w:ascii="宋体" w:hAnsi="宋体" w:eastAsia="宋体" w:cs="宋体"/>
          <w:color w:val="auto"/>
        </w:rPr>
        <w:t>。</w:t>
      </w:r>
    </w:p>
    <w:p w14:paraId="79ABDF61">
      <w:pPr>
        <w:pStyle w:val="27"/>
        <w:widowControl/>
        <w:spacing w:before="75" w:beforeAutospacing="0" w:after="75" w:afterAutospacing="0"/>
        <w:rPr>
          <w:color w:val="auto"/>
        </w:rPr>
      </w:pPr>
      <w:r>
        <w:rPr>
          <w:rFonts w:hint="eastAsia" w:ascii="宋体" w:hAnsi="宋体" w:eastAsia="宋体" w:cs="宋体"/>
          <w:color w:val="auto"/>
        </w:rPr>
        <w:t>9.4单位负责人为同一人或存在直接控股、管理关系的不同供应商，不得同时参加同一合同项下的投标，否则</w:t>
      </w:r>
      <w:r>
        <w:rPr>
          <w:rStyle w:val="32"/>
          <w:rFonts w:hint="eastAsia" w:ascii="宋体" w:hAnsi="宋体" w:eastAsia="宋体" w:cs="宋体"/>
          <w:color w:val="auto"/>
        </w:rPr>
        <w:t>投标无效</w:t>
      </w:r>
      <w:r>
        <w:rPr>
          <w:rFonts w:hint="eastAsia" w:ascii="宋体" w:hAnsi="宋体" w:eastAsia="宋体" w:cs="宋体"/>
          <w:color w:val="auto"/>
        </w:rPr>
        <w:t>。</w:t>
      </w:r>
    </w:p>
    <w:p w14:paraId="425AB9D6">
      <w:pPr>
        <w:pStyle w:val="27"/>
        <w:widowControl/>
        <w:spacing w:before="75" w:beforeAutospacing="0" w:after="75" w:afterAutospacing="0"/>
        <w:rPr>
          <w:color w:val="auto"/>
        </w:rPr>
      </w:pPr>
      <w:r>
        <w:rPr>
          <w:rFonts w:hint="eastAsia" w:ascii="宋体" w:hAnsi="宋体" w:eastAsia="宋体" w:cs="宋体"/>
          <w:color w:val="auto"/>
        </w:rPr>
        <w:t>9.5为本项目提供整体设计、规范编制或项目管理、监理、检测等服务的供应商，不得参加本项目除整体设计、规范编制和项目管理、监理、检测等服务外的采购活动，否则</w:t>
      </w:r>
      <w:r>
        <w:rPr>
          <w:rStyle w:val="32"/>
          <w:rFonts w:hint="eastAsia" w:ascii="宋体" w:hAnsi="宋体" w:eastAsia="宋体" w:cs="宋体"/>
          <w:color w:val="auto"/>
        </w:rPr>
        <w:t>投标无效</w:t>
      </w:r>
      <w:r>
        <w:rPr>
          <w:rFonts w:hint="eastAsia" w:ascii="宋体" w:hAnsi="宋体" w:eastAsia="宋体" w:cs="宋体"/>
          <w:color w:val="auto"/>
        </w:rPr>
        <w:t>。</w:t>
      </w:r>
    </w:p>
    <w:p w14:paraId="431E68BF">
      <w:pPr>
        <w:pStyle w:val="27"/>
        <w:widowControl/>
        <w:spacing w:before="75" w:beforeAutospacing="0" w:after="75" w:afterAutospacing="0"/>
        <w:rPr>
          <w:color w:val="auto"/>
        </w:rPr>
      </w:pPr>
      <w:r>
        <w:rPr>
          <w:rFonts w:hint="eastAsia" w:ascii="宋体" w:hAnsi="宋体" w:eastAsia="宋体" w:cs="宋体"/>
          <w:color w:val="auto"/>
        </w:rPr>
        <w:t>9.6列入失信被执行人、重大税收违法案件当事人名单、政府采购严重违法失信行为记录名单及其他不符合政府采购法第二十二条规定条件的供应商，不得参加投标，否则</w:t>
      </w:r>
      <w:r>
        <w:rPr>
          <w:rStyle w:val="32"/>
          <w:rFonts w:hint="eastAsia" w:ascii="宋体" w:hAnsi="宋体" w:eastAsia="宋体" w:cs="宋体"/>
          <w:color w:val="auto"/>
        </w:rPr>
        <w:t>投标无效</w:t>
      </w:r>
      <w:r>
        <w:rPr>
          <w:rFonts w:hint="eastAsia" w:ascii="宋体" w:hAnsi="宋体" w:eastAsia="宋体" w:cs="宋体"/>
          <w:color w:val="auto"/>
        </w:rPr>
        <w:t>。</w:t>
      </w:r>
    </w:p>
    <w:p w14:paraId="7FB042CF">
      <w:pPr>
        <w:pStyle w:val="27"/>
        <w:widowControl/>
        <w:spacing w:before="75" w:beforeAutospacing="0" w:after="75" w:afterAutospacing="0"/>
        <w:rPr>
          <w:color w:val="auto"/>
        </w:rPr>
      </w:pPr>
      <w:r>
        <w:rPr>
          <w:rFonts w:hint="eastAsia" w:ascii="宋体" w:hAnsi="宋体" w:eastAsia="宋体" w:cs="宋体"/>
          <w:color w:val="auto"/>
        </w:rPr>
        <w:t>9.7有下列情形之一的，视为投标人串通投标，</w:t>
      </w:r>
      <w:r>
        <w:rPr>
          <w:rStyle w:val="32"/>
          <w:rFonts w:hint="eastAsia" w:ascii="宋体" w:hAnsi="宋体" w:eastAsia="宋体" w:cs="宋体"/>
          <w:color w:val="auto"/>
        </w:rPr>
        <w:t>其投标无效：</w:t>
      </w:r>
    </w:p>
    <w:p w14:paraId="6CBCDCB3">
      <w:pPr>
        <w:pStyle w:val="27"/>
        <w:widowControl/>
        <w:spacing w:before="75" w:beforeAutospacing="0" w:after="75" w:afterAutospacing="0"/>
        <w:ind w:firstLine="480"/>
        <w:rPr>
          <w:color w:val="auto"/>
        </w:rPr>
      </w:pPr>
      <w:r>
        <w:rPr>
          <w:rFonts w:hint="eastAsia" w:ascii="宋体" w:hAnsi="宋体" w:eastAsia="宋体" w:cs="宋体"/>
          <w:color w:val="auto"/>
        </w:rPr>
        <w:t>（1）不同投标人的投标文件由同一单位或个人编制；</w:t>
      </w:r>
    </w:p>
    <w:p w14:paraId="3020108B">
      <w:pPr>
        <w:pStyle w:val="27"/>
        <w:widowControl/>
        <w:spacing w:before="75" w:beforeAutospacing="0" w:after="75" w:afterAutospacing="0"/>
        <w:ind w:firstLine="480"/>
        <w:rPr>
          <w:color w:val="auto"/>
        </w:rPr>
      </w:pPr>
      <w:r>
        <w:rPr>
          <w:rFonts w:hint="eastAsia" w:ascii="宋体" w:hAnsi="宋体" w:eastAsia="宋体" w:cs="宋体"/>
          <w:color w:val="auto"/>
        </w:rPr>
        <w:t>（2）不同投标人委托同一单位或个人办理投标事宜；</w:t>
      </w:r>
    </w:p>
    <w:p w14:paraId="1ADA2D5C">
      <w:pPr>
        <w:pStyle w:val="27"/>
        <w:widowControl/>
        <w:spacing w:before="75" w:beforeAutospacing="0" w:after="75" w:afterAutospacing="0"/>
        <w:ind w:firstLine="480"/>
        <w:rPr>
          <w:color w:val="auto"/>
        </w:rPr>
      </w:pPr>
      <w:r>
        <w:rPr>
          <w:rFonts w:hint="eastAsia" w:ascii="宋体" w:hAnsi="宋体" w:eastAsia="宋体" w:cs="宋体"/>
          <w:color w:val="auto"/>
        </w:rPr>
        <w:t>（3）不同投标人的投标文件载明的项目管理成员或联系人员为同一人；</w:t>
      </w:r>
    </w:p>
    <w:p w14:paraId="60443772">
      <w:pPr>
        <w:pStyle w:val="27"/>
        <w:widowControl/>
        <w:spacing w:before="75" w:beforeAutospacing="0" w:after="75" w:afterAutospacing="0"/>
        <w:ind w:firstLine="480"/>
        <w:rPr>
          <w:color w:val="auto"/>
        </w:rPr>
      </w:pPr>
      <w:r>
        <w:rPr>
          <w:rFonts w:hint="eastAsia" w:ascii="宋体" w:hAnsi="宋体" w:eastAsia="宋体" w:cs="宋体"/>
          <w:color w:val="auto"/>
        </w:rPr>
        <w:t>（4）不同投标人的投标文件异常一致或投标报价呈规律性差异；</w:t>
      </w:r>
    </w:p>
    <w:p w14:paraId="33BEBA27">
      <w:pPr>
        <w:pStyle w:val="27"/>
        <w:widowControl/>
        <w:spacing w:before="75" w:beforeAutospacing="0" w:after="75" w:afterAutospacing="0"/>
        <w:ind w:firstLine="480"/>
        <w:rPr>
          <w:color w:val="auto"/>
        </w:rPr>
      </w:pPr>
      <w:r>
        <w:rPr>
          <w:rFonts w:hint="eastAsia" w:ascii="宋体" w:hAnsi="宋体" w:eastAsia="宋体" w:cs="宋体"/>
          <w:color w:val="auto"/>
        </w:rPr>
        <w:t>（5）不同投标人的投标文件相互混装；</w:t>
      </w:r>
    </w:p>
    <w:p w14:paraId="298D3022">
      <w:pPr>
        <w:pStyle w:val="27"/>
        <w:widowControl/>
        <w:spacing w:before="75" w:beforeAutospacing="0" w:after="75" w:afterAutospacing="0"/>
        <w:ind w:firstLine="480"/>
        <w:rPr>
          <w:color w:val="auto"/>
        </w:rPr>
      </w:pPr>
      <w:r>
        <w:rPr>
          <w:rFonts w:hint="eastAsia" w:ascii="宋体" w:hAnsi="宋体" w:eastAsia="宋体" w:cs="宋体"/>
          <w:color w:val="auto"/>
        </w:rPr>
        <w:t>（6）不同投标人的投标保证金从同一单位或个人的账户转出；</w:t>
      </w:r>
    </w:p>
    <w:p w14:paraId="5723D728">
      <w:pPr>
        <w:pStyle w:val="27"/>
        <w:widowControl/>
        <w:spacing w:before="75" w:beforeAutospacing="0" w:after="75" w:afterAutospacing="0"/>
        <w:ind w:firstLine="480"/>
        <w:rPr>
          <w:color w:val="auto"/>
        </w:rPr>
      </w:pPr>
      <w:r>
        <w:rPr>
          <w:rFonts w:hint="eastAsia" w:ascii="宋体" w:hAnsi="宋体" w:eastAsia="宋体" w:cs="宋体"/>
          <w:color w:val="auto"/>
        </w:rPr>
        <w:t>（7）有关法律、法规和规章及招标文件规定的其他串通投标情形。</w:t>
      </w:r>
    </w:p>
    <w:p w14:paraId="074F8278">
      <w:pPr>
        <w:pStyle w:val="27"/>
        <w:widowControl/>
        <w:spacing w:before="75" w:beforeAutospacing="0" w:after="75" w:afterAutospacing="0"/>
        <w:rPr>
          <w:color w:val="auto"/>
        </w:rPr>
      </w:pPr>
      <w:r>
        <w:rPr>
          <w:rFonts w:hint="eastAsia" w:ascii="宋体" w:hAnsi="宋体" w:eastAsia="宋体" w:cs="宋体"/>
          <w:color w:val="auto"/>
        </w:rPr>
        <w:t>10、投标文件</w:t>
      </w:r>
    </w:p>
    <w:p w14:paraId="76148553">
      <w:pPr>
        <w:pStyle w:val="27"/>
        <w:widowControl/>
        <w:spacing w:before="75" w:beforeAutospacing="0" w:after="75" w:afterAutospacing="0"/>
        <w:rPr>
          <w:color w:val="auto"/>
        </w:rPr>
      </w:pPr>
      <w:r>
        <w:rPr>
          <w:rFonts w:hint="eastAsia" w:ascii="宋体" w:hAnsi="宋体" w:eastAsia="宋体" w:cs="宋体"/>
          <w:color w:val="auto"/>
        </w:rPr>
        <w:t>10.1投标文件的编制</w:t>
      </w:r>
    </w:p>
    <w:p w14:paraId="25D775C5">
      <w:pPr>
        <w:pStyle w:val="27"/>
        <w:widowControl/>
        <w:spacing w:before="75" w:beforeAutospacing="0" w:after="75" w:afterAutospacing="0"/>
        <w:ind w:firstLine="480"/>
        <w:rPr>
          <w:color w:val="auto"/>
        </w:rPr>
      </w:pPr>
      <w:r>
        <w:rPr>
          <w:rFonts w:hint="eastAsia" w:ascii="宋体" w:hAnsi="宋体" w:eastAsia="宋体" w:cs="宋体"/>
          <w:color w:val="auto"/>
        </w:rPr>
        <w:t>（1）投标人应先仔细阅读招标文件的全部内容后，再进行投标文件的编制。</w:t>
      </w:r>
    </w:p>
    <w:p w14:paraId="7E12D87D">
      <w:pPr>
        <w:pStyle w:val="27"/>
        <w:widowControl/>
        <w:spacing w:before="75" w:beforeAutospacing="0" w:after="75" w:afterAutospacing="0"/>
        <w:ind w:firstLine="480"/>
        <w:rPr>
          <w:color w:val="auto"/>
        </w:rPr>
      </w:pPr>
      <w:r>
        <w:rPr>
          <w:rFonts w:hint="eastAsia" w:ascii="宋体" w:hAnsi="宋体" w:eastAsia="宋体" w:cs="宋体"/>
          <w:color w:val="auto"/>
        </w:rPr>
        <w:t>（2）投标文件应按照本章第</w:t>
      </w:r>
      <w:r>
        <w:rPr>
          <w:rFonts w:ascii="Calibri" w:hAnsi="Calibri" w:cs="Calibri"/>
          <w:color w:val="auto"/>
        </w:rPr>
        <w:t>10.2</w:t>
      </w:r>
      <w:r>
        <w:rPr>
          <w:rFonts w:hint="eastAsia" w:ascii="宋体" w:hAnsi="宋体" w:eastAsia="宋体" w:cs="宋体"/>
          <w:color w:val="auto"/>
        </w:rPr>
        <w:t>条规定编制其组成部分。</w:t>
      </w:r>
    </w:p>
    <w:p w14:paraId="67F7C82B">
      <w:pPr>
        <w:pStyle w:val="27"/>
        <w:widowControl/>
        <w:spacing w:before="75" w:beforeAutospacing="0" w:after="75" w:afterAutospacing="0"/>
        <w:ind w:firstLine="480"/>
        <w:rPr>
          <w:color w:val="auto"/>
        </w:rPr>
      </w:pPr>
      <w:r>
        <w:rPr>
          <w:rFonts w:hint="eastAsia" w:ascii="宋体" w:hAnsi="宋体" w:eastAsia="宋体" w:cs="宋体"/>
          <w:color w:val="auto"/>
        </w:rPr>
        <w:t>（3）投标文件应满足招标文件提出的实质性要求和条件，并保证其所提交的全部资料是不可割离且真实、有效、准确、完整和不具有任何误导性的，否则造成不利后果由投标人承担责任。</w:t>
      </w:r>
    </w:p>
    <w:p w14:paraId="7F9325E3">
      <w:pPr>
        <w:pStyle w:val="27"/>
        <w:widowControl/>
        <w:spacing w:before="75" w:beforeAutospacing="0" w:after="75" w:afterAutospacing="0"/>
        <w:rPr>
          <w:color w:val="auto"/>
        </w:rPr>
      </w:pPr>
      <w:r>
        <w:rPr>
          <w:rFonts w:hint="eastAsia" w:ascii="宋体" w:hAnsi="宋体" w:eastAsia="宋体" w:cs="宋体"/>
          <w:color w:val="auto"/>
        </w:rPr>
        <w:t>10.2投标文件由下述部分组成：</w:t>
      </w:r>
    </w:p>
    <w:p w14:paraId="58D33203">
      <w:pPr>
        <w:pStyle w:val="27"/>
        <w:widowControl/>
        <w:spacing w:before="75" w:beforeAutospacing="0" w:after="75" w:afterAutospacing="0"/>
        <w:ind w:firstLine="480"/>
        <w:rPr>
          <w:color w:val="auto"/>
        </w:rPr>
      </w:pPr>
      <w:r>
        <w:rPr>
          <w:rFonts w:hint="eastAsia" w:ascii="宋体" w:hAnsi="宋体" w:eastAsia="宋体" w:cs="宋体"/>
          <w:color w:val="auto"/>
        </w:rPr>
        <w:t>（1）资格及资信证明部分</w:t>
      </w:r>
    </w:p>
    <w:p w14:paraId="11C50C41">
      <w:pPr>
        <w:pStyle w:val="27"/>
        <w:widowControl/>
        <w:spacing w:before="75" w:beforeAutospacing="0" w:after="75" w:afterAutospacing="0"/>
        <w:ind w:firstLine="480"/>
        <w:rPr>
          <w:color w:val="auto"/>
        </w:rPr>
      </w:pPr>
      <w:r>
        <w:rPr>
          <w:rFonts w:hint="eastAsia" w:ascii="宋体" w:hAnsi="宋体" w:eastAsia="宋体" w:cs="宋体"/>
          <w:color w:val="auto"/>
        </w:rPr>
        <w:t>①投标函</w:t>
      </w:r>
    </w:p>
    <w:p w14:paraId="47D0C0E2">
      <w:pPr>
        <w:pStyle w:val="27"/>
        <w:widowControl/>
        <w:spacing w:before="75" w:beforeAutospacing="0" w:after="75" w:afterAutospacing="0"/>
        <w:ind w:firstLine="480"/>
        <w:rPr>
          <w:color w:val="auto"/>
        </w:rPr>
      </w:pPr>
      <w:r>
        <w:rPr>
          <w:rFonts w:hint="eastAsia" w:ascii="宋体" w:hAnsi="宋体" w:eastAsia="宋体" w:cs="宋体"/>
          <w:color w:val="auto"/>
        </w:rPr>
        <w:t>②投标人的资格及资信证明文件</w:t>
      </w:r>
    </w:p>
    <w:p w14:paraId="3E1B28C7">
      <w:pPr>
        <w:pStyle w:val="27"/>
        <w:widowControl/>
        <w:spacing w:before="75" w:beforeAutospacing="0" w:after="75" w:afterAutospacing="0"/>
        <w:ind w:firstLine="480"/>
        <w:rPr>
          <w:color w:val="auto"/>
        </w:rPr>
      </w:pPr>
      <w:r>
        <w:rPr>
          <w:rFonts w:hint="eastAsia" w:ascii="宋体" w:hAnsi="宋体" w:eastAsia="宋体" w:cs="宋体"/>
          <w:color w:val="auto"/>
        </w:rPr>
        <w:t>③投标保证金</w:t>
      </w:r>
    </w:p>
    <w:p w14:paraId="14026442">
      <w:pPr>
        <w:pStyle w:val="27"/>
        <w:widowControl/>
        <w:spacing w:before="75" w:beforeAutospacing="0" w:after="75" w:afterAutospacing="0"/>
        <w:ind w:firstLine="480"/>
        <w:rPr>
          <w:color w:val="auto"/>
        </w:rPr>
      </w:pPr>
      <w:r>
        <w:rPr>
          <w:rFonts w:hint="eastAsia" w:ascii="宋体" w:hAnsi="宋体" w:eastAsia="宋体" w:cs="宋体"/>
          <w:color w:val="auto"/>
        </w:rPr>
        <w:t>（2）报价部分</w:t>
      </w:r>
    </w:p>
    <w:p w14:paraId="23E298B9">
      <w:pPr>
        <w:pStyle w:val="27"/>
        <w:widowControl/>
        <w:spacing w:before="75" w:beforeAutospacing="0" w:after="75" w:afterAutospacing="0"/>
        <w:ind w:firstLine="480"/>
        <w:rPr>
          <w:color w:val="auto"/>
        </w:rPr>
      </w:pPr>
      <w:r>
        <w:rPr>
          <w:rFonts w:hint="eastAsia" w:ascii="宋体" w:hAnsi="宋体" w:eastAsia="宋体" w:cs="宋体"/>
          <w:color w:val="auto"/>
        </w:rPr>
        <w:t>①开标一览表</w:t>
      </w:r>
    </w:p>
    <w:p w14:paraId="21471838">
      <w:pPr>
        <w:pStyle w:val="27"/>
        <w:widowControl/>
        <w:spacing w:before="75" w:beforeAutospacing="0" w:after="75" w:afterAutospacing="0"/>
        <w:ind w:firstLine="480"/>
        <w:rPr>
          <w:color w:val="auto"/>
        </w:rPr>
      </w:pPr>
      <w:r>
        <w:rPr>
          <w:rFonts w:hint="eastAsia" w:ascii="宋体" w:hAnsi="宋体" w:eastAsia="宋体" w:cs="宋体"/>
          <w:color w:val="auto"/>
        </w:rPr>
        <w:t>②投标分项报价表</w:t>
      </w:r>
    </w:p>
    <w:p w14:paraId="1A8302DA">
      <w:pPr>
        <w:pStyle w:val="27"/>
        <w:widowControl/>
        <w:spacing w:before="75" w:beforeAutospacing="0" w:after="75" w:afterAutospacing="0"/>
        <w:ind w:firstLine="480"/>
        <w:rPr>
          <w:color w:val="auto"/>
        </w:rPr>
      </w:pPr>
      <w:r>
        <w:rPr>
          <w:rFonts w:hint="eastAsia" w:ascii="宋体" w:hAnsi="宋体" w:eastAsia="宋体" w:cs="宋体"/>
          <w:color w:val="auto"/>
        </w:rPr>
        <w:t>③招标文件规定的价格扣除证明材料（若有）</w:t>
      </w:r>
    </w:p>
    <w:p w14:paraId="16717086">
      <w:pPr>
        <w:pStyle w:val="27"/>
        <w:widowControl/>
        <w:spacing w:before="75" w:beforeAutospacing="0" w:after="75" w:afterAutospacing="0"/>
        <w:ind w:firstLine="480"/>
        <w:rPr>
          <w:color w:val="auto"/>
        </w:rPr>
      </w:pPr>
      <w:r>
        <w:rPr>
          <w:rFonts w:hint="eastAsia" w:ascii="宋体" w:hAnsi="宋体" w:eastAsia="宋体" w:cs="宋体"/>
          <w:color w:val="auto"/>
        </w:rPr>
        <w:t>④招标文件规定的加分证明材料（若有）</w:t>
      </w:r>
    </w:p>
    <w:p w14:paraId="171089EB">
      <w:pPr>
        <w:pStyle w:val="27"/>
        <w:widowControl/>
        <w:spacing w:before="75" w:beforeAutospacing="0" w:after="75" w:afterAutospacing="0"/>
        <w:ind w:firstLine="480"/>
        <w:rPr>
          <w:color w:val="auto"/>
        </w:rPr>
      </w:pPr>
      <w:r>
        <w:rPr>
          <w:rFonts w:hint="eastAsia" w:ascii="宋体" w:hAnsi="宋体" w:eastAsia="宋体" w:cs="宋体"/>
          <w:color w:val="auto"/>
        </w:rPr>
        <w:t>（3）技术商务部分</w:t>
      </w:r>
    </w:p>
    <w:p w14:paraId="3AEED2B1">
      <w:pPr>
        <w:pStyle w:val="27"/>
        <w:widowControl/>
        <w:spacing w:before="75" w:beforeAutospacing="0" w:after="75" w:afterAutospacing="0"/>
        <w:ind w:firstLine="480"/>
        <w:rPr>
          <w:color w:val="auto"/>
        </w:rPr>
      </w:pPr>
      <w:r>
        <w:rPr>
          <w:rFonts w:hint="eastAsia" w:ascii="宋体" w:hAnsi="宋体" w:eastAsia="宋体" w:cs="宋体"/>
          <w:color w:val="auto"/>
        </w:rPr>
        <w:t>①标的说明一览表</w:t>
      </w:r>
    </w:p>
    <w:p w14:paraId="4DDDE30F">
      <w:pPr>
        <w:pStyle w:val="27"/>
        <w:widowControl/>
        <w:spacing w:before="75" w:beforeAutospacing="0" w:after="75" w:afterAutospacing="0"/>
        <w:ind w:firstLine="480"/>
        <w:rPr>
          <w:color w:val="auto"/>
        </w:rPr>
      </w:pPr>
      <w:r>
        <w:rPr>
          <w:rFonts w:hint="eastAsia" w:ascii="宋体" w:hAnsi="宋体" w:eastAsia="宋体" w:cs="宋体"/>
          <w:color w:val="auto"/>
        </w:rPr>
        <w:t>②技术和服务要求响应表</w:t>
      </w:r>
    </w:p>
    <w:p w14:paraId="114EBAA0">
      <w:pPr>
        <w:pStyle w:val="27"/>
        <w:widowControl/>
        <w:spacing w:before="75" w:beforeAutospacing="0" w:after="75" w:afterAutospacing="0"/>
        <w:ind w:firstLine="480"/>
        <w:rPr>
          <w:color w:val="auto"/>
        </w:rPr>
      </w:pPr>
      <w:r>
        <w:rPr>
          <w:rFonts w:hint="eastAsia" w:ascii="宋体" w:hAnsi="宋体" w:eastAsia="宋体" w:cs="宋体"/>
          <w:color w:val="auto"/>
        </w:rPr>
        <w:t>③商务条件响应表</w:t>
      </w:r>
    </w:p>
    <w:p w14:paraId="1C42955A">
      <w:pPr>
        <w:pStyle w:val="27"/>
        <w:widowControl/>
        <w:spacing w:before="75" w:beforeAutospacing="0" w:after="75" w:afterAutospacing="0"/>
        <w:ind w:firstLine="480"/>
        <w:rPr>
          <w:color w:val="auto"/>
        </w:rPr>
      </w:pPr>
      <w:r>
        <w:rPr>
          <w:rFonts w:hint="eastAsia" w:ascii="宋体" w:hAnsi="宋体" w:eastAsia="宋体" w:cs="宋体"/>
          <w:color w:val="auto"/>
        </w:rPr>
        <w:t>④投标人提交的其他资料（若有）</w:t>
      </w:r>
    </w:p>
    <w:p w14:paraId="76346F09">
      <w:pPr>
        <w:pStyle w:val="27"/>
        <w:widowControl/>
        <w:spacing w:before="75" w:beforeAutospacing="0" w:after="75" w:afterAutospacing="0"/>
        <w:ind w:firstLine="480"/>
        <w:rPr>
          <w:color w:val="auto"/>
        </w:rPr>
      </w:pPr>
      <w:r>
        <w:rPr>
          <w:rFonts w:hint="eastAsia" w:ascii="宋体" w:hAnsi="宋体" w:eastAsia="宋体" w:cs="宋体"/>
          <w:color w:val="auto"/>
        </w:rPr>
        <w:t>⑤招标文件规定作为投标文件组成部分的其他内容（若有）</w:t>
      </w:r>
    </w:p>
    <w:p w14:paraId="5EA82EEC">
      <w:pPr>
        <w:pStyle w:val="27"/>
        <w:widowControl/>
        <w:spacing w:before="75" w:beforeAutospacing="0" w:after="75" w:afterAutospacing="0"/>
        <w:rPr>
          <w:color w:val="auto"/>
        </w:rPr>
      </w:pPr>
      <w:r>
        <w:rPr>
          <w:rFonts w:hint="eastAsia" w:ascii="宋体" w:hAnsi="宋体" w:eastAsia="宋体" w:cs="宋体"/>
          <w:color w:val="auto"/>
        </w:rPr>
        <w:t>10.3投标文件的语言</w:t>
      </w:r>
    </w:p>
    <w:p w14:paraId="65A30E9C">
      <w:pPr>
        <w:pStyle w:val="27"/>
        <w:widowControl/>
        <w:spacing w:before="75" w:beforeAutospacing="0" w:after="75" w:afterAutospacing="0"/>
        <w:ind w:firstLine="480"/>
        <w:rPr>
          <w:color w:val="auto"/>
        </w:rPr>
      </w:pPr>
      <w:r>
        <w:rPr>
          <w:rFonts w:hint="eastAsia" w:ascii="宋体" w:hAnsi="宋体" w:eastAsia="宋体" w:cs="宋体"/>
          <w:color w:val="auto"/>
        </w:rPr>
        <w:t>（1）除招标文件另有规定外，投标文件应使用中文文本，若有不同文本，以中文文本为准。</w:t>
      </w:r>
    </w:p>
    <w:p w14:paraId="3B39299E">
      <w:pPr>
        <w:pStyle w:val="27"/>
        <w:widowControl/>
        <w:spacing w:before="75" w:beforeAutospacing="0" w:after="75" w:afterAutospacing="0"/>
        <w:ind w:firstLine="480"/>
        <w:rPr>
          <w:color w:val="auto"/>
        </w:rPr>
      </w:pPr>
      <w:r>
        <w:rPr>
          <w:rFonts w:hint="eastAsia" w:ascii="宋体" w:hAnsi="宋体" w:eastAsia="宋体" w:cs="宋体"/>
          <w:color w:val="auto"/>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73EB979">
      <w:pPr>
        <w:pStyle w:val="27"/>
        <w:widowControl/>
        <w:spacing w:before="75" w:beforeAutospacing="0" w:after="75" w:afterAutospacing="0"/>
        <w:rPr>
          <w:color w:val="auto"/>
        </w:rPr>
      </w:pPr>
      <w:r>
        <w:rPr>
          <w:rFonts w:hint="eastAsia" w:ascii="宋体" w:hAnsi="宋体" w:eastAsia="宋体" w:cs="宋体"/>
          <w:color w:val="auto"/>
        </w:rPr>
        <w:t>10.4投标文件的份数：详见招标文件第二章。</w:t>
      </w:r>
    </w:p>
    <w:p w14:paraId="20858D19">
      <w:pPr>
        <w:pStyle w:val="27"/>
        <w:widowControl/>
        <w:spacing w:before="75" w:beforeAutospacing="0" w:after="75" w:afterAutospacing="0"/>
        <w:rPr>
          <w:color w:val="auto"/>
        </w:rPr>
      </w:pPr>
      <w:r>
        <w:rPr>
          <w:rFonts w:hint="eastAsia" w:ascii="宋体" w:hAnsi="宋体" w:eastAsia="宋体" w:cs="宋体"/>
          <w:color w:val="auto"/>
        </w:rPr>
        <w:t>10.5投标文件的格式</w:t>
      </w:r>
    </w:p>
    <w:p w14:paraId="12D9A479">
      <w:pPr>
        <w:pStyle w:val="27"/>
        <w:widowControl/>
        <w:spacing w:before="75" w:beforeAutospacing="0" w:after="75" w:afterAutospacing="0"/>
        <w:ind w:firstLine="480"/>
        <w:rPr>
          <w:color w:val="auto"/>
        </w:rPr>
      </w:pPr>
      <w:r>
        <w:rPr>
          <w:rFonts w:hint="eastAsia" w:ascii="宋体" w:hAnsi="宋体" w:eastAsia="宋体" w:cs="宋体"/>
          <w:color w:val="auto"/>
        </w:rPr>
        <w:t>（1）除招标文件另有规定外，投标文件应使用招标文件第七章规定的格式。</w:t>
      </w:r>
    </w:p>
    <w:p w14:paraId="71AC0B20">
      <w:pPr>
        <w:pStyle w:val="27"/>
        <w:widowControl/>
        <w:spacing w:before="75" w:beforeAutospacing="0" w:after="75" w:afterAutospacing="0"/>
        <w:ind w:firstLine="480"/>
        <w:rPr>
          <w:color w:val="auto"/>
        </w:rPr>
      </w:pPr>
      <w:r>
        <w:rPr>
          <w:rFonts w:hint="eastAsia" w:ascii="宋体" w:hAnsi="宋体" w:eastAsia="宋体" w:cs="宋体"/>
          <w:color w:val="auto"/>
        </w:rPr>
        <w:t>（2）除招标文件另有规定外，投标文件的正本和全部副本均应使用不能擦去的墨料或墨水打印、书写或复印，其中：</w:t>
      </w:r>
    </w:p>
    <w:p w14:paraId="05ECFEB4">
      <w:pPr>
        <w:pStyle w:val="27"/>
        <w:widowControl/>
        <w:spacing w:before="75" w:beforeAutospacing="0" w:after="75" w:afterAutospacing="0"/>
        <w:ind w:firstLine="480"/>
        <w:rPr>
          <w:color w:val="auto"/>
        </w:rPr>
      </w:pPr>
      <w:r>
        <w:rPr>
          <w:rFonts w:hint="eastAsia" w:ascii="宋体" w:hAnsi="宋体" w:eastAsia="宋体" w:cs="宋体"/>
          <w:color w:val="auto"/>
        </w:rPr>
        <w:t>①正本应用</w:t>
      </w:r>
      <w:r>
        <w:rPr>
          <w:rFonts w:ascii="Calibri" w:hAnsi="Calibri" w:cs="Calibri"/>
          <w:color w:val="auto"/>
        </w:rPr>
        <w:t>A4</w:t>
      </w:r>
      <w:r>
        <w:rPr>
          <w:rFonts w:hint="eastAsia" w:ascii="宋体" w:hAnsi="宋体" w:eastAsia="宋体" w:cs="宋体"/>
          <w:color w:val="auto"/>
        </w:rPr>
        <w:t>幅面纸张打印装订，编制封面（封面标明“正本”字样）、索引、页码，并用胶装装订成册。</w:t>
      </w:r>
    </w:p>
    <w:p w14:paraId="007848C5">
      <w:pPr>
        <w:pStyle w:val="27"/>
        <w:widowControl/>
        <w:spacing w:before="75" w:beforeAutospacing="0" w:after="75" w:afterAutospacing="0"/>
        <w:ind w:firstLine="480"/>
        <w:rPr>
          <w:color w:val="auto"/>
        </w:rPr>
      </w:pPr>
      <w:r>
        <w:rPr>
          <w:rFonts w:hint="eastAsia" w:ascii="宋体" w:hAnsi="宋体" w:eastAsia="宋体" w:cs="宋体"/>
          <w:color w:val="auto"/>
        </w:rPr>
        <w:t>②副本应用</w:t>
      </w:r>
      <w:r>
        <w:rPr>
          <w:rFonts w:ascii="Calibri" w:hAnsi="Calibri" w:cs="Calibri"/>
          <w:color w:val="auto"/>
        </w:rPr>
        <w:t>A4</w:t>
      </w:r>
      <w:r>
        <w:rPr>
          <w:rFonts w:hint="eastAsia" w:ascii="宋体" w:hAnsi="宋体" w:eastAsia="宋体" w:cs="宋体"/>
          <w:color w:val="auto"/>
        </w:rPr>
        <w:t>幅面纸张打印装订，编制封面（封面标明“副本”字样）、索引、页码，并用胶装装订成册；副本可用正本的完整复印件，并与正本保持一致（若不一致，以正本为准）。</w:t>
      </w:r>
    </w:p>
    <w:p w14:paraId="2AACCAE2">
      <w:pPr>
        <w:pStyle w:val="27"/>
        <w:widowControl/>
        <w:spacing w:before="75" w:beforeAutospacing="0" w:after="75" w:afterAutospacing="0"/>
        <w:ind w:firstLine="480"/>
        <w:rPr>
          <w:color w:val="auto"/>
        </w:rPr>
      </w:pPr>
      <w:r>
        <w:rPr>
          <w:rFonts w:hint="eastAsia" w:ascii="宋体" w:hAnsi="宋体" w:eastAsia="宋体" w:cs="宋体"/>
          <w:color w:val="auto"/>
        </w:rPr>
        <w:t>③允许散装或活页装订的内容或材料：详见招标文件第二章。</w:t>
      </w:r>
    </w:p>
    <w:p w14:paraId="7398A363">
      <w:pPr>
        <w:pStyle w:val="27"/>
        <w:widowControl/>
        <w:spacing w:before="75" w:beforeAutospacing="0" w:after="75" w:afterAutospacing="0"/>
        <w:ind w:firstLine="480"/>
        <w:rPr>
          <w:color w:val="auto"/>
        </w:rPr>
      </w:pPr>
      <w:r>
        <w:rPr>
          <w:rStyle w:val="32"/>
          <w:rFonts w:hint="eastAsia" w:ascii="宋体" w:hAnsi="宋体" w:eastAsia="宋体" w:cs="宋体"/>
          <w:color w:val="auto"/>
        </w:rPr>
        <w:t>※除本章第</w:t>
      </w:r>
      <w:r>
        <w:rPr>
          <w:rStyle w:val="32"/>
          <w:rFonts w:ascii="Calibri" w:hAnsi="Calibri" w:cs="Calibri"/>
          <w:color w:val="auto"/>
        </w:rPr>
        <w:t>10.5</w:t>
      </w:r>
      <w:r>
        <w:rPr>
          <w:rStyle w:val="32"/>
          <w:rFonts w:hint="eastAsia" w:ascii="宋体" w:hAnsi="宋体" w:eastAsia="宋体" w:cs="宋体"/>
          <w:color w:val="auto"/>
        </w:rPr>
        <w:t>条第（</w:t>
      </w:r>
      <w:r>
        <w:rPr>
          <w:rStyle w:val="32"/>
          <w:rFonts w:ascii="Calibri" w:hAnsi="Calibri" w:cs="Calibri"/>
          <w:color w:val="auto"/>
        </w:rPr>
        <w:t>2</w:t>
      </w:r>
      <w:r>
        <w:rPr>
          <w:rStyle w:val="32"/>
          <w:rFonts w:hint="eastAsia" w:ascii="宋体" w:hAnsi="宋体" w:eastAsia="宋体" w:cs="宋体"/>
          <w:color w:val="auto"/>
        </w:rPr>
        <w:t>）款第③点规定情形外，投标文件散装或活页装订将导致投标无效。</w:t>
      </w:r>
    </w:p>
    <w:p w14:paraId="2B02C38E">
      <w:pPr>
        <w:pStyle w:val="27"/>
        <w:widowControl/>
        <w:spacing w:before="75" w:beforeAutospacing="0" w:after="75" w:afterAutospacing="0"/>
        <w:ind w:firstLine="480"/>
        <w:rPr>
          <w:color w:val="auto"/>
        </w:rPr>
      </w:pPr>
      <w:r>
        <w:rPr>
          <w:rFonts w:hint="eastAsia" w:ascii="宋体" w:hAnsi="宋体" w:eastAsia="宋体" w:cs="宋体"/>
          <w:color w:val="auto"/>
        </w:rPr>
        <w:t>（3）除招标文件另有规定外，投标文件应使用人民币作为计量货币。</w:t>
      </w:r>
    </w:p>
    <w:p w14:paraId="3FFC9894">
      <w:pPr>
        <w:pStyle w:val="27"/>
        <w:widowControl/>
        <w:spacing w:before="75" w:beforeAutospacing="0" w:after="75" w:afterAutospacing="0"/>
        <w:ind w:firstLine="480"/>
        <w:rPr>
          <w:color w:val="auto"/>
        </w:rPr>
      </w:pPr>
      <w:r>
        <w:rPr>
          <w:rFonts w:hint="eastAsia" w:ascii="宋体" w:hAnsi="宋体" w:eastAsia="宋体" w:cs="宋体"/>
          <w:color w:val="auto"/>
        </w:rPr>
        <w:t>（4）除招标文件另有规定外，签署、盖章应遵守下列规定：</w:t>
      </w:r>
    </w:p>
    <w:p w14:paraId="72C0BC43">
      <w:pPr>
        <w:pStyle w:val="27"/>
        <w:widowControl/>
        <w:spacing w:before="75" w:beforeAutospacing="0" w:after="75" w:afterAutospacing="0"/>
        <w:ind w:firstLine="480"/>
        <w:rPr>
          <w:color w:val="auto"/>
        </w:rPr>
      </w:pPr>
      <w:r>
        <w:rPr>
          <w:rFonts w:hint="eastAsia" w:ascii="宋体" w:hAnsi="宋体" w:eastAsia="宋体" w:cs="宋体"/>
          <w:color w:val="auto"/>
        </w:rPr>
        <w:t>①投标文件应由投标人代表签字并加盖投标人的单位公章。若投标人代表为单位负责人授权的委托代理人，应提供“单位负责人授权书”。</w:t>
      </w:r>
    </w:p>
    <w:p w14:paraId="083A76B5">
      <w:pPr>
        <w:pStyle w:val="27"/>
        <w:widowControl/>
        <w:spacing w:before="75" w:beforeAutospacing="0" w:after="75" w:afterAutospacing="0"/>
        <w:ind w:firstLine="480"/>
        <w:rPr>
          <w:color w:val="auto"/>
        </w:rPr>
      </w:pPr>
      <w:r>
        <w:rPr>
          <w:rFonts w:hint="eastAsia" w:ascii="宋体" w:hAnsi="宋体" w:eastAsia="宋体" w:cs="宋体"/>
          <w:color w:val="auto"/>
        </w:rPr>
        <w:t>②投标文件应没有涂改或行间插字，除非这些改动是根据</w:t>
      </w:r>
      <w:r>
        <w:rPr>
          <w:rFonts w:hint="eastAsia" w:ascii="宋体" w:hAnsi="宋体" w:eastAsia="宋体" w:cs="宋体"/>
          <w:color w:val="auto"/>
          <w:u w:val="single"/>
        </w:rPr>
        <w:t>福建省招标中心有限责任公司</w:t>
      </w:r>
      <w:r>
        <w:rPr>
          <w:rFonts w:hint="eastAsia" w:ascii="宋体" w:hAnsi="宋体" w:eastAsia="宋体" w:cs="宋体"/>
          <w:color w:val="auto"/>
        </w:rPr>
        <w:t>的指示进行的，或是为改正投标人造成的应修改的错误而进行的。若有前述改动，应按照下列规定之一对改动处进行处理：</w:t>
      </w:r>
    </w:p>
    <w:p w14:paraId="1503161F">
      <w:pPr>
        <w:pStyle w:val="27"/>
        <w:widowControl/>
        <w:spacing w:before="75" w:beforeAutospacing="0" w:after="75" w:afterAutospacing="0"/>
        <w:ind w:firstLine="480"/>
        <w:rPr>
          <w:color w:val="auto"/>
        </w:rPr>
      </w:pPr>
      <w:r>
        <w:rPr>
          <w:rFonts w:hint="eastAsia" w:ascii="宋体" w:hAnsi="宋体" w:eastAsia="宋体" w:cs="宋体"/>
          <w:color w:val="auto"/>
        </w:rPr>
        <w:t>a.投标人代表签字确认；</w:t>
      </w:r>
    </w:p>
    <w:p w14:paraId="6966FFAA">
      <w:pPr>
        <w:pStyle w:val="27"/>
        <w:widowControl/>
        <w:spacing w:before="75" w:beforeAutospacing="0" w:after="75" w:afterAutospacing="0"/>
        <w:ind w:firstLine="480"/>
        <w:rPr>
          <w:color w:val="auto"/>
        </w:rPr>
      </w:pPr>
      <w:r>
        <w:rPr>
          <w:rFonts w:hint="eastAsia" w:ascii="宋体" w:hAnsi="宋体" w:eastAsia="宋体" w:cs="宋体"/>
          <w:color w:val="auto"/>
        </w:rPr>
        <w:t>b.加盖投标人的单位公章或校正章。</w:t>
      </w:r>
    </w:p>
    <w:p w14:paraId="5E455946">
      <w:pPr>
        <w:pStyle w:val="27"/>
        <w:widowControl/>
        <w:spacing w:before="75" w:beforeAutospacing="0" w:after="75" w:afterAutospacing="0"/>
        <w:rPr>
          <w:color w:val="auto"/>
        </w:rPr>
      </w:pPr>
      <w:r>
        <w:rPr>
          <w:rFonts w:hint="eastAsia" w:ascii="宋体" w:hAnsi="宋体" w:eastAsia="宋体" w:cs="宋体"/>
          <w:color w:val="auto"/>
        </w:rPr>
        <w:t>10.6投标报价</w:t>
      </w:r>
    </w:p>
    <w:p w14:paraId="64761B02">
      <w:pPr>
        <w:pStyle w:val="27"/>
        <w:widowControl/>
        <w:spacing w:before="75" w:beforeAutospacing="0" w:after="75" w:afterAutospacing="0"/>
        <w:ind w:firstLine="480"/>
        <w:rPr>
          <w:color w:val="auto"/>
        </w:rPr>
      </w:pPr>
      <w:r>
        <w:rPr>
          <w:rFonts w:hint="eastAsia" w:ascii="宋体" w:hAnsi="宋体" w:eastAsia="宋体" w:cs="宋体"/>
          <w:color w:val="auto"/>
        </w:rPr>
        <w:t>（1）投标报价超出最高限价将导致</w:t>
      </w:r>
      <w:r>
        <w:rPr>
          <w:rStyle w:val="32"/>
          <w:rFonts w:hint="eastAsia" w:ascii="宋体" w:hAnsi="宋体" w:eastAsia="宋体" w:cs="宋体"/>
          <w:color w:val="auto"/>
        </w:rPr>
        <w:t>投标无效。</w:t>
      </w:r>
    </w:p>
    <w:p w14:paraId="0388641B">
      <w:pPr>
        <w:pStyle w:val="27"/>
        <w:widowControl/>
        <w:spacing w:before="75" w:beforeAutospacing="0" w:after="75" w:afterAutospacing="0"/>
        <w:ind w:firstLine="480"/>
        <w:rPr>
          <w:color w:val="auto"/>
        </w:rPr>
      </w:pPr>
      <w:r>
        <w:rPr>
          <w:rFonts w:hint="eastAsia" w:ascii="宋体" w:hAnsi="宋体" w:eastAsia="宋体" w:cs="宋体"/>
          <w:color w:val="auto"/>
        </w:rPr>
        <w:t>（2）最高限价由采购人根据价格测算情况，在预算金额的额度内合理设定。最高限价不得超出预算金额。</w:t>
      </w:r>
    </w:p>
    <w:p w14:paraId="02FED74F">
      <w:pPr>
        <w:pStyle w:val="27"/>
        <w:widowControl/>
        <w:spacing w:before="75" w:beforeAutospacing="0" w:after="75" w:afterAutospacing="0"/>
        <w:ind w:firstLine="480"/>
        <w:rPr>
          <w:color w:val="auto"/>
        </w:rPr>
      </w:pPr>
      <w:r>
        <w:rPr>
          <w:rFonts w:hint="eastAsia" w:ascii="宋体" w:hAnsi="宋体" w:eastAsia="宋体" w:cs="宋体"/>
          <w:color w:val="auto"/>
        </w:rPr>
        <w:t>（3）除招标文件另有规定外，投标文件不能出现任何选择性的投标报价，即每一个合同包和品目号的采购标的都只能有一个投标报价。任何选择性的投标报价将导致</w:t>
      </w:r>
      <w:r>
        <w:rPr>
          <w:rStyle w:val="32"/>
          <w:rFonts w:hint="eastAsia" w:ascii="宋体" w:hAnsi="宋体" w:eastAsia="宋体" w:cs="宋体"/>
          <w:color w:val="auto"/>
        </w:rPr>
        <w:t>投标无效。</w:t>
      </w:r>
    </w:p>
    <w:p w14:paraId="55032004">
      <w:pPr>
        <w:pStyle w:val="27"/>
        <w:widowControl/>
        <w:spacing w:before="75" w:beforeAutospacing="0" w:after="75" w:afterAutospacing="0"/>
        <w:rPr>
          <w:color w:val="auto"/>
        </w:rPr>
      </w:pPr>
      <w:r>
        <w:rPr>
          <w:rFonts w:hint="eastAsia" w:ascii="宋体" w:hAnsi="宋体" w:eastAsia="宋体" w:cs="宋体"/>
          <w:color w:val="auto"/>
        </w:rPr>
        <w:t>10.7分包</w:t>
      </w:r>
    </w:p>
    <w:p w14:paraId="40DC4ECD">
      <w:pPr>
        <w:pStyle w:val="27"/>
        <w:widowControl/>
        <w:spacing w:before="75" w:beforeAutospacing="0" w:after="75" w:afterAutospacing="0"/>
        <w:ind w:firstLine="480"/>
        <w:rPr>
          <w:color w:val="auto"/>
        </w:rPr>
      </w:pPr>
      <w:r>
        <w:rPr>
          <w:rFonts w:hint="eastAsia" w:ascii="宋体" w:hAnsi="宋体" w:eastAsia="宋体" w:cs="宋体"/>
          <w:color w:val="auto"/>
        </w:rPr>
        <w:t>（1）是否允许中标人将本项目的非主体、非关键性工作进行分包：详见招标文件第二章。</w:t>
      </w:r>
    </w:p>
    <w:p w14:paraId="0364296B">
      <w:pPr>
        <w:pStyle w:val="27"/>
        <w:widowControl/>
        <w:spacing w:before="75" w:beforeAutospacing="0" w:after="75" w:afterAutospacing="0"/>
        <w:ind w:firstLine="480"/>
        <w:rPr>
          <w:color w:val="auto"/>
        </w:rPr>
      </w:pPr>
      <w:r>
        <w:rPr>
          <w:rFonts w:hint="eastAsia" w:ascii="宋体" w:hAnsi="宋体" w:eastAsia="宋体" w:cs="宋体"/>
          <w:color w:val="auto"/>
        </w:rPr>
        <w:t>（2）若允许中标人将本项目的非主体、非关键性工作进行分包且投标人拟在中标后进行分包，则投标人应在投标文件中载明分包承担主体，分包承担主体应具备相应资质条件（若有）且不得再次分包。</w:t>
      </w:r>
    </w:p>
    <w:p w14:paraId="5F6B339E">
      <w:pPr>
        <w:pStyle w:val="27"/>
        <w:widowControl/>
        <w:spacing w:before="75" w:beforeAutospacing="0" w:after="75" w:afterAutospacing="0"/>
        <w:ind w:firstLine="480"/>
        <w:rPr>
          <w:color w:val="auto"/>
        </w:rPr>
      </w:pPr>
      <w:r>
        <w:rPr>
          <w:rFonts w:hint="eastAsia" w:ascii="宋体" w:hAnsi="宋体" w:eastAsia="宋体" w:cs="宋体"/>
          <w:color w:val="auto"/>
        </w:rPr>
        <w:t>（3）招标文件允许中标人将非主体、非关键性工作进行分包的项目，有下列情形之一的，中标人不得分包：</w:t>
      </w:r>
    </w:p>
    <w:p w14:paraId="39F66495">
      <w:pPr>
        <w:pStyle w:val="27"/>
        <w:widowControl/>
        <w:spacing w:before="75" w:beforeAutospacing="0" w:after="75" w:afterAutospacing="0"/>
        <w:ind w:firstLine="480"/>
        <w:rPr>
          <w:color w:val="auto"/>
        </w:rPr>
      </w:pPr>
      <w:r>
        <w:rPr>
          <w:rFonts w:hint="eastAsia" w:ascii="宋体" w:hAnsi="宋体" w:eastAsia="宋体" w:cs="宋体"/>
          <w:color w:val="auto"/>
        </w:rPr>
        <w:t>①投标文件中未载明分包承担主体；</w:t>
      </w:r>
    </w:p>
    <w:p w14:paraId="705AFF8A">
      <w:pPr>
        <w:pStyle w:val="27"/>
        <w:widowControl/>
        <w:spacing w:before="75" w:beforeAutospacing="0" w:after="75" w:afterAutospacing="0"/>
        <w:ind w:firstLine="480"/>
        <w:rPr>
          <w:color w:val="auto"/>
        </w:rPr>
      </w:pPr>
      <w:r>
        <w:rPr>
          <w:rFonts w:hint="eastAsia" w:ascii="宋体" w:hAnsi="宋体" w:eastAsia="宋体" w:cs="宋体"/>
          <w:color w:val="auto"/>
        </w:rPr>
        <w:t>②投标文件载明的分包承担主体不具备相应资质条件；</w:t>
      </w:r>
    </w:p>
    <w:p w14:paraId="775D28EE">
      <w:pPr>
        <w:pStyle w:val="27"/>
        <w:widowControl/>
        <w:spacing w:before="75" w:beforeAutospacing="0" w:after="75" w:afterAutospacing="0"/>
        <w:ind w:firstLine="480"/>
        <w:rPr>
          <w:color w:val="auto"/>
        </w:rPr>
      </w:pPr>
      <w:r>
        <w:rPr>
          <w:rFonts w:hint="eastAsia" w:ascii="宋体" w:hAnsi="宋体" w:eastAsia="宋体" w:cs="宋体"/>
          <w:color w:val="auto"/>
        </w:rPr>
        <w:t>③投标文件载明的分包承担主体拟再次分包；</w:t>
      </w:r>
    </w:p>
    <w:p w14:paraId="46225B4F">
      <w:pPr>
        <w:pStyle w:val="27"/>
        <w:widowControl/>
        <w:rPr>
          <w:color w:val="auto"/>
        </w:rPr>
      </w:pPr>
      <w:r>
        <w:rPr>
          <w:rFonts w:hint="eastAsia" w:ascii="宋体" w:hAnsi="宋体" w:eastAsia="宋体" w:cs="宋体"/>
          <w:color w:val="auto"/>
        </w:rPr>
        <w:t>  ④享受中小企业扶持政策获得政府采购合同的，小微企业不得将合同分包给大中型企业，中型企业不得将合同分包给大型企业。</w:t>
      </w:r>
    </w:p>
    <w:p w14:paraId="7D5BD256">
      <w:pPr>
        <w:pStyle w:val="27"/>
        <w:widowControl/>
        <w:spacing w:before="75" w:beforeAutospacing="0" w:after="75" w:afterAutospacing="0"/>
        <w:rPr>
          <w:color w:val="auto"/>
        </w:rPr>
      </w:pPr>
      <w:r>
        <w:rPr>
          <w:rFonts w:hint="eastAsia" w:ascii="宋体" w:hAnsi="宋体" w:eastAsia="宋体" w:cs="宋体"/>
          <w:color w:val="auto"/>
        </w:rPr>
        <w:t>10.8投标有效期</w:t>
      </w:r>
    </w:p>
    <w:p w14:paraId="6CF43975">
      <w:pPr>
        <w:pStyle w:val="27"/>
        <w:widowControl/>
        <w:spacing w:before="75" w:beforeAutospacing="0" w:after="75" w:afterAutospacing="0"/>
        <w:ind w:firstLine="480"/>
        <w:rPr>
          <w:color w:val="auto"/>
        </w:rPr>
      </w:pPr>
      <w:r>
        <w:rPr>
          <w:rFonts w:hint="eastAsia" w:ascii="宋体" w:hAnsi="宋体" w:eastAsia="宋体" w:cs="宋体"/>
          <w:color w:val="auto"/>
        </w:rPr>
        <w:t>（1）招标文件载明的投标有效期：详见招标文件第二章。</w:t>
      </w:r>
    </w:p>
    <w:p w14:paraId="74AF0E12">
      <w:pPr>
        <w:pStyle w:val="27"/>
        <w:widowControl/>
        <w:spacing w:before="75" w:beforeAutospacing="0" w:after="75" w:afterAutospacing="0"/>
        <w:ind w:firstLine="480"/>
        <w:rPr>
          <w:color w:val="auto"/>
        </w:rPr>
      </w:pPr>
      <w:r>
        <w:rPr>
          <w:rFonts w:hint="eastAsia" w:ascii="宋体" w:hAnsi="宋体" w:eastAsia="宋体" w:cs="宋体"/>
          <w:color w:val="auto"/>
        </w:rPr>
        <w:t>（2）投标文件承诺的投标有效期不得少于招标文件载明的投标有效期，否则</w:t>
      </w:r>
      <w:r>
        <w:rPr>
          <w:rStyle w:val="32"/>
          <w:rFonts w:hint="eastAsia" w:ascii="宋体" w:hAnsi="宋体" w:eastAsia="宋体" w:cs="宋体"/>
          <w:color w:val="auto"/>
        </w:rPr>
        <w:t>投标无效</w:t>
      </w:r>
      <w:r>
        <w:rPr>
          <w:rFonts w:hint="eastAsia" w:ascii="宋体" w:hAnsi="宋体" w:eastAsia="宋体" w:cs="宋体"/>
          <w:color w:val="auto"/>
        </w:rPr>
        <w:t>。</w:t>
      </w:r>
    </w:p>
    <w:p w14:paraId="363F188F">
      <w:pPr>
        <w:pStyle w:val="27"/>
        <w:widowControl/>
        <w:spacing w:before="75" w:beforeAutospacing="0" w:after="75" w:afterAutospacing="0"/>
        <w:ind w:firstLine="480"/>
        <w:rPr>
          <w:color w:val="auto"/>
        </w:rPr>
      </w:pPr>
      <w:r>
        <w:rPr>
          <w:rFonts w:hint="eastAsia" w:ascii="宋体" w:hAnsi="宋体" w:eastAsia="宋体" w:cs="宋体"/>
          <w:color w:val="auto"/>
        </w:rPr>
        <w:t>（3）根据本次采购活动的需要，</w:t>
      </w:r>
      <w:r>
        <w:rPr>
          <w:rFonts w:hint="eastAsia" w:ascii="宋体" w:hAnsi="宋体" w:eastAsia="宋体" w:cs="宋体"/>
          <w:color w:val="auto"/>
          <w:u w:val="single"/>
        </w:rPr>
        <w:t>福建省招标中心有限责任公司</w:t>
      </w:r>
      <w:r>
        <w:rPr>
          <w:rFonts w:hint="eastAsia" w:ascii="宋体" w:hAnsi="宋体" w:eastAsia="宋体" w:cs="宋体"/>
          <w:color w:val="auto"/>
        </w:rPr>
        <w:t>可于投标有效期届满之前书面要求投标人延长投标有效期，投标人应在</w:t>
      </w:r>
      <w:r>
        <w:rPr>
          <w:rFonts w:hint="eastAsia" w:ascii="宋体" w:hAnsi="宋体" w:eastAsia="宋体" w:cs="宋体"/>
          <w:color w:val="auto"/>
          <w:u w:val="single"/>
        </w:rPr>
        <w:t>福建省招标中心有限责任公司</w:t>
      </w:r>
      <w:r>
        <w:rPr>
          <w:rFonts w:hint="eastAsia" w:ascii="宋体" w:hAnsi="宋体" w:eastAsia="宋体" w:cs="宋体"/>
          <w:color w:val="auto"/>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14:paraId="16B7C5AA">
      <w:pPr>
        <w:pStyle w:val="27"/>
        <w:widowControl/>
        <w:spacing w:before="75" w:beforeAutospacing="0" w:after="75" w:afterAutospacing="0"/>
        <w:rPr>
          <w:color w:val="auto"/>
        </w:rPr>
      </w:pPr>
      <w:r>
        <w:rPr>
          <w:rFonts w:hint="eastAsia" w:ascii="宋体" w:hAnsi="宋体" w:eastAsia="宋体" w:cs="宋体"/>
          <w:color w:val="auto"/>
        </w:rPr>
        <w:t>10.9投标保证金</w:t>
      </w:r>
    </w:p>
    <w:p w14:paraId="584B60E9">
      <w:pPr>
        <w:pStyle w:val="27"/>
        <w:widowControl/>
        <w:spacing w:before="75" w:beforeAutospacing="0" w:after="75" w:afterAutospacing="0"/>
        <w:ind w:firstLine="480"/>
        <w:rPr>
          <w:color w:val="auto"/>
        </w:rPr>
      </w:pPr>
      <w:r>
        <w:rPr>
          <w:rFonts w:hint="eastAsia" w:ascii="宋体" w:hAnsi="宋体" w:eastAsia="宋体" w:cs="宋体"/>
          <w:color w:val="auto"/>
        </w:rPr>
        <w:t>（1）投标保证金作为投标人按照招标文件规定履行相应投标责任、义务的约束及担保。</w:t>
      </w:r>
    </w:p>
    <w:p w14:paraId="71218E0D">
      <w:pPr>
        <w:pStyle w:val="27"/>
        <w:widowControl/>
        <w:spacing w:before="75" w:beforeAutospacing="0" w:after="75" w:afterAutospacing="0"/>
        <w:ind w:firstLine="480"/>
        <w:rPr>
          <w:color w:val="auto"/>
        </w:rPr>
      </w:pPr>
      <w:r>
        <w:rPr>
          <w:rFonts w:hint="eastAsia" w:ascii="宋体" w:hAnsi="宋体" w:eastAsia="宋体" w:cs="宋体"/>
          <w:color w:val="auto"/>
        </w:rPr>
        <w:t>（2）投标保证金的有效期应与投标文件承诺的投标有效期保持一致，否则</w:t>
      </w:r>
      <w:r>
        <w:rPr>
          <w:rStyle w:val="32"/>
          <w:rFonts w:hint="eastAsia" w:ascii="宋体" w:hAnsi="宋体" w:eastAsia="宋体" w:cs="宋体"/>
          <w:color w:val="auto"/>
        </w:rPr>
        <w:t>投标无效</w:t>
      </w:r>
      <w:r>
        <w:rPr>
          <w:rFonts w:hint="eastAsia" w:ascii="宋体" w:hAnsi="宋体" w:eastAsia="宋体" w:cs="宋体"/>
          <w:color w:val="auto"/>
        </w:rPr>
        <w:t>。</w:t>
      </w:r>
    </w:p>
    <w:p w14:paraId="2A9B0E28">
      <w:pPr>
        <w:pStyle w:val="27"/>
        <w:widowControl/>
        <w:spacing w:before="75" w:beforeAutospacing="0" w:after="75" w:afterAutospacing="0"/>
        <w:ind w:firstLine="480"/>
        <w:rPr>
          <w:color w:val="auto"/>
        </w:rPr>
      </w:pPr>
      <w:r>
        <w:rPr>
          <w:rFonts w:hint="eastAsia" w:ascii="宋体" w:hAnsi="宋体" w:eastAsia="宋体" w:cs="宋体"/>
          <w:color w:val="auto"/>
        </w:rPr>
        <w:t>（3）提交</w:t>
      </w:r>
    </w:p>
    <w:p w14:paraId="2F2E1DE4">
      <w:pPr>
        <w:pStyle w:val="27"/>
        <w:widowControl/>
        <w:spacing w:before="75" w:beforeAutospacing="0" w:after="75" w:afterAutospacing="0"/>
        <w:ind w:firstLine="480"/>
        <w:rPr>
          <w:color w:val="auto"/>
        </w:rPr>
      </w:pPr>
      <w:r>
        <w:rPr>
          <w:rFonts w:hint="eastAsia" w:ascii="宋体" w:hAnsi="宋体" w:eastAsia="宋体" w:cs="宋体"/>
          <w:color w:val="auto"/>
        </w:rPr>
        <w:t>①投标人应从其银行账户</w:t>
      </w:r>
      <w:r>
        <w:rPr>
          <w:rStyle w:val="32"/>
          <w:rFonts w:hint="eastAsia" w:ascii="宋体" w:hAnsi="宋体" w:eastAsia="宋体" w:cs="宋体"/>
          <w:color w:val="auto"/>
        </w:rPr>
        <w:t>（基本存款账户）</w:t>
      </w:r>
      <w:r>
        <w:rPr>
          <w:rFonts w:hint="eastAsia" w:ascii="宋体" w:hAnsi="宋体" w:eastAsia="宋体" w:cs="宋体"/>
          <w:color w:val="auto"/>
        </w:rPr>
        <w:t>按照下列方式：</w:t>
      </w:r>
      <w:r>
        <w:rPr>
          <w:rStyle w:val="32"/>
          <w:rFonts w:hint="eastAsia" w:ascii="宋体" w:hAnsi="宋体" w:eastAsia="宋体" w:cs="宋体"/>
          <w:color w:val="auto"/>
        </w:rPr>
        <w:t>公对公转账方式</w:t>
      </w:r>
      <w:r>
        <w:rPr>
          <w:rFonts w:hint="eastAsia" w:ascii="宋体" w:hAnsi="宋体" w:eastAsia="宋体" w:cs="宋体"/>
          <w:color w:val="auto"/>
        </w:rPr>
        <w:t>向招标文件载明的投标保证金账户提交投标保证金，具体金额详见招标文件第一章。</w:t>
      </w:r>
    </w:p>
    <w:p w14:paraId="5D6A6706">
      <w:pPr>
        <w:pStyle w:val="27"/>
        <w:widowControl/>
        <w:spacing w:before="75" w:beforeAutospacing="0" w:after="75" w:afterAutospacing="0"/>
        <w:ind w:firstLine="480"/>
        <w:rPr>
          <w:color w:val="auto"/>
        </w:rPr>
      </w:pPr>
      <w:r>
        <w:rPr>
          <w:rFonts w:hint="eastAsia" w:ascii="宋体" w:hAnsi="宋体" w:eastAsia="宋体" w:cs="宋体"/>
          <w:color w:val="auto"/>
        </w:rPr>
        <w:t>②投标保证金应于投标截止时间前到达招标文件载明的投标保证金账户，否则视为投标保证金未提交；是否到达按照下列方式认定：</w:t>
      </w:r>
      <w:r>
        <w:rPr>
          <w:rStyle w:val="32"/>
          <w:rFonts w:hint="eastAsia" w:ascii="宋体" w:hAnsi="宋体" w:eastAsia="宋体" w:cs="宋体"/>
          <w:color w:val="auto"/>
        </w:rPr>
        <w:t>以福建省政府采购网上公开信息系统记载的为准。</w:t>
      </w:r>
    </w:p>
    <w:p w14:paraId="53DA3D87">
      <w:pPr>
        <w:pStyle w:val="27"/>
        <w:widowControl/>
        <w:spacing w:before="75" w:beforeAutospacing="0" w:after="75" w:afterAutospacing="0"/>
        <w:ind w:firstLine="480"/>
        <w:rPr>
          <w:color w:val="auto"/>
        </w:rPr>
      </w:pPr>
      <w:r>
        <w:rPr>
          <w:rFonts w:hint="eastAsia" w:ascii="宋体" w:hAnsi="宋体" w:eastAsia="宋体" w:cs="宋体"/>
          <w:color w:val="auto"/>
        </w:rPr>
        <w:t>③若本项目接受联合体投标且投标人为联合体，则联合体中的牵头方应按照本章第</w:t>
      </w:r>
      <w:r>
        <w:rPr>
          <w:rFonts w:ascii="Calibri" w:hAnsi="Calibri" w:cs="Calibri"/>
          <w:color w:val="auto"/>
        </w:rPr>
        <w:t>10.9</w:t>
      </w:r>
      <w:r>
        <w:rPr>
          <w:rFonts w:hint="eastAsia" w:ascii="宋体" w:hAnsi="宋体" w:eastAsia="宋体" w:cs="宋体"/>
          <w:color w:val="auto"/>
        </w:rPr>
        <w:t>条第（</w:t>
      </w:r>
      <w:r>
        <w:rPr>
          <w:rFonts w:ascii="Calibri" w:hAnsi="Calibri" w:cs="Calibri"/>
          <w:color w:val="auto"/>
        </w:rPr>
        <w:t>3</w:t>
      </w:r>
      <w:r>
        <w:rPr>
          <w:rFonts w:hint="eastAsia" w:ascii="宋体" w:hAnsi="宋体" w:eastAsia="宋体" w:cs="宋体"/>
          <w:color w:val="auto"/>
        </w:rPr>
        <w:t>）款第①、②点规定提交投标保证金。</w:t>
      </w:r>
    </w:p>
    <w:p w14:paraId="342E2179">
      <w:pPr>
        <w:pStyle w:val="27"/>
        <w:widowControl/>
        <w:spacing w:before="75" w:beforeAutospacing="0" w:after="75" w:afterAutospacing="0"/>
        <w:ind w:firstLine="480"/>
        <w:rPr>
          <w:color w:val="auto"/>
        </w:rPr>
      </w:pPr>
      <w:r>
        <w:rPr>
          <w:rStyle w:val="32"/>
          <w:rFonts w:hint="eastAsia" w:ascii="宋体" w:hAnsi="宋体" w:eastAsia="宋体" w:cs="宋体"/>
          <w:color w:val="auto"/>
        </w:rPr>
        <w:t>※除招标文件另有规定外，未按照上述规定提交投标保证金将导致资格审查不合格。</w:t>
      </w:r>
    </w:p>
    <w:p w14:paraId="3178E440">
      <w:pPr>
        <w:pStyle w:val="27"/>
        <w:widowControl/>
        <w:spacing w:before="75" w:beforeAutospacing="0" w:after="75" w:afterAutospacing="0"/>
        <w:ind w:firstLine="480"/>
        <w:rPr>
          <w:color w:val="auto"/>
        </w:rPr>
      </w:pPr>
      <w:r>
        <w:rPr>
          <w:rFonts w:hint="eastAsia" w:ascii="宋体" w:hAnsi="宋体" w:eastAsia="宋体" w:cs="宋体"/>
          <w:color w:val="auto"/>
        </w:rPr>
        <w:t>（4）退还</w:t>
      </w:r>
    </w:p>
    <w:p w14:paraId="1A1C91A1">
      <w:pPr>
        <w:pStyle w:val="27"/>
        <w:widowControl/>
        <w:spacing w:before="75" w:beforeAutospacing="0" w:after="75" w:afterAutospacing="0"/>
        <w:ind w:firstLine="480"/>
        <w:rPr>
          <w:color w:val="auto"/>
        </w:rPr>
      </w:pPr>
      <w:r>
        <w:rPr>
          <w:rFonts w:hint="eastAsia" w:ascii="宋体" w:hAnsi="宋体" w:eastAsia="宋体" w:cs="宋体"/>
          <w:color w:val="auto"/>
        </w:rPr>
        <w:t>①在投标截止时间前撤回已提交的投标文件的投标人，其投标保证金将在</w:t>
      </w:r>
      <w:r>
        <w:rPr>
          <w:rFonts w:hint="eastAsia" w:ascii="宋体" w:hAnsi="宋体" w:eastAsia="宋体" w:cs="宋体"/>
          <w:color w:val="auto"/>
          <w:u w:val="single"/>
        </w:rPr>
        <w:t>福建省招标中心有限责任公司</w:t>
      </w:r>
      <w:r>
        <w:rPr>
          <w:rFonts w:hint="eastAsia" w:ascii="宋体" w:hAnsi="宋体" w:eastAsia="宋体" w:cs="宋体"/>
          <w:color w:val="auto"/>
        </w:rPr>
        <w:t>收到投标人书面撤回通知之日起5个工作日内退回原账户。</w:t>
      </w:r>
    </w:p>
    <w:p w14:paraId="3E792454">
      <w:pPr>
        <w:pStyle w:val="27"/>
        <w:widowControl/>
        <w:spacing w:before="75" w:beforeAutospacing="0" w:after="75" w:afterAutospacing="0"/>
        <w:ind w:firstLine="480"/>
        <w:rPr>
          <w:color w:val="auto"/>
        </w:rPr>
      </w:pPr>
      <w:r>
        <w:rPr>
          <w:rFonts w:hint="eastAsia" w:ascii="宋体" w:hAnsi="宋体" w:eastAsia="宋体" w:cs="宋体"/>
          <w:color w:val="auto"/>
        </w:rPr>
        <w:t>②未中标人的投标保证金将在中标通知书发出之日起</w:t>
      </w:r>
      <w:r>
        <w:rPr>
          <w:rFonts w:ascii="Calibri" w:hAnsi="Calibri" w:cs="Calibri"/>
          <w:color w:val="auto"/>
        </w:rPr>
        <w:t>5</w:t>
      </w:r>
      <w:r>
        <w:rPr>
          <w:rFonts w:hint="eastAsia" w:ascii="宋体" w:hAnsi="宋体" w:eastAsia="宋体" w:cs="宋体"/>
          <w:color w:val="auto"/>
        </w:rPr>
        <w:t>个工作日内退回原账户。</w:t>
      </w:r>
    </w:p>
    <w:p w14:paraId="0CA501B6">
      <w:pPr>
        <w:pStyle w:val="27"/>
        <w:widowControl/>
        <w:spacing w:before="75" w:beforeAutospacing="0" w:after="75" w:afterAutospacing="0"/>
        <w:ind w:firstLine="480"/>
        <w:rPr>
          <w:color w:val="auto"/>
        </w:rPr>
      </w:pPr>
      <w:r>
        <w:rPr>
          <w:rFonts w:hint="eastAsia" w:ascii="宋体" w:hAnsi="宋体" w:eastAsia="宋体" w:cs="宋体"/>
          <w:color w:val="auto"/>
        </w:rPr>
        <w:t>③中标人的投标保证金将在政府采购合同签订之日起</w:t>
      </w:r>
      <w:r>
        <w:rPr>
          <w:rFonts w:ascii="Calibri" w:hAnsi="Calibri" w:cs="Calibri"/>
          <w:color w:val="auto"/>
        </w:rPr>
        <w:t>5</w:t>
      </w:r>
      <w:r>
        <w:rPr>
          <w:rFonts w:hint="eastAsia" w:ascii="宋体" w:hAnsi="宋体" w:eastAsia="宋体" w:cs="宋体"/>
          <w:color w:val="auto"/>
        </w:rPr>
        <w:t>个工作日内退回原账户；合同签订之日按照下列方式认定：</w:t>
      </w:r>
      <w:r>
        <w:rPr>
          <w:rStyle w:val="32"/>
          <w:rFonts w:hint="eastAsia" w:ascii="宋体" w:hAnsi="宋体" w:eastAsia="宋体" w:cs="宋体"/>
          <w:color w:val="auto"/>
        </w:rPr>
        <w:t>以福建省政府采购网上公开信息系统记载的为准。</w:t>
      </w:r>
    </w:p>
    <w:p w14:paraId="5164A304">
      <w:pPr>
        <w:pStyle w:val="27"/>
        <w:widowControl/>
        <w:spacing w:before="75" w:beforeAutospacing="0" w:after="75" w:afterAutospacing="0"/>
        <w:ind w:firstLine="480"/>
        <w:rPr>
          <w:color w:val="auto"/>
        </w:rPr>
      </w:pPr>
      <w:r>
        <w:rPr>
          <w:rFonts w:hint="eastAsia" w:ascii="宋体" w:hAnsi="宋体" w:eastAsia="宋体" w:cs="宋体"/>
          <w:color w:val="auto"/>
        </w:rPr>
        <w:t>④终止招标的，</w:t>
      </w:r>
      <w:r>
        <w:rPr>
          <w:rFonts w:hint="eastAsia" w:ascii="宋体" w:hAnsi="宋体" w:eastAsia="宋体" w:cs="宋体"/>
          <w:color w:val="auto"/>
          <w:u w:val="single"/>
        </w:rPr>
        <w:t>福建省招标中心有限责任公司</w:t>
      </w:r>
      <w:r>
        <w:rPr>
          <w:rFonts w:hint="eastAsia" w:ascii="宋体" w:hAnsi="宋体" w:eastAsia="宋体" w:cs="宋体"/>
          <w:color w:val="auto"/>
        </w:rPr>
        <w:t>将在终止公告发布之日起5个工作日内退回已收取的投标保证金及其在银行产生的孳息。</w:t>
      </w:r>
    </w:p>
    <w:p w14:paraId="312D5257">
      <w:pPr>
        <w:pStyle w:val="27"/>
        <w:widowControl/>
        <w:spacing w:before="75" w:beforeAutospacing="0" w:after="75" w:afterAutospacing="0"/>
        <w:ind w:firstLine="480"/>
        <w:rPr>
          <w:color w:val="auto"/>
        </w:rPr>
      </w:pPr>
      <w:r>
        <w:rPr>
          <w:rFonts w:hint="eastAsia" w:ascii="宋体" w:hAnsi="宋体" w:eastAsia="宋体" w:cs="宋体"/>
          <w:color w:val="auto"/>
        </w:rPr>
        <w:t>⑤除招标文件另有规定外，质疑或投诉涉及的投标人，若投标保证金尚未退还，则待质疑或投诉处理完毕后不计利息原额退还。</w:t>
      </w:r>
    </w:p>
    <w:p w14:paraId="1077C564">
      <w:pPr>
        <w:pStyle w:val="27"/>
        <w:widowControl/>
        <w:spacing w:before="75" w:beforeAutospacing="0" w:after="75" w:afterAutospacing="0"/>
        <w:ind w:firstLine="480"/>
        <w:rPr>
          <w:color w:val="auto"/>
        </w:rPr>
      </w:pPr>
      <w:r>
        <w:rPr>
          <w:rStyle w:val="32"/>
          <w:rFonts w:hint="eastAsia" w:ascii="宋体" w:hAnsi="宋体" w:eastAsia="宋体" w:cs="宋体"/>
          <w:color w:val="auto"/>
        </w:rPr>
        <w:t>※本章第</w:t>
      </w:r>
      <w:r>
        <w:rPr>
          <w:rStyle w:val="32"/>
          <w:rFonts w:ascii="Calibri" w:hAnsi="Calibri" w:cs="Calibri"/>
          <w:color w:val="auto"/>
        </w:rPr>
        <w:t>10.9</w:t>
      </w:r>
      <w:r>
        <w:rPr>
          <w:rStyle w:val="32"/>
          <w:rFonts w:hint="eastAsia" w:ascii="宋体" w:hAnsi="宋体" w:eastAsia="宋体" w:cs="宋体"/>
          <w:color w:val="auto"/>
        </w:rPr>
        <w:t>条第（</w:t>
      </w:r>
      <w:r>
        <w:rPr>
          <w:rStyle w:val="32"/>
          <w:rFonts w:ascii="Calibri" w:hAnsi="Calibri" w:cs="Calibri"/>
          <w:color w:val="auto"/>
        </w:rPr>
        <w:t>4</w:t>
      </w:r>
      <w:r>
        <w:rPr>
          <w:rStyle w:val="32"/>
          <w:rFonts w:hint="eastAsia" w:ascii="宋体" w:hAnsi="宋体" w:eastAsia="宋体" w:cs="宋体"/>
          <w:color w:val="auto"/>
        </w:rPr>
        <w:t>）款第①、②、③点规定的投标保证金退还时限不包括因投标人自身原因导致无法及时退还而增加的时间。</w:t>
      </w:r>
    </w:p>
    <w:p w14:paraId="717158F4">
      <w:pPr>
        <w:pStyle w:val="27"/>
        <w:widowControl/>
        <w:spacing w:before="75" w:beforeAutospacing="0" w:after="75" w:afterAutospacing="0"/>
        <w:ind w:firstLine="480"/>
        <w:rPr>
          <w:color w:val="auto"/>
        </w:rPr>
      </w:pPr>
      <w:r>
        <w:rPr>
          <w:rFonts w:hint="eastAsia" w:ascii="宋体" w:hAnsi="宋体" w:eastAsia="宋体" w:cs="宋体"/>
          <w:color w:val="auto"/>
        </w:rPr>
        <w:t>（5）若出现本章第</w:t>
      </w:r>
      <w:r>
        <w:rPr>
          <w:rFonts w:ascii="Calibri" w:hAnsi="Calibri" w:cs="Calibri"/>
          <w:color w:val="auto"/>
        </w:rPr>
        <w:t>10.8</w:t>
      </w:r>
      <w:r>
        <w:rPr>
          <w:rFonts w:hint="eastAsia" w:ascii="宋体" w:hAnsi="宋体" w:eastAsia="宋体" w:cs="宋体"/>
          <w:color w:val="auto"/>
        </w:rPr>
        <w:t>条第（</w:t>
      </w:r>
      <w:r>
        <w:rPr>
          <w:rFonts w:ascii="Calibri" w:hAnsi="Calibri" w:cs="Calibri"/>
          <w:color w:val="auto"/>
        </w:rPr>
        <w:t>3</w:t>
      </w:r>
      <w:r>
        <w:rPr>
          <w:rFonts w:hint="eastAsia" w:ascii="宋体" w:hAnsi="宋体" w:eastAsia="宋体" w:cs="宋体"/>
          <w:color w:val="auto"/>
        </w:rPr>
        <w:t>）款规定情形，对于拒绝延长投标有效期的投标人，投标保证金仍可退还。对于接受延长投标有效期的投标人，相应延长投标保证金有效期，招标文件关于退还和不予退还投标保证金的规定继续适用。</w:t>
      </w:r>
    </w:p>
    <w:p w14:paraId="73545461">
      <w:pPr>
        <w:pStyle w:val="27"/>
        <w:widowControl/>
        <w:spacing w:before="75" w:beforeAutospacing="0" w:after="75" w:afterAutospacing="0"/>
        <w:ind w:firstLine="480"/>
        <w:rPr>
          <w:color w:val="auto"/>
        </w:rPr>
      </w:pPr>
      <w:r>
        <w:rPr>
          <w:rFonts w:hint="eastAsia" w:ascii="宋体" w:hAnsi="宋体" w:eastAsia="宋体" w:cs="宋体"/>
          <w:color w:val="auto"/>
        </w:rPr>
        <w:t>（6）有下列情形之一的，投标保证金将不予退还：</w:t>
      </w:r>
    </w:p>
    <w:p w14:paraId="48807F2D">
      <w:pPr>
        <w:pStyle w:val="27"/>
        <w:widowControl/>
        <w:spacing w:before="75" w:beforeAutospacing="0" w:after="75" w:afterAutospacing="0"/>
        <w:ind w:firstLine="480"/>
        <w:rPr>
          <w:color w:val="auto"/>
        </w:rPr>
      </w:pPr>
      <w:r>
        <w:rPr>
          <w:rFonts w:hint="eastAsia" w:ascii="宋体" w:hAnsi="宋体" w:eastAsia="宋体" w:cs="宋体"/>
          <w:color w:val="auto"/>
        </w:rPr>
        <w:t>①投标人串通投标；</w:t>
      </w:r>
    </w:p>
    <w:p w14:paraId="3FB3B9DF">
      <w:pPr>
        <w:pStyle w:val="27"/>
        <w:widowControl/>
        <w:spacing w:before="75" w:beforeAutospacing="0" w:after="75" w:afterAutospacing="0"/>
        <w:ind w:firstLine="480"/>
        <w:rPr>
          <w:color w:val="auto"/>
        </w:rPr>
      </w:pPr>
      <w:r>
        <w:rPr>
          <w:rFonts w:hint="eastAsia" w:ascii="宋体" w:hAnsi="宋体" w:eastAsia="宋体" w:cs="宋体"/>
          <w:color w:val="auto"/>
        </w:rPr>
        <w:t>②投标人提供虚假材料；</w:t>
      </w:r>
    </w:p>
    <w:p w14:paraId="7B662AFA">
      <w:pPr>
        <w:pStyle w:val="27"/>
        <w:widowControl/>
        <w:spacing w:before="75" w:beforeAutospacing="0" w:after="75" w:afterAutospacing="0"/>
        <w:ind w:firstLine="480"/>
        <w:rPr>
          <w:color w:val="auto"/>
        </w:rPr>
      </w:pPr>
      <w:r>
        <w:rPr>
          <w:rFonts w:hint="eastAsia" w:ascii="宋体" w:hAnsi="宋体" w:eastAsia="宋体" w:cs="宋体"/>
          <w:color w:val="auto"/>
        </w:rPr>
        <w:t>③投标人采取不正当手段诋毁、排挤其他投标人；</w:t>
      </w:r>
    </w:p>
    <w:p w14:paraId="0BF8CE89">
      <w:pPr>
        <w:pStyle w:val="27"/>
        <w:widowControl/>
        <w:spacing w:before="75" w:beforeAutospacing="0" w:after="75" w:afterAutospacing="0"/>
        <w:ind w:firstLine="480"/>
        <w:rPr>
          <w:color w:val="auto"/>
        </w:rPr>
      </w:pPr>
      <w:r>
        <w:rPr>
          <w:rFonts w:hint="eastAsia" w:ascii="宋体" w:hAnsi="宋体" w:eastAsia="宋体" w:cs="宋体"/>
          <w:color w:val="auto"/>
        </w:rPr>
        <w:t>④投标截止时间后，投标人在投标有效期内撤销投标文件；</w:t>
      </w:r>
    </w:p>
    <w:p w14:paraId="06DCE8CD">
      <w:pPr>
        <w:pStyle w:val="27"/>
        <w:widowControl/>
        <w:spacing w:before="75" w:beforeAutospacing="0" w:after="75" w:afterAutospacing="0"/>
        <w:ind w:firstLine="480"/>
        <w:rPr>
          <w:color w:val="auto"/>
        </w:rPr>
      </w:pPr>
      <w:r>
        <w:rPr>
          <w:rFonts w:hint="eastAsia" w:ascii="宋体" w:hAnsi="宋体" w:eastAsia="宋体" w:cs="宋体"/>
          <w:color w:val="auto"/>
        </w:rPr>
        <w:t>⑤投标人不接受评标委员会按照招标文件规定对投标报价错误之处进行修正；</w:t>
      </w:r>
    </w:p>
    <w:p w14:paraId="3724B28B">
      <w:pPr>
        <w:pStyle w:val="27"/>
        <w:widowControl/>
        <w:spacing w:before="75" w:beforeAutospacing="0" w:after="75" w:afterAutospacing="0"/>
        <w:ind w:firstLine="480"/>
        <w:rPr>
          <w:color w:val="auto"/>
        </w:rPr>
      </w:pPr>
      <w:r>
        <w:rPr>
          <w:rFonts w:hint="eastAsia" w:ascii="宋体" w:hAnsi="宋体" w:eastAsia="宋体" w:cs="宋体"/>
          <w:color w:val="auto"/>
        </w:rPr>
        <w:t>⑥投标人违反招标文件第三章第</w:t>
      </w:r>
      <w:r>
        <w:rPr>
          <w:rFonts w:ascii="Calibri" w:hAnsi="Calibri" w:cs="Calibri"/>
          <w:color w:val="auto"/>
        </w:rPr>
        <w:t>9.4</w:t>
      </w:r>
      <w:r>
        <w:rPr>
          <w:rFonts w:hint="eastAsia" w:ascii="宋体" w:hAnsi="宋体" w:eastAsia="宋体" w:cs="宋体"/>
          <w:color w:val="auto"/>
        </w:rPr>
        <w:t>、</w:t>
      </w:r>
      <w:r>
        <w:rPr>
          <w:rFonts w:ascii="Calibri" w:hAnsi="Calibri" w:cs="Calibri"/>
          <w:color w:val="auto"/>
        </w:rPr>
        <w:t>9.5</w:t>
      </w:r>
      <w:r>
        <w:rPr>
          <w:rFonts w:hint="eastAsia" w:ascii="宋体" w:hAnsi="宋体" w:eastAsia="宋体" w:cs="宋体"/>
          <w:color w:val="auto"/>
        </w:rPr>
        <w:t>、</w:t>
      </w:r>
      <w:r>
        <w:rPr>
          <w:rFonts w:ascii="Calibri" w:hAnsi="Calibri" w:cs="Calibri"/>
          <w:color w:val="auto"/>
        </w:rPr>
        <w:t>9.6</w:t>
      </w:r>
      <w:r>
        <w:rPr>
          <w:rFonts w:hint="eastAsia" w:ascii="宋体" w:hAnsi="宋体" w:eastAsia="宋体" w:cs="宋体"/>
          <w:color w:val="auto"/>
        </w:rPr>
        <w:t>条规定之一；</w:t>
      </w:r>
    </w:p>
    <w:p w14:paraId="3100025C">
      <w:pPr>
        <w:pStyle w:val="27"/>
        <w:widowControl/>
        <w:spacing w:before="75" w:beforeAutospacing="0" w:after="75" w:afterAutospacing="0"/>
        <w:ind w:firstLine="480"/>
        <w:rPr>
          <w:color w:val="auto"/>
        </w:rPr>
      </w:pPr>
      <w:r>
        <w:rPr>
          <w:rFonts w:hint="eastAsia" w:ascii="宋体" w:hAnsi="宋体" w:eastAsia="宋体" w:cs="宋体"/>
          <w:color w:val="auto"/>
        </w:rPr>
        <w:t>⑦招标文件规定的其他不予退还情形；</w:t>
      </w:r>
    </w:p>
    <w:p w14:paraId="5EB279AA">
      <w:pPr>
        <w:pStyle w:val="27"/>
        <w:widowControl/>
        <w:spacing w:before="75" w:beforeAutospacing="0" w:after="75" w:afterAutospacing="0"/>
        <w:ind w:firstLine="480"/>
        <w:rPr>
          <w:color w:val="auto"/>
        </w:rPr>
      </w:pPr>
      <w:r>
        <w:rPr>
          <w:rFonts w:hint="eastAsia" w:ascii="宋体" w:hAnsi="宋体" w:eastAsia="宋体" w:cs="宋体"/>
          <w:color w:val="auto"/>
        </w:rPr>
        <w:t>⑧中标人有下列情形之一的：</w:t>
      </w:r>
    </w:p>
    <w:p w14:paraId="22E7B498">
      <w:pPr>
        <w:pStyle w:val="27"/>
        <w:widowControl/>
        <w:spacing w:before="75" w:beforeAutospacing="0" w:after="75" w:afterAutospacing="0"/>
        <w:ind w:firstLine="480"/>
        <w:rPr>
          <w:color w:val="auto"/>
        </w:rPr>
      </w:pPr>
      <w:r>
        <w:rPr>
          <w:rFonts w:ascii="Calibri" w:hAnsi="Calibri" w:cs="Calibri"/>
          <w:color w:val="auto"/>
        </w:rPr>
        <w:t>a</w:t>
      </w:r>
      <w:r>
        <w:rPr>
          <w:rFonts w:hint="eastAsia" w:ascii="宋体" w:hAnsi="宋体" w:eastAsia="宋体" w:cs="宋体"/>
          <w:color w:val="auto"/>
        </w:rPr>
        <w:t>.除不可抗力外，因中标人自身原因未在中标通知书要求的期限内与采购人签订政府采购合同；</w:t>
      </w:r>
    </w:p>
    <w:p w14:paraId="79538AB3">
      <w:pPr>
        <w:pStyle w:val="27"/>
        <w:widowControl/>
        <w:spacing w:before="75" w:beforeAutospacing="0" w:after="75" w:afterAutospacing="0"/>
        <w:ind w:firstLine="480"/>
        <w:rPr>
          <w:color w:val="auto"/>
        </w:rPr>
      </w:pPr>
      <w:r>
        <w:rPr>
          <w:rFonts w:hint="eastAsia" w:ascii="宋体" w:hAnsi="宋体" w:eastAsia="宋体" w:cs="宋体"/>
          <w:color w:val="auto"/>
        </w:rPr>
        <w:t>b.未按照招标文件、投标文件的约定签订政府采购合同或提交履约保证金。</w:t>
      </w:r>
    </w:p>
    <w:p w14:paraId="0439F52E">
      <w:pPr>
        <w:pStyle w:val="27"/>
        <w:widowControl/>
        <w:spacing w:before="75" w:beforeAutospacing="0" w:after="75" w:afterAutospacing="0"/>
        <w:ind w:firstLine="480"/>
        <w:rPr>
          <w:color w:val="auto"/>
        </w:rPr>
      </w:pPr>
      <w:r>
        <w:rPr>
          <w:rStyle w:val="32"/>
          <w:rFonts w:hint="eastAsia" w:ascii="宋体" w:hAnsi="宋体" w:eastAsia="宋体" w:cs="宋体"/>
          <w:color w:val="auto"/>
        </w:rPr>
        <w:t>※若上述投标保证金不予退还情形给采购人（采购代理机构）造成损失，则投标人还要承担相应的赔偿责任。</w:t>
      </w:r>
    </w:p>
    <w:p w14:paraId="16536FC9">
      <w:pPr>
        <w:pStyle w:val="27"/>
        <w:widowControl/>
        <w:spacing w:before="75" w:beforeAutospacing="0" w:after="75" w:afterAutospacing="0"/>
        <w:rPr>
          <w:color w:val="auto"/>
        </w:rPr>
      </w:pPr>
      <w:r>
        <w:rPr>
          <w:rFonts w:hint="eastAsia" w:ascii="宋体" w:hAnsi="宋体" w:eastAsia="宋体" w:cs="宋体"/>
          <w:color w:val="auto"/>
        </w:rPr>
        <w:t>10.10投标文件的提交</w:t>
      </w:r>
    </w:p>
    <w:p w14:paraId="00403E56">
      <w:pPr>
        <w:pStyle w:val="27"/>
        <w:widowControl/>
        <w:spacing w:before="75" w:beforeAutospacing="0" w:after="75" w:afterAutospacing="0"/>
        <w:ind w:firstLine="480"/>
        <w:rPr>
          <w:color w:val="auto"/>
        </w:rPr>
      </w:pPr>
      <w:r>
        <w:rPr>
          <w:rFonts w:hint="eastAsia" w:ascii="宋体" w:hAnsi="宋体" w:eastAsia="宋体" w:cs="宋体"/>
          <w:color w:val="auto"/>
        </w:rPr>
        <w:t>（1）一个投标人只能提交一个投标文件，并按照招标文件第一章规定将其送达。</w:t>
      </w:r>
    </w:p>
    <w:p w14:paraId="125B4AAD">
      <w:pPr>
        <w:pStyle w:val="27"/>
        <w:widowControl/>
        <w:spacing w:before="75" w:beforeAutospacing="0" w:after="75" w:afterAutospacing="0"/>
        <w:ind w:firstLine="480"/>
        <w:rPr>
          <w:color w:val="auto"/>
        </w:rPr>
      </w:pPr>
      <w:r>
        <w:rPr>
          <w:rFonts w:hint="eastAsia" w:ascii="宋体" w:hAnsi="宋体" w:eastAsia="宋体" w:cs="宋体"/>
          <w:color w:val="auto"/>
        </w:rPr>
        <w:t>（2）密封及其标记的具体形式：详见招标文件第二章。</w:t>
      </w:r>
    </w:p>
    <w:p w14:paraId="33EAA931">
      <w:pPr>
        <w:pStyle w:val="27"/>
        <w:widowControl/>
        <w:spacing w:before="75" w:beforeAutospacing="0" w:after="75" w:afterAutospacing="0"/>
        <w:rPr>
          <w:color w:val="auto"/>
        </w:rPr>
      </w:pPr>
      <w:r>
        <w:rPr>
          <w:rFonts w:hint="eastAsia" w:ascii="宋体" w:hAnsi="宋体" w:eastAsia="宋体" w:cs="宋体"/>
          <w:color w:val="auto"/>
        </w:rPr>
        <w:t>10.11投标文件的补充、修改或撤回</w:t>
      </w:r>
    </w:p>
    <w:p w14:paraId="1B735FA8">
      <w:pPr>
        <w:pStyle w:val="27"/>
        <w:widowControl/>
        <w:spacing w:before="75" w:beforeAutospacing="0" w:after="75" w:afterAutospacing="0"/>
        <w:ind w:firstLine="480"/>
        <w:rPr>
          <w:color w:val="auto"/>
        </w:rPr>
      </w:pPr>
      <w:r>
        <w:rPr>
          <w:rFonts w:hint="eastAsia" w:ascii="宋体" w:hAnsi="宋体" w:eastAsia="宋体" w:cs="宋体"/>
          <w:color w:val="auto"/>
        </w:rPr>
        <w:t>（1）投标截止时间前，投标人可对所提交的投标文件进行补充、修改或撤回，并书面通知</w:t>
      </w:r>
      <w:r>
        <w:rPr>
          <w:rFonts w:hint="eastAsia" w:ascii="宋体" w:hAnsi="宋体" w:eastAsia="宋体" w:cs="宋体"/>
          <w:color w:val="auto"/>
          <w:u w:val="single"/>
        </w:rPr>
        <w:t>福建省招标中心有限责任公司</w:t>
      </w:r>
      <w:r>
        <w:rPr>
          <w:rFonts w:hint="eastAsia" w:ascii="宋体" w:hAnsi="宋体" w:eastAsia="宋体" w:cs="宋体"/>
          <w:color w:val="auto"/>
        </w:rPr>
        <w:t>。</w:t>
      </w:r>
    </w:p>
    <w:p w14:paraId="4C12BE69">
      <w:pPr>
        <w:pStyle w:val="27"/>
        <w:widowControl/>
        <w:spacing w:before="75" w:beforeAutospacing="0" w:after="75" w:afterAutospacing="0"/>
        <w:ind w:firstLine="480"/>
        <w:rPr>
          <w:color w:val="auto"/>
        </w:rPr>
      </w:pPr>
      <w:r>
        <w:rPr>
          <w:rFonts w:hint="eastAsia" w:ascii="宋体" w:hAnsi="宋体" w:eastAsia="宋体" w:cs="宋体"/>
          <w:color w:val="auto"/>
        </w:rPr>
        <w:t>（2）补充、修改的内容应按照本章第</w:t>
      </w:r>
      <w:r>
        <w:rPr>
          <w:rFonts w:ascii="Calibri" w:hAnsi="Calibri" w:cs="Calibri"/>
          <w:color w:val="auto"/>
        </w:rPr>
        <w:t>10.5</w:t>
      </w:r>
      <w:r>
        <w:rPr>
          <w:rFonts w:hint="eastAsia" w:ascii="宋体" w:hAnsi="宋体" w:eastAsia="宋体" w:cs="宋体"/>
          <w:color w:val="auto"/>
        </w:rPr>
        <w:t>条第（</w:t>
      </w:r>
      <w:r>
        <w:rPr>
          <w:rFonts w:ascii="Calibri" w:hAnsi="Calibri" w:cs="Calibri"/>
          <w:color w:val="auto"/>
        </w:rPr>
        <w:t>4</w:t>
      </w:r>
      <w:r>
        <w:rPr>
          <w:rFonts w:hint="eastAsia" w:ascii="宋体" w:hAnsi="宋体" w:eastAsia="宋体" w:cs="宋体"/>
          <w:color w:val="auto"/>
        </w:rPr>
        <w:t>）款规定进行签署、盖章，并按照本章第</w:t>
      </w:r>
      <w:r>
        <w:rPr>
          <w:rFonts w:ascii="Calibri" w:hAnsi="Calibri" w:cs="Calibri"/>
          <w:color w:val="auto"/>
        </w:rPr>
        <w:t>10.10</w:t>
      </w:r>
      <w:r>
        <w:rPr>
          <w:rFonts w:hint="eastAsia" w:ascii="宋体" w:hAnsi="宋体" w:eastAsia="宋体" w:cs="宋体"/>
          <w:color w:val="auto"/>
        </w:rPr>
        <w:t>条规定提交，</w:t>
      </w:r>
      <w:r>
        <w:rPr>
          <w:rStyle w:val="32"/>
          <w:rFonts w:hint="eastAsia" w:ascii="宋体" w:hAnsi="宋体" w:eastAsia="宋体" w:cs="宋体"/>
          <w:color w:val="auto"/>
        </w:rPr>
        <w:t>否则将被拒收。</w:t>
      </w:r>
    </w:p>
    <w:p w14:paraId="0CADC6D8">
      <w:pPr>
        <w:pStyle w:val="27"/>
        <w:widowControl/>
        <w:spacing w:before="75" w:beforeAutospacing="0" w:after="75" w:afterAutospacing="0"/>
        <w:ind w:firstLine="480"/>
        <w:rPr>
          <w:color w:val="auto"/>
        </w:rPr>
      </w:pPr>
      <w:r>
        <w:rPr>
          <w:rStyle w:val="32"/>
          <w:rFonts w:hint="eastAsia" w:ascii="宋体" w:hAnsi="宋体" w:eastAsia="宋体" w:cs="宋体"/>
          <w:color w:val="auto"/>
        </w:rPr>
        <w:t>※按照上述规定提交的补充、修改内容作为投标文件组成部分。</w:t>
      </w:r>
    </w:p>
    <w:p w14:paraId="66FAB856">
      <w:pPr>
        <w:pStyle w:val="27"/>
        <w:widowControl/>
        <w:spacing w:before="75" w:beforeAutospacing="0" w:after="75" w:afterAutospacing="0"/>
        <w:rPr>
          <w:color w:val="auto"/>
        </w:rPr>
      </w:pPr>
      <w:r>
        <w:rPr>
          <w:rFonts w:hint="eastAsia" w:ascii="宋体" w:hAnsi="宋体" w:eastAsia="宋体" w:cs="宋体"/>
          <w:color w:val="auto"/>
        </w:rPr>
        <w:t>10.12除招标文件另有规定外，有下列情形之一的，</w:t>
      </w:r>
      <w:r>
        <w:rPr>
          <w:rStyle w:val="32"/>
          <w:rFonts w:hint="eastAsia" w:ascii="宋体" w:hAnsi="宋体" w:eastAsia="宋体" w:cs="宋体"/>
          <w:color w:val="auto"/>
        </w:rPr>
        <w:t>投标无效</w:t>
      </w:r>
      <w:r>
        <w:rPr>
          <w:rFonts w:hint="eastAsia" w:ascii="宋体" w:hAnsi="宋体" w:eastAsia="宋体" w:cs="宋体"/>
          <w:color w:val="auto"/>
        </w:rPr>
        <w:t>：</w:t>
      </w:r>
    </w:p>
    <w:p w14:paraId="24225C22">
      <w:pPr>
        <w:pStyle w:val="27"/>
        <w:widowControl/>
        <w:spacing w:before="75" w:beforeAutospacing="0" w:after="75" w:afterAutospacing="0"/>
        <w:ind w:firstLine="480"/>
        <w:rPr>
          <w:color w:val="auto"/>
        </w:rPr>
      </w:pPr>
      <w:r>
        <w:rPr>
          <w:rFonts w:hint="eastAsia" w:ascii="宋体" w:hAnsi="宋体" w:eastAsia="宋体" w:cs="宋体"/>
          <w:color w:val="auto"/>
        </w:rPr>
        <w:t>（1）投标文件未按照招标文件要求签署、盖章；</w:t>
      </w:r>
    </w:p>
    <w:p w14:paraId="77512C04">
      <w:pPr>
        <w:pStyle w:val="27"/>
        <w:widowControl/>
        <w:spacing w:before="75" w:beforeAutospacing="0" w:after="75" w:afterAutospacing="0"/>
        <w:ind w:firstLine="480"/>
        <w:rPr>
          <w:color w:val="auto"/>
        </w:rPr>
      </w:pPr>
      <w:r>
        <w:rPr>
          <w:rFonts w:hint="eastAsia" w:ascii="宋体" w:hAnsi="宋体" w:eastAsia="宋体" w:cs="宋体"/>
          <w:color w:val="auto"/>
        </w:rPr>
        <w:t>（2）不符合招标文件中规定的资格要求；</w:t>
      </w:r>
    </w:p>
    <w:p w14:paraId="772DB2DE">
      <w:pPr>
        <w:pStyle w:val="27"/>
        <w:widowControl/>
        <w:spacing w:before="75" w:beforeAutospacing="0" w:after="75" w:afterAutospacing="0"/>
        <w:ind w:firstLine="480"/>
        <w:rPr>
          <w:color w:val="auto"/>
        </w:rPr>
      </w:pPr>
      <w:r>
        <w:rPr>
          <w:rFonts w:hint="eastAsia" w:ascii="宋体" w:hAnsi="宋体" w:eastAsia="宋体" w:cs="宋体"/>
          <w:color w:val="auto"/>
        </w:rPr>
        <w:t>（3）投标报价超过招标文件中规定的预算金额或最高限价；</w:t>
      </w:r>
    </w:p>
    <w:p w14:paraId="1A5E2AD3">
      <w:pPr>
        <w:pStyle w:val="27"/>
        <w:widowControl/>
        <w:spacing w:before="75" w:beforeAutospacing="0" w:after="75" w:afterAutospacing="0"/>
        <w:ind w:firstLine="480"/>
        <w:rPr>
          <w:color w:val="auto"/>
        </w:rPr>
      </w:pPr>
      <w:r>
        <w:rPr>
          <w:rFonts w:hint="eastAsia" w:ascii="宋体" w:hAnsi="宋体" w:eastAsia="宋体" w:cs="宋体"/>
          <w:color w:val="auto"/>
        </w:rPr>
        <w:t>（4）投标文件含有采购人不能接受的附加条件；</w:t>
      </w:r>
    </w:p>
    <w:p w14:paraId="72E97B17">
      <w:pPr>
        <w:pStyle w:val="27"/>
        <w:widowControl/>
        <w:spacing w:before="75" w:beforeAutospacing="0" w:after="75" w:afterAutospacing="0"/>
        <w:ind w:firstLine="480"/>
        <w:rPr>
          <w:color w:val="auto"/>
        </w:rPr>
      </w:pPr>
      <w:r>
        <w:rPr>
          <w:rFonts w:hint="eastAsia" w:ascii="宋体" w:hAnsi="宋体" w:eastAsia="宋体" w:cs="宋体"/>
          <w:color w:val="auto"/>
        </w:rPr>
        <w:t>（5）有关法律、法规和规章及招标文件规定的其他无效情形。</w:t>
      </w:r>
    </w:p>
    <w:p w14:paraId="34B22FA2">
      <w:pPr>
        <w:pStyle w:val="27"/>
        <w:widowControl/>
        <w:spacing w:before="75" w:beforeAutospacing="0" w:after="75" w:afterAutospacing="0"/>
        <w:rPr>
          <w:color w:val="auto"/>
        </w:rPr>
      </w:pPr>
      <w:r>
        <w:rPr>
          <w:rFonts w:hint="eastAsia" w:ascii="宋体" w:hAnsi="宋体" w:eastAsia="宋体" w:cs="宋体"/>
          <w:color w:val="auto"/>
        </w:rPr>
        <w:t> </w:t>
      </w:r>
    </w:p>
    <w:p w14:paraId="709DF421">
      <w:pPr>
        <w:pStyle w:val="27"/>
        <w:widowControl/>
        <w:spacing w:before="75" w:beforeAutospacing="0" w:after="75" w:afterAutospacing="0"/>
        <w:jc w:val="center"/>
        <w:rPr>
          <w:color w:val="auto"/>
        </w:rPr>
      </w:pPr>
      <w:r>
        <w:rPr>
          <w:rStyle w:val="32"/>
          <w:rFonts w:hint="eastAsia" w:ascii="宋体" w:hAnsi="宋体" w:eastAsia="宋体" w:cs="宋体"/>
          <w:color w:val="auto"/>
        </w:rPr>
        <w:t>五、开标</w:t>
      </w:r>
    </w:p>
    <w:p w14:paraId="03A2DBA0">
      <w:pPr>
        <w:pStyle w:val="27"/>
        <w:widowControl/>
        <w:spacing w:before="75" w:beforeAutospacing="0" w:after="75" w:afterAutospacing="0"/>
        <w:rPr>
          <w:color w:val="auto"/>
        </w:rPr>
      </w:pPr>
      <w:r>
        <w:rPr>
          <w:rFonts w:hint="eastAsia" w:ascii="宋体" w:hAnsi="宋体" w:eastAsia="宋体" w:cs="宋体"/>
          <w:color w:val="auto"/>
        </w:rPr>
        <w:t>11、开标</w:t>
      </w:r>
    </w:p>
    <w:p w14:paraId="13208245">
      <w:pPr>
        <w:pStyle w:val="27"/>
        <w:widowControl/>
        <w:spacing w:before="75" w:beforeAutospacing="0" w:after="75" w:afterAutospacing="0"/>
        <w:rPr>
          <w:color w:val="auto"/>
        </w:rPr>
      </w:pPr>
      <w:r>
        <w:rPr>
          <w:rFonts w:hint="eastAsia" w:ascii="宋体" w:hAnsi="宋体" w:eastAsia="宋体" w:cs="宋体"/>
          <w:color w:val="auto"/>
        </w:rPr>
        <w:t>11.1</w:t>
      </w:r>
      <w:r>
        <w:rPr>
          <w:rFonts w:hint="eastAsia" w:ascii="宋体" w:hAnsi="宋体" w:eastAsia="宋体" w:cs="宋体"/>
          <w:color w:val="auto"/>
          <w:u w:val="single"/>
        </w:rPr>
        <w:t>福建省招标中心有限责任公司</w:t>
      </w:r>
      <w:r>
        <w:rPr>
          <w:rFonts w:hint="eastAsia" w:ascii="宋体" w:hAnsi="宋体" w:eastAsia="宋体" w:cs="宋体"/>
          <w:color w:val="auto"/>
        </w:rPr>
        <w:t>将在招标文件载明的开标时间及地点主持召开开标会，并邀请投标人参加。</w:t>
      </w:r>
    </w:p>
    <w:p w14:paraId="6423E49D">
      <w:pPr>
        <w:pStyle w:val="27"/>
        <w:widowControl/>
        <w:spacing w:before="75" w:beforeAutospacing="0" w:after="75" w:afterAutospacing="0"/>
        <w:rPr>
          <w:color w:val="auto"/>
        </w:rPr>
      </w:pPr>
      <w:r>
        <w:rPr>
          <w:rFonts w:hint="eastAsia" w:ascii="宋体" w:hAnsi="宋体" w:eastAsia="宋体" w:cs="宋体"/>
          <w:color w:val="auto"/>
        </w:rPr>
        <w:t>11.2开标会的主持人、唱标人、记录人及其他工作人员（若有）均由</w:t>
      </w:r>
      <w:r>
        <w:rPr>
          <w:rFonts w:hint="eastAsia" w:ascii="宋体" w:hAnsi="宋体" w:eastAsia="宋体" w:cs="宋体"/>
          <w:color w:val="auto"/>
          <w:u w:val="single"/>
        </w:rPr>
        <w:t>福建省招标中心有限责任公司</w:t>
      </w:r>
      <w:r>
        <w:rPr>
          <w:rFonts w:hint="eastAsia" w:ascii="宋体" w:hAnsi="宋体" w:eastAsia="宋体" w:cs="宋体"/>
          <w:color w:val="auto"/>
        </w:rPr>
        <w:t>派出，现场监督人员（若有）可由有关方面派出。</w:t>
      </w:r>
    </w:p>
    <w:p w14:paraId="66A89BC6">
      <w:pPr>
        <w:pStyle w:val="27"/>
        <w:widowControl/>
        <w:spacing w:before="75" w:beforeAutospacing="0" w:after="75" w:afterAutospacing="0"/>
        <w:rPr>
          <w:color w:val="auto"/>
        </w:rPr>
      </w:pPr>
      <w:r>
        <w:rPr>
          <w:rFonts w:hint="eastAsia" w:ascii="宋体" w:hAnsi="宋体" w:eastAsia="宋体" w:cs="宋体"/>
          <w:color w:val="auto"/>
        </w:rPr>
        <w:t>11.3参加开标会的投标人应签到，非投标人不参加开标会。</w:t>
      </w:r>
    </w:p>
    <w:p w14:paraId="59751A00">
      <w:pPr>
        <w:pStyle w:val="27"/>
        <w:widowControl/>
        <w:spacing w:before="75" w:beforeAutospacing="0" w:after="75" w:afterAutospacing="0"/>
        <w:rPr>
          <w:color w:val="auto"/>
        </w:rPr>
      </w:pPr>
      <w:r>
        <w:rPr>
          <w:rFonts w:hint="eastAsia" w:ascii="宋体" w:hAnsi="宋体" w:eastAsia="宋体" w:cs="宋体"/>
          <w:color w:val="auto"/>
        </w:rPr>
        <w:t>11.4开标会应遵守下列规定：</w:t>
      </w:r>
    </w:p>
    <w:p w14:paraId="7222A604">
      <w:pPr>
        <w:pStyle w:val="27"/>
        <w:widowControl/>
        <w:spacing w:before="75" w:beforeAutospacing="0" w:after="75" w:afterAutospacing="0"/>
        <w:ind w:firstLine="480"/>
        <w:rPr>
          <w:color w:val="auto"/>
        </w:rPr>
      </w:pPr>
      <w:r>
        <w:rPr>
          <w:rFonts w:hint="eastAsia" w:ascii="宋体" w:hAnsi="宋体" w:eastAsia="宋体" w:cs="宋体"/>
          <w:color w:val="auto"/>
        </w:rPr>
        <w:t>（1）首先由主持人宣布开标会须知，然后由投标人代表对投标文件的密封情况进行检查，经确认无误后，由工作人员对密封的投标文件当众拆封。</w:t>
      </w:r>
    </w:p>
    <w:p w14:paraId="7BE0BC8D">
      <w:pPr>
        <w:pStyle w:val="27"/>
        <w:widowControl/>
        <w:spacing w:before="75" w:beforeAutospacing="0" w:after="75" w:afterAutospacing="0"/>
        <w:ind w:firstLine="480"/>
        <w:rPr>
          <w:color w:val="auto"/>
        </w:rPr>
      </w:pPr>
      <w:r>
        <w:rPr>
          <w:rFonts w:hint="eastAsia" w:ascii="宋体" w:hAnsi="宋体" w:eastAsia="宋体" w:cs="宋体"/>
          <w:color w:val="auto"/>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14:paraId="2477B43F">
      <w:pPr>
        <w:pStyle w:val="27"/>
        <w:widowControl/>
        <w:spacing w:before="75" w:beforeAutospacing="0" w:after="75" w:afterAutospacing="0"/>
        <w:ind w:firstLine="480"/>
        <w:rPr>
          <w:color w:val="auto"/>
        </w:rPr>
      </w:pPr>
      <w:r>
        <w:rPr>
          <w:rFonts w:hint="eastAsia" w:ascii="宋体" w:hAnsi="宋体" w:eastAsia="宋体" w:cs="宋体"/>
          <w:color w:val="auto"/>
        </w:rPr>
        <w:t>（3）记录人对唱标人宣布的内容作开标记录。</w:t>
      </w:r>
    </w:p>
    <w:p w14:paraId="2A50E540">
      <w:pPr>
        <w:pStyle w:val="27"/>
        <w:widowControl/>
        <w:spacing w:before="75" w:beforeAutospacing="0" w:after="75" w:afterAutospacing="0"/>
        <w:ind w:firstLine="480"/>
        <w:rPr>
          <w:color w:val="auto"/>
        </w:rPr>
      </w:pPr>
      <w:r>
        <w:rPr>
          <w:rFonts w:hint="eastAsia" w:ascii="宋体" w:hAnsi="宋体" w:eastAsia="宋体" w:cs="宋体"/>
          <w:color w:val="auto"/>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14:paraId="2F739493">
      <w:pPr>
        <w:pStyle w:val="27"/>
        <w:widowControl/>
        <w:spacing w:before="75" w:beforeAutospacing="0" w:after="75" w:afterAutospacing="0"/>
        <w:ind w:firstLine="480"/>
        <w:rPr>
          <w:color w:val="auto"/>
        </w:rPr>
      </w:pPr>
      <w:r>
        <w:rPr>
          <w:rFonts w:hint="eastAsia" w:ascii="宋体" w:hAnsi="宋体" w:eastAsia="宋体" w:cs="宋体"/>
          <w:color w:val="auto"/>
        </w:rPr>
        <w:t>（5）投标人代表对开标过程和开标记录有疑义，以及认为采购人（采购代理机构）相关工作人员有需要回避情形的，应当场提出询问或回避申请。否则，视为投标人对开标过程和开标记录予以认可。</w:t>
      </w:r>
    </w:p>
    <w:p w14:paraId="6BA90901">
      <w:pPr>
        <w:pStyle w:val="27"/>
        <w:widowControl/>
        <w:spacing w:before="75" w:beforeAutospacing="0" w:after="75" w:afterAutospacing="0"/>
        <w:ind w:firstLine="480"/>
        <w:rPr>
          <w:color w:val="auto"/>
        </w:rPr>
      </w:pPr>
      <w:r>
        <w:rPr>
          <w:rFonts w:hint="eastAsia" w:ascii="宋体" w:hAnsi="宋体" w:eastAsia="宋体" w:cs="宋体"/>
          <w:color w:val="auto"/>
        </w:rPr>
        <w:t>（6）若投标人未参加开标会（包括但不限于投标人派出的人员不是投标人代表），视同其对开标过程和开标记录予以认可。</w:t>
      </w:r>
    </w:p>
    <w:p w14:paraId="4E0251ED">
      <w:pPr>
        <w:pStyle w:val="27"/>
        <w:widowControl/>
        <w:spacing w:before="75" w:beforeAutospacing="0" w:after="75" w:afterAutospacing="0"/>
        <w:ind w:firstLine="480"/>
        <w:rPr>
          <w:color w:val="auto"/>
        </w:rPr>
      </w:pPr>
      <w:r>
        <w:rPr>
          <w:rStyle w:val="32"/>
          <w:rFonts w:hint="eastAsia" w:ascii="宋体" w:hAnsi="宋体" w:eastAsia="宋体" w:cs="宋体"/>
          <w:color w:val="auto"/>
        </w:rPr>
        <w:t>※若出现本章第</w:t>
      </w:r>
      <w:r>
        <w:rPr>
          <w:rStyle w:val="32"/>
          <w:rFonts w:ascii="Calibri" w:hAnsi="Calibri" w:cs="Calibri"/>
          <w:color w:val="auto"/>
        </w:rPr>
        <w:t>11.4</w:t>
      </w:r>
      <w:r>
        <w:rPr>
          <w:rStyle w:val="32"/>
          <w:rFonts w:hint="eastAsia" w:ascii="宋体" w:hAnsi="宋体" w:eastAsia="宋体" w:cs="宋体"/>
          <w:color w:val="auto"/>
        </w:rPr>
        <w:t>条第（</w:t>
      </w:r>
      <w:r>
        <w:rPr>
          <w:rStyle w:val="32"/>
          <w:rFonts w:ascii="Calibri" w:hAnsi="Calibri" w:cs="Calibri"/>
          <w:color w:val="auto"/>
        </w:rPr>
        <w:t>4</w:t>
      </w:r>
      <w:r>
        <w:rPr>
          <w:rStyle w:val="32"/>
          <w:rFonts w:hint="eastAsia" w:ascii="宋体" w:hAnsi="宋体" w:eastAsia="宋体" w:cs="宋体"/>
          <w:color w:val="auto"/>
        </w:rPr>
        <w:t>）、（</w:t>
      </w:r>
      <w:r>
        <w:rPr>
          <w:rStyle w:val="32"/>
          <w:rFonts w:ascii="Calibri" w:hAnsi="Calibri" w:cs="Calibri"/>
          <w:color w:val="auto"/>
        </w:rPr>
        <w:t>5</w:t>
      </w:r>
      <w:r>
        <w:rPr>
          <w:rStyle w:val="32"/>
          <w:rFonts w:hint="eastAsia" w:ascii="宋体" w:hAnsi="宋体" w:eastAsia="宋体" w:cs="宋体"/>
          <w:color w:val="auto"/>
        </w:rPr>
        <w:t>）、（</w:t>
      </w:r>
      <w:r>
        <w:rPr>
          <w:rStyle w:val="32"/>
          <w:rFonts w:ascii="Calibri" w:hAnsi="Calibri" w:cs="Calibri"/>
          <w:color w:val="auto"/>
        </w:rPr>
        <w:t>6</w:t>
      </w:r>
      <w:r>
        <w:rPr>
          <w:rStyle w:val="32"/>
          <w:rFonts w:hint="eastAsia" w:ascii="宋体" w:hAnsi="宋体" w:eastAsia="宋体" w:cs="宋体"/>
          <w:color w:val="auto"/>
        </w:rPr>
        <w:t>）款规定情形之一</w:t>
      </w:r>
      <w:r>
        <w:rPr>
          <w:rFonts w:hint="eastAsia" w:ascii="宋体" w:hAnsi="宋体" w:eastAsia="宋体" w:cs="宋体"/>
          <w:color w:val="auto"/>
        </w:rPr>
        <w:t>，</w:t>
      </w:r>
      <w:r>
        <w:rPr>
          <w:rStyle w:val="32"/>
          <w:rFonts w:hint="eastAsia" w:ascii="宋体" w:hAnsi="宋体" w:eastAsia="宋体" w:cs="宋体"/>
          <w:color w:val="auto"/>
        </w:rPr>
        <w:t>则投标人不得在开标会后就开标过程和开标记录涉及或可能涉及的有关事由（包括但不限于：“投标报价”、“投标文件的格式”、“投标文件的提交”、“投标文件的补充、修改或撤回”等）向</w:t>
      </w:r>
      <w:r>
        <w:rPr>
          <w:rFonts w:hint="eastAsia" w:ascii="宋体" w:hAnsi="宋体" w:eastAsia="宋体" w:cs="宋体"/>
          <w:color w:val="auto"/>
          <w:u w:val="single"/>
        </w:rPr>
        <w:t>福建省招标中心有限责任公司</w:t>
      </w:r>
      <w:r>
        <w:rPr>
          <w:rStyle w:val="32"/>
          <w:rFonts w:hint="eastAsia" w:ascii="宋体" w:hAnsi="宋体" w:eastAsia="宋体" w:cs="宋体"/>
          <w:color w:val="auto"/>
        </w:rPr>
        <w:t>提出任何疑义或要求（包括质疑）。</w:t>
      </w:r>
    </w:p>
    <w:p w14:paraId="4530690D">
      <w:pPr>
        <w:pStyle w:val="27"/>
        <w:widowControl/>
        <w:spacing w:before="75" w:beforeAutospacing="0" w:after="75" w:afterAutospacing="0"/>
        <w:rPr>
          <w:color w:val="auto"/>
        </w:rPr>
      </w:pPr>
      <w:r>
        <w:rPr>
          <w:rFonts w:hint="eastAsia" w:ascii="宋体" w:hAnsi="宋体" w:eastAsia="宋体" w:cs="宋体"/>
          <w:color w:val="auto"/>
        </w:rPr>
        <w:t>11.5投标截止时间后，参加投标的投标人不足三家的，不进行开标。同时，本次采购活动结束，</w:t>
      </w:r>
      <w:r>
        <w:rPr>
          <w:rFonts w:hint="eastAsia" w:ascii="宋体" w:hAnsi="宋体" w:eastAsia="宋体" w:cs="宋体"/>
          <w:color w:val="auto"/>
          <w:u w:val="single"/>
        </w:rPr>
        <w:t>福建省招标中心有限责任公司</w:t>
      </w:r>
      <w:r>
        <w:rPr>
          <w:rFonts w:hint="eastAsia" w:ascii="宋体" w:hAnsi="宋体" w:eastAsia="宋体" w:cs="宋体"/>
          <w:color w:val="auto"/>
        </w:rPr>
        <w:t>将依法组织后续采购活动（包括但不限于：重新招标、采用其他方式采购等）。</w:t>
      </w:r>
    </w:p>
    <w:p w14:paraId="219E6D73">
      <w:pPr>
        <w:pStyle w:val="27"/>
        <w:widowControl/>
        <w:spacing w:before="75" w:beforeAutospacing="0" w:after="75" w:afterAutospacing="0"/>
        <w:rPr>
          <w:color w:val="auto"/>
        </w:rPr>
      </w:pPr>
      <w:r>
        <w:rPr>
          <w:rFonts w:hint="eastAsia" w:ascii="宋体" w:hAnsi="宋体" w:eastAsia="宋体" w:cs="宋体"/>
          <w:color w:val="auto"/>
        </w:rPr>
        <w:t> </w:t>
      </w:r>
    </w:p>
    <w:p w14:paraId="5A2A75B6">
      <w:pPr>
        <w:pStyle w:val="27"/>
        <w:widowControl/>
        <w:spacing w:before="75" w:beforeAutospacing="0" w:after="75" w:afterAutospacing="0"/>
        <w:jc w:val="center"/>
        <w:rPr>
          <w:color w:val="auto"/>
        </w:rPr>
      </w:pPr>
      <w:r>
        <w:rPr>
          <w:rStyle w:val="32"/>
          <w:rFonts w:hint="eastAsia" w:ascii="宋体" w:hAnsi="宋体" w:eastAsia="宋体" w:cs="宋体"/>
          <w:color w:val="auto"/>
        </w:rPr>
        <w:t>六、中标与政府采购合同</w:t>
      </w:r>
    </w:p>
    <w:p w14:paraId="39E9AAA0">
      <w:pPr>
        <w:pStyle w:val="27"/>
        <w:widowControl/>
        <w:spacing w:before="75" w:beforeAutospacing="0" w:after="75" w:afterAutospacing="0"/>
        <w:rPr>
          <w:color w:val="auto"/>
        </w:rPr>
      </w:pPr>
      <w:r>
        <w:rPr>
          <w:rFonts w:hint="eastAsia" w:ascii="宋体" w:hAnsi="宋体" w:eastAsia="宋体" w:cs="宋体"/>
          <w:color w:val="auto"/>
        </w:rPr>
        <w:t>12、中标</w:t>
      </w:r>
    </w:p>
    <w:p w14:paraId="7297BA37">
      <w:pPr>
        <w:pStyle w:val="27"/>
        <w:widowControl/>
        <w:spacing w:before="75" w:beforeAutospacing="0" w:after="75" w:afterAutospacing="0"/>
        <w:rPr>
          <w:color w:val="auto"/>
        </w:rPr>
      </w:pPr>
      <w:r>
        <w:rPr>
          <w:rFonts w:hint="eastAsia" w:ascii="宋体" w:hAnsi="宋体" w:eastAsia="宋体" w:cs="宋体"/>
          <w:color w:val="auto"/>
        </w:rPr>
        <w:t>12.1本项目推荐的中标候选人家数：详见招标文件第二章。</w:t>
      </w:r>
    </w:p>
    <w:p w14:paraId="4CB3FACC">
      <w:pPr>
        <w:pStyle w:val="27"/>
        <w:widowControl/>
        <w:spacing w:before="75" w:beforeAutospacing="0" w:after="75" w:afterAutospacing="0"/>
        <w:rPr>
          <w:color w:val="auto"/>
        </w:rPr>
      </w:pPr>
      <w:r>
        <w:rPr>
          <w:rFonts w:hint="eastAsia" w:ascii="宋体" w:hAnsi="宋体" w:eastAsia="宋体" w:cs="宋体"/>
          <w:color w:val="auto"/>
        </w:rPr>
        <w:t>12.2本项目中标人的确定：详见招标文件第二章。</w:t>
      </w:r>
    </w:p>
    <w:p w14:paraId="77FFE090">
      <w:pPr>
        <w:pStyle w:val="27"/>
        <w:widowControl/>
        <w:spacing w:before="75" w:beforeAutospacing="0" w:after="75" w:afterAutospacing="0"/>
        <w:rPr>
          <w:color w:val="auto"/>
        </w:rPr>
      </w:pPr>
      <w:r>
        <w:rPr>
          <w:rFonts w:hint="eastAsia" w:ascii="宋体" w:hAnsi="宋体" w:eastAsia="宋体" w:cs="宋体"/>
          <w:color w:val="auto"/>
        </w:rPr>
        <w:t>12.3中标公告</w:t>
      </w:r>
    </w:p>
    <w:p w14:paraId="25DCA27E">
      <w:pPr>
        <w:pStyle w:val="27"/>
        <w:widowControl/>
        <w:spacing w:before="75" w:beforeAutospacing="0" w:after="75" w:afterAutospacing="0"/>
        <w:ind w:firstLine="480"/>
        <w:rPr>
          <w:color w:val="auto"/>
        </w:rPr>
      </w:pPr>
      <w:r>
        <w:rPr>
          <w:rFonts w:hint="eastAsia" w:ascii="宋体" w:hAnsi="宋体" w:eastAsia="宋体" w:cs="宋体"/>
          <w:color w:val="auto"/>
        </w:rPr>
        <w:t>（1）中标人确定之日起</w:t>
      </w:r>
      <w:r>
        <w:rPr>
          <w:rFonts w:ascii="Calibri" w:hAnsi="Calibri" w:cs="Calibri"/>
          <w:color w:val="auto"/>
        </w:rPr>
        <w:t>2</w:t>
      </w:r>
      <w:r>
        <w:rPr>
          <w:rFonts w:hint="eastAsia" w:ascii="宋体" w:hAnsi="宋体" w:eastAsia="宋体" w:cs="宋体"/>
          <w:color w:val="auto"/>
        </w:rPr>
        <w:t>个工作日内，</w:t>
      </w:r>
      <w:r>
        <w:rPr>
          <w:rFonts w:hint="eastAsia" w:ascii="宋体" w:hAnsi="宋体" w:eastAsia="宋体" w:cs="宋体"/>
          <w:color w:val="auto"/>
          <w:u w:val="single"/>
        </w:rPr>
        <w:t>福建省招标中心有限责任公司</w:t>
      </w:r>
      <w:r>
        <w:rPr>
          <w:rFonts w:hint="eastAsia" w:ascii="宋体" w:hAnsi="宋体" w:eastAsia="宋体" w:cs="宋体"/>
          <w:color w:val="auto"/>
        </w:rPr>
        <w:t>将在招标文件载明的指定媒体以中标公告的形式发布中标结果。</w:t>
      </w:r>
    </w:p>
    <w:p w14:paraId="2B9EE124">
      <w:pPr>
        <w:pStyle w:val="27"/>
        <w:widowControl/>
        <w:spacing w:before="75" w:beforeAutospacing="0" w:after="75" w:afterAutospacing="0"/>
        <w:ind w:firstLine="480"/>
        <w:rPr>
          <w:color w:val="auto"/>
        </w:rPr>
      </w:pPr>
      <w:r>
        <w:rPr>
          <w:rFonts w:hint="eastAsia" w:ascii="宋体" w:hAnsi="宋体" w:eastAsia="宋体" w:cs="宋体"/>
          <w:color w:val="auto"/>
        </w:rPr>
        <w:t>（2）中标公告的公告期限为</w:t>
      </w:r>
      <w:r>
        <w:rPr>
          <w:rFonts w:ascii="Calibri" w:hAnsi="Calibri" w:cs="Calibri"/>
          <w:color w:val="auto"/>
        </w:rPr>
        <w:t>1</w:t>
      </w:r>
      <w:r>
        <w:rPr>
          <w:rFonts w:hint="eastAsia" w:ascii="宋体" w:hAnsi="宋体" w:eastAsia="宋体" w:cs="宋体"/>
          <w:color w:val="auto"/>
        </w:rPr>
        <w:t>个工作日。</w:t>
      </w:r>
    </w:p>
    <w:p w14:paraId="298E8882">
      <w:pPr>
        <w:pStyle w:val="27"/>
        <w:widowControl/>
        <w:spacing w:before="75" w:beforeAutospacing="0" w:after="75" w:afterAutospacing="0"/>
        <w:ind w:firstLine="480"/>
        <w:rPr>
          <w:color w:val="auto"/>
        </w:rPr>
      </w:pPr>
      <w:r>
        <w:rPr>
          <w:rFonts w:hint="eastAsia" w:ascii="宋体" w:hAnsi="宋体" w:eastAsia="宋体" w:cs="宋体"/>
          <w:color w:val="auto"/>
        </w:rPr>
        <w:t>（3）中标公告同时作为</w:t>
      </w:r>
      <w:r>
        <w:rPr>
          <w:rFonts w:hint="eastAsia" w:ascii="宋体" w:hAnsi="宋体" w:eastAsia="宋体" w:cs="宋体"/>
          <w:color w:val="auto"/>
          <w:u w:val="single"/>
        </w:rPr>
        <w:t>福建省招标中心有限责任公司</w:t>
      </w:r>
      <w:r>
        <w:rPr>
          <w:rFonts w:hint="eastAsia" w:ascii="宋体" w:hAnsi="宋体" w:eastAsia="宋体" w:cs="宋体"/>
          <w:color w:val="auto"/>
        </w:rPr>
        <w:t>通知除中标人外的其他投标人没有中标的书面形式。</w:t>
      </w:r>
    </w:p>
    <w:p w14:paraId="53823B83">
      <w:pPr>
        <w:pStyle w:val="27"/>
        <w:widowControl/>
        <w:spacing w:before="75" w:beforeAutospacing="0" w:after="75" w:afterAutospacing="0"/>
        <w:rPr>
          <w:color w:val="auto"/>
        </w:rPr>
      </w:pPr>
      <w:r>
        <w:rPr>
          <w:rFonts w:hint="eastAsia" w:ascii="宋体" w:hAnsi="宋体" w:eastAsia="宋体" w:cs="宋体"/>
          <w:color w:val="auto"/>
        </w:rPr>
        <w:t>12.4中标通知书</w:t>
      </w:r>
    </w:p>
    <w:p w14:paraId="66B440BE">
      <w:pPr>
        <w:pStyle w:val="27"/>
        <w:widowControl/>
        <w:spacing w:before="75" w:beforeAutospacing="0" w:after="75" w:afterAutospacing="0"/>
        <w:ind w:firstLine="480"/>
        <w:rPr>
          <w:color w:val="auto"/>
        </w:rPr>
      </w:pPr>
      <w:r>
        <w:rPr>
          <w:rFonts w:hint="eastAsia" w:ascii="宋体" w:hAnsi="宋体" w:eastAsia="宋体" w:cs="宋体"/>
          <w:color w:val="auto"/>
        </w:rPr>
        <w:t>（1）中标公告发布的同时，</w:t>
      </w:r>
      <w:r>
        <w:rPr>
          <w:rFonts w:hint="eastAsia" w:ascii="宋体" w:hAnsi="宋体" w:eastAsia="宋体" w:cs="宋体"/>
          <w:color w:val="auto"/>
          <w:u w:val="single"/>
        </w:rPr>
        <w:t>福建省招标中心有限责任公司</w:t>
      </w:r>
      <w:r>
        <w:rPr>
          <w:rFonts w:hint="eastAsia" w:ascii="宋体" w:hAnsi="宋体" w:eastAsia="宋体" w:cs="宋体"/>
          <w:color w:val="auto"/>
        </w:rPr>
        <w:t>将向中标人发出中标通知书。</w:t>
      </w:r>
    </w:p>
    <w:p w14:paraId="0729430A">
      <w:pPr>
        <w:pStyle w:val="27"/>
        <w:widowControl/>
        <w:spacing w:before="75" w:beforeAutospacing="0" w:after="75" w:afterAutospacing="0"/>
        <w:ind w:firstLine="480"/>
        <w:rPr>
          <w:color w:val="auto"/>
        </w:rPr>
      </w:pPr>
      <w:r>
        <w:rPr>
          <w:rFonts w:hint="eastAsia" w:ascii="宋体" w:hAnsi="宋体" w:eastAsia="宋体" w:cs="宋体"/>
          <w:color w:val="auto"/>
        </w:rPr>
        <w:t>（2）中标通知书发出后，采购人不得违法改变中标结果，中标人无正当理由不得放弃中标。</w:t>
      </w:r>
    </w:p>
    <w:p w14:paraId="2D980959">
      <w:pPr>
        <w:pStyle w:val="27"/>
        <w:widowControl/>
        <w:spacing w:before="75" w:beforeAutospacing="0" w:after="75" w:afterAutospacing="0"/>
        <w:rPr>
          <w:color w:val="auto"/>
        </w:rPr>
      </w:pPr>
      <w:r>
        <w:rPr>
          <w:rFonts w:hint="eastAsia" w:ascii="宋体" w:hAnsi="宋体" w:eastAsia="宋体" w:cs="宋体"/>
          <w:color w:val="auto"/>
        </w:rPr>
        <w:t>13、政府采购合同</w:t>
      </w:r>
    </w:p>
    <w:p w14:paraId="45080F80">
      <w:pPr>
        <w:pStyle w:val="27"/>
        <w:widowControl/>
        <w:spacing w:before="75" w:beforeAutospacing="0" w:after="75" w:afterAutospacing="0"/>
        <w:rPr>
          <w:color w:val="auto"/>
        </w:rPr>
      </w:pPr>
      <w:r>
        <w:rPr>
          <w:rFonts w:hint="eastAsia" w:ascii="宋体" w:hAnsi="宋体" w:eastAsia="宋体" w:cs="宋体"/>
          <w:color w:val="auto"/>
        </w:rPr>
        <w:t>13.1签订政府采购合同应遵守政府采购法及实施条例的规定，不得对招标文件确定的事项和中标人的投标文件作实质性修改。采购人不得向中标人提出任何不合理的要求作为政府采购合同的签订条件。</w:t>
      </w:r>
    </w:p>
    <w:p w14:paraId="71827219">
      <w:pPr>
        <w:pStyle w:val="27"/>
        <w:widowControl/>
        <w:spacing w:before="75" w:beforeAutospacing="0" w:after="75" w:afterAutospacing="0"/>
        <w:rPr>
          <w:color w:val="auto"/>
        </w:rPr>
      </w:pPr>
      <w:r>
        <w:rPr>
          <w:rFonts w:hint="eastAsia" w:ascii="宋体" w:hAnsi="宋体" w:eastAsia="宋体" w:cs="宋体"/>
          <w:color w:val="auto"/>
        </w:rPr>
        <w:t>13.2签订时限：自中标通知书发出之日起</w:t>
      </w:r>
      <w:r>
        <w:rPr>
          <w:rFonts w:ascii="Calibri" w:hAnsi="Calibri" w:cs="Calibri"/>
          <w:color w:val="auto"/>
        </w:rPr>
        <w:t>30</w:t>
      </w:r>
      <w:r>
        <w:rPr>
          <w:rFonts w:hint="eastAsia" w:ascii="宋体" w:hAnsi="宋体" w:eastAsia="宋体" w:cs="宋体"/>
          <w:color w:val="auto"/>
        </w:rPr>
        <w:t>个日历日内。</w:t>
      </w:r>
    </w:p>
    <w:p w14:paraId="2E854C64">
      <w:pPr>
        <w:pStyle w:val="27"/>
        <w:widowControl/>
        <w:spacing w:before="75" w:beforeAutospacing="0" w:after="75" w:afterAutospacing="0"/>
        <w:rPr>
          <w:color w:val="auto"/>
        </w:rPr>
      </w:pPr>
      <w:r>
        <w:rPr>
          <w:rFonts w:hint="eastAsia" w:ascii="宋体" w:hAnsi="宋体" w:eastAsia="宋体" w:cs="宋体"/>
          <w:color w:val="auto"/>
        </w:rPr>
        <w:t>13.3政府采购合同的履行、违约责任和解决争议的方法等适用民法典。</w:t>
      </w:r>
    </w:p>
    <w:p w14:paraId="40137D90">
      <w:pPr>
        <w:pStyle w:val="27"/>
        <w:widowControl/>
        <w:spacing w:before="75" w:beforeAutospacing="0" w:after="75" w:afterAutospacing="0"/>
        <w:rPr>
          <w:color w:val="auto"/>
        </w:rPr>
      </w:pPr>
      <w:r>
        <w:rPr>
          <w:rFonts w:hint="eastAsia" w:ascii="宋体" w:hAnsi="宋体" w:eastAsia="宋体" w:cs="宋体"/>
          <w:color w:val="auto"/>
        </w:rPr>
        <w:t>13.4采购人与中标人应根据政府采购合同的约定依法履行合同义务。</w:t>
      </w:r>
    </w:p>
    <w:p w14:paraId="57CDB21A">
      <w:pPr>
        <w:pStyle w:val="27"/>
        <w:widowControl/>
        <w:spacing w:before="75" w:beforeAutospacing="0" w:after="75" w:afterAutospacing="0"/>
        <w:rPr>
          <w:color w:val="auto"/>
        </w:rPr>
      </w:pPr>
      <w:r>
        <w:rPr>
          <w:rFonts w:hint="eastAsia" w:ascii="宋体" w:hAnsi="宋体" w:eastAsia="宋体" w:cs="宋体"/>
          <w:color w:val="auto"/>
        </w:rPr>
        <w:t>13.5政府采购合同履行过程中，采购人若需追加与合同标的相同的货物或服务，则追加采购金额不得超过原合同采购金额的</w:t>
      </w:r>
      <w:r>
        <w:rPr>
          <w:rFonts w:ascii="Calibri" w:hAnsi="Calibri" w:cs="Calibri"/>
          <w:color w:val="auto"/>
        </w:rPr>
        <w:t>10%</w:t>
      </w:r>
      <w:r>
        <w:rPr>
          <w:rFonts w:hint="eastAsia" w:ascii="宋体" w:hAnsi="宋体" w:eastAsia="宋体" w:cs="宋体"/>
          <w:color w:val="auto"/>
        </w:rPr>
        <w:t>。</w:t>
      </w:r>
    </w:p>
    <w:p w14:paraId="2E1EDCF7">
      <w:pPr>
        <w:pStyle w:val="27"/>
        <w:widowControl/>
        <w:spacing w:before="75" w:beforeAutospacing="0" w:after="75" w:afterAutospacing="0"/>
        <w:rPr>
          <w:color w:val="auto"/>
        </w:rPr>
      </w:pPr>
      <w:r>
        <w:rPr>
          <w:rFonts w:hint="eastAsia" w:ascii="宋体" w:hAnsi="宋体" w:eastAsia="宋体" w:cs="宋体"/>
          <w:color w:val="auto"/>
        </w:rPr>
        <w:t>13.6中标人在政府采购合同履行过程中应遵守有关法律、法规和规章的强制性规定（即使前述强制性规定有可能在招标文件中未予列明）。</w:t>
      </w:r>
    </w:p>
    <w:p w14:paraId="6365583F">
      <w:pPr>
        <w:pStyle w:val="27"/>
        <w:widowControl/>
        <w:spacing w:before="75" w:beforeAutospacing="0" w:after="75" w:afterAutospacing="0"/>
        <w:rPr>
          <w:color w:val="auto"/>
        </w:rPr>
      </w:pPr>
      <w:r>
        <w:rPr>
          <w:rFonts w:hint="eastAsia" w:ascii="宋体" w:hAnsi="宋体" w:eastAsia="宋体" w:cs="宋体"/>
          <w:color w:val="auto"/>
        </w:rPr>
        <w:t> </w:t>
      </w:r>
    </w:p>
    <w:p w14:paraId="4E4AA6A6">
      <w:pPr>
        <w:pStyle w:val="27"/>
        <w:widowControl/>
        <w:spacing w:before="75" w:beforeAutospacing="0" w:after="75" w:afterAutospacing="0"/>
        <w:jc w:val="center"/>
        <w:rPr>
          <w:color w:val="auto"/>
        </w:rPr>
      </w:pPr>
      <w:r>
        <w:rPr>
          <w:rStyle w:val="32"/>
          <w:rFonts w:hint="eastAsia" w:ascii="宋体" w:hAnsi="宋体" w:eastAsia="宋体" w:cs="宋体"/>
          <w:color w:val="auto"/>
        </w:rPr>
        <w:t>七、询问、质疑与投诉</w:t>
      </w:r>
    </w:p>
    <w:p w14:paraId="01E0BA1B">
      <w:pPr>
        <w:pStyle w:val="27"/>
        <w:widowControl/>
        <w:spacing w:before="75" w:beforeAutospacing="0" w:after="75" w:afterAutospacing="0"/>
        <w:rPr>
          <w:color w:val="auto"/>
        </w:rPr>
      </w:pPr>
      <w:r>
        <w:rPr>
          <w:rFonts w:hint="eastAsia" w:ascii="宋体" w:hAnsi="宋体" w:eastAsia="宋体" w:cs="宋体"/>
          <w:color w:val="auto"/>
        </w:rPr>
        <w:t>14、询问</w:t>
      </w:r>
    </w:p>
    <w:p w14:paraId="47B1D074">
      <w:pPr>
        <w:pStyle w:val="27"/>
        <w:widowControl/>
        <w:spacing w:before="75" w:beforeAutospacing="0" w:after="75" w:afterAutospacing="0"/>
        <w:rPr>
          <w:color w:val="auto"/>
        </w:rPr>
      </w:pPr>
      <w:r>
        <w:rPr>
          <w:rFonts w:hint="eastAsia" w:ascii="宋体" w:hAnsi="宋体" w:eastAsia="宋体" w:cs="宋体"/>
          <w:color w:val="auto"/>
        </w:rPr>
        <w:t>14.1潜在投标人或投标人对本次采购活动的有关事项若有疑问，可向福建省招标中心有限责任公司提出询问，福建省招标中心有限责任公司将按照政府采购法及实施条例的有关规定进行答复。</w:t>
      </w:r>
    </w:p>
    <w:p w14:paraId="46BB0665">
      <w:pPr>
        <w:pStyle w:val="27"/>
        <w:widowControl/>
        <w:spacing w:before="75" w:beforeAutospacing="0" w:after="75" w:afterAutospacing="0"/>
        <w:rPr>
          <w:color w:val="auto"/>
        </w:rPr>
      </w:pPr>
      <w:r>
        <w:rPr>
          <w:rFonts w:hint="eastAsia" w:ascii="宋体" w:hAnsi="宋体" w:eastAsia="宋体" w:cs="宋体"/>
          <w:color w:val="auto"/>
        </w:rPr>
        <w:t>15、质疑</w:t>
      </w:r>
    </w:p>
    <w:p w14:paraId="2AADDBE7">
      <w:pPr>
        <w:pStyle w:val="27"/>
        <w:widowControl/>
        <w:spacing w:before="75" w:beforeAutospacing="0" w:after="75" w:afterAutospacing="0"/>
        <w:rPr>
          <w:color w:val="auto"/>
        </w:rPr>
      </w:pPr>
      <w:r>
        <w:rPr>
          <w:rFonts w:hint="eastAsia" w:ascii="宋体" w:hAnsi="宋体" w:eastAsia="宋体" w:cs="宋体"/>
          <w:color w:val="auto"/>
        </w:rPr>
        <w:t>15.1针对同一采购程序环节的质疑应在政府采购法及实施条例规定的时限内一次性提出，并同时符合下列条件：</w:t>
      </w:r>
    </w:p>
    <w:p w14:paraId="480D98B2">
      <w:pPr>
        <w:pStyle w:val="27"/>
        <w:widowControl/>
        <w:spacing w:before="75" w:beforeAutospacing="0" w:after="75" w:afterAutospacing="0"/>
        <w:ind w:firstLine="480"/>
        <w:rPr>
          <w:color w:val="auto"/>
        </w:rPr>
      </w:pPr>
      <w:r>
        <w:rPr>
          <w:rFonts w:hint="eastAsia" w:ascii="宋体" w:hAnsi="宋体" w:eastAsia="宋体" w:cs="宋体"/>
          <w:color w:val="auto"/>
        </w:rPr>
        <w:t>（1）对招标文件提出质疑的，质疑人应为潜在投标人，且两者的身份、名称等均应保持一致。对采购过程、结果提出质疑的，质疑人应为投标人，且两者的身份、名称等均应保持一致。</w:t>
      </w:r>
    </w:p>
    <w:p w14:paraId="22C3C7F0">
      <w:pPr>
        <w:pStyle w:val="27"/>
        <w:widowControl/>
        <w:spacing w:before="75" w:beforeAutospacing="0" w:after="75" w:afterAutospacing="0"/>
        <w:ind w:firstLine="480"/>
        <w:rPr>
          <w:color w:val="auto"/>
        </w:rPr>
      </w:pPr>
      <w:r>
        <w:rPr>
          <w:rFonts w:hint="eastAsia" w:ascii="宋体" w:hAnsi="宋体" w:eastAsia="宋体" w:cs="宋体"/>
          <w:color w:val="auto"/>
        </w:rPr>
        <w:t>（2）质疑人应按照招标文件第二章规定方式提交质疑函。</w:t>
      </w:r>
    </w:p>
    <w:p w14:paraId="6F5650F2">
      <w:pPr>
        <w:pStyle w:val="27"/>
        <w:widowControl/>
        <w:spacing w:before="75" w:beforeAutospacing="0" w:after="75" w:afterAutospacing="0"/>
        <w:ind w:firstLine="480"/>
        <w:rPr>
          <w:color w:val="auto"/>
        </w:rPr>
      </w:pPr>
      <w:r>
        <w:rPr>
          <w:rFonts w:hint="eastAsia" w:ascii="宋体" w:hAnsi="宋体" w:eastAsia="宋体" w:cs="宋体"/>
          <w:color w:val="auto"/>
        </w:rPr>
        <w:t>（3）质疑函应包括下列主要内容：</w:t>
      </w:r>
    </w:p>
    <w:p w14:paraId="5FA47A6E">
      <w:pPr>
        <w:pStyle w:val="27"/>
        <w:widowControl/>
        <w:spacing w:before="75" w:beforeAutospacing="0" w:after="75" w:afterAutospacing="0"/>
        <w:ind w:firstLine="480"/>
        <w:rPr>
          <w:color w:val="auto"/>
        </w:rPr>
      </w:pPr>
      <w:r>
        <w:rPr>
          <w:rFonts w:hint="eastAsia" w:ascii="宋体" w:hAnsi="宋体" w:eastAsia="宋体" w:cs="宋体"/>
          <w:color w:val="auto"/>
        </w:rPr>
        <w:t>①质疑人的基本信息，至少包括：全称、地址、邮政编码等；</w:t>
      </w:r>
    </w:p>
    <w:p w14:paraId="2392C9E1">
      <w:pPr>
        <w:pStyle w:val="27"/>
        <w:widowControl/>
        <w:spacing w:before="75" w:beforeAutospacing="0" w:after="75" w:afterAutospacing="0"/>
        <w:ind w:firstLine="480"/>
        <w:rPr>
          <w:color w:val="auto"/>
        </w:rPr>
      </w:pPr>
      <w:r>
        <w:rPr>
          <w:rFonts w:hint="eastAsia" w:ascii="宋体" w:hAnsi="宋体" w:eastAsia="宋体" w:cs="宋体"/>
          <w:color w:val="auto"/>
        </w:rPr>
        <w:t>②所质疑项目的基本信息，至少包括：招标编号、项目名称等；</w:t>
      </w:r>
    </w:p>
    <w:p w14:paraId="636AB1B7">
      <w:pPr>
        <w:pStyle w:val="27"/>
        <w:widowControl/>
        <w:spacing w:before="75" w:beforeAutospacing="0" w:after="75" w:afterAutospacing="0"/>
        <w:ind w:firstLine="480"/>
        <w:rPr>
          <w:color w:val="auto"/>
        </w:rPr>
      </w:pPr>
      <w:r>
        <w:rPr>
          <w:rFonts w:hint="eastAsia" w:ascii="宋体" w:hAnsi="宋体" w:eastAsia="宋体" w:cs="宋体"/>
          <w:color w:val="auto"/>
        </w:rPr>
        <w:t>③所质疑的具体事项（以下简称：“质疑事项”）；</w:t>
      </w:r>
    </w:p>
    <w:p w14:paraId="3FAFC4DE">
      <w:pPr>
        <w:pStyle w:val="27"/>
        <w:widowControl/>
        <w:spacing w:before="75" w:beforeAutospacing="0" w:after="75" w:afterAutospacing="0"/>
        <w:ind w:firstLine="480"/>
        <w:rPr>
          <w:color w:val="auto"/>
        </w:rPr>
      </w:pPr>
      <w:r>
        <w:rPr>
          <w:rFonts w:hint="eastAsia" w:ascii="宋体" w:hAnsi="宋体" w:eastAsia="宋体" w:cs="宋体"/>
          <w:color w:val="auto"/>
        </w:rPr>
        <w:t>④针对质疑事项提出的明确请求，前述明确请求指质疑人提出质疑的目的以及希望福建省招标中心有限责任公司对其质疑作出的处理结果，如：暂停招标投标活动、修改招标文件、停止或纠正违法违规行为、中标结果无效、废标、重新招标等；</w:t>
      </w:r>
    </w:p>
    <w:p w14:paraId="6E19F0DB">
      <w:pPr>
        <w:pStyle w:val="27"/>
        <w:widowControl/>
        <w:spacing w:before="75" w:beforeAutospacing="0" w:after="75" w:afterAutospacing="0"/>
        <w:ind w:firstLine="480"/>
        <w:rPr>
          <w:color w:val="auto"/>
        </w:rPr>
      </w:pPr>
      <w:r>
        <w:rPr>
          <w:rFonts w:hint="eastAsia" w:ascii="宋体" w:hAnsi="宋体" w:eastAsia="宋体" w:cs="宋体"/>
          <w:color w:val="auto"/>
        </w:rPr>
        <w:t>⑤针对质疑事项导致质疑人自身权益受到损害的必要证明材料，至少包括：</w:t>
      </w:r>
    </w:p>
    <w:p w14:paraId="799CBE0E">
      <w:pPr>
        <w:pStyle w:val="27"/>
        <w:widowControl/>
        <w:spacing w:before="75" w:beforeAutospacing="0" w:after="75" w:afterAutospacing="0"/>
        <w:ind w:firstLine="480"/>
        <w:rPr>
          <w:color w:val="auto"/>
        </w:rPr>
      </w:pPr>
      <w:r>
        <w:rPr>
          <w:rFonts w:hint="eastAsia" w:ascii="宋体" w:hAnsi="宋体" w:eastAsia="宋体" w:cs="宋体"/>
          <w:color w:val="auto"/>
        </w:rPr>
        <w:t>a.质疑人代表的身份证明材料：</w:t>
      </w:r>
    </w:p>
    <w:p w14:paraId="3F3AD307">
      <w:pPr>
        <w:pStyle w:val="27"/>
        <w:widowControl/>
        <w:spacing w:before="75" w:beforeAutospacing="0" w:after="75" w:afterAutospacing="0"/>
        <w:ind w:firstLine="480"/>
        <w:rPr>
          <w:color w:val="auto"/>
        </w:rPr>
      </w:pPr>
      <w:r>
        <w:rPr>
          <w:rFonts w:hint="eastAsia" w:ascii="宋体" w:hAnsi="宋体" w:eastAsia="宋体" w:cs="宋体"/>
          <w:color w:val="auto"/>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0AE5ADF5">
      <w:pPr>
        <w:pStyle w:val="27"/>
        <w:widowControl/>
        <w:spacing w:before="75" w:beforeAutospacing="0" w:after="75" w:afterAutospacing="0"/>
        <w:ind w:firstLine="480"/>
        <w:rPr>
          <w:color w:val="auto"/>
        </w:rPr>
      </w:pPr>
      <w:r>
        <w:rPr>
          <w:rFonts w:hint="eastAsia" w:ascii="宋体" w:hAnsi="宋体" w:eastAsia="宋体" w:cs="宋体"/>
          <w:color w:val="auto"/>
        </w:rPr>
        <w:t>a2若本项目接受自然人投标且质疑人为自然人的，提供本人的身份证复印件。</w:t>
      </w:r>
    </w:p>
    <w:p w14:paraId="3E2AFB9D">
      <w:pPr>
        <w:pStyle w:val="27"/>
        <w:widowControl/>
        <w:spacing w:before="75" w:beforeAutospacing="0" w:after="75" w:afterAutospacing="0"/>
        <w:ind w:firstLine="480"/>
        <w:rPr>
          <w:color w:val="auto"/>
        </w:rPr>
      </w:pPr>
      <w:r>
        <w:rPr>
          <w:rFonts w:hint="eastAsia" w:ascii="宋体" w:hAnsi="宋体" w:eastAsia="宋体" w:cs="宋体"/>
          <w:color w:val="auto"/>
        </w:rPr>
        <w:t>b.其他证明材料（即事实依据和必要的法律依据）包括但不限于下列材料：</w:t>
      </w:r>
    </w:p>
    <w:p w14:paraId="22432D7E">
      <w:pPr>
        <w:pStyle w:val="27"/>
        <w:widowControl/>
        <w:spacing w:before="75" w:beforeAutospacing="0" w:after="75" w:afterAutospacing="0"/>
        <w:ind w:firstLine="480"/>
        <w:rPr>
          <w:color w:val="auto"/>
        </w:rPr>
      </w:pPr>
      <w:r>
        <w:rPr>
          <w:rFonts w:hint="eastAsia" w:ascii="宋体" w:hAnsi="宋体" w:eastAsia="宋体" w:cs="宋体"/>
          <w:color w:val="auto"/>
        </w:rPr>
        <w:t>b1所质疑的具体事项是与自已有利害关系的证明材料；</w:t>
      </w:r>
    </w:p>
    <w:p w14:paraId="49352856">
      <w:pPr>
        <w:pStyle w:val="27"/>
        <w:widowControl/>
        <w:spacing w:before="75" w:beforeAutospacing="0" w:after="75" w:afterAutospacing="0"/>
        <w:ind w:firstLine="480"/>
        <w:rPr>
          <w:color w:val="auto"/>
        </w:rPr>
      </w:pPr>
      <w:r>
        <w:rPr>
          <w:rFonts w:hint="eastAsia" w:ascii="宋体" w:hAnsi="宋体" w:eastAsia="宋体" w:cs="宋体"/>
          <w:color w:val="auto"/>
        </w:rPr>
        <w:t>b2质疑函所述事实存在的证明材料，如：采购文件、采购过程或中标结果违法违规或不符合采购文件要求等证明材料；</w:t>
      </w:r>
    </w:p>
    <w:p w14:paraId="1E0FEFCA">
      <w:pPr>
        <w:pStyle w:val="27"/>
        <w:widowControl/>
        <w:spacing w:before="75" w:beforeAutospacing="0" w:after="75" w:afterAutospacing="0"/>
        <w:ind w:firstLine="480"/>
        <w:rPr>
          <w:color w:val="auto"/>
        </w:rPr>
      </w:pPr>
      <w:r>
        <w:rPr>
          <w:rFonts w:hint="eastAsia" w:ascii="宋体" w:hAnsi="宋体" w:eastAsia="宋体" w:cs="宋体"/>
          <w:color w:val="auto"/>
        </w:rPr>
        <w:t>b3依法应终止采购程序的证明材料；</w:t>
      </w:r>
    </w:p>
    <w:p w14:paraId="32ECA4DA">
      <w:pPr>
        <w:pStyle w:val="27"/>
        <w:widowControl/>
        <w:spacing w:before="75" w:beforeAutospacing="0" w:after="75" w:afterAutospacing="0"/>
        <w:ind w:firstLine="480"/>
        <w:rPr>
          <w:color w:val="auto"/>
        </w:rPr>
      </w:pPr>
      <w:r>
        <w:rPr>
          <w:rFonts w:hint="eastAsia" w:ascii="宋体" w:hAnsi="宋体" w:eastAsia="宋体" w:cs="宋体"/>
          <w:color w:val="auto"/>
        </w:rPr>
        <w:t>b4应重新采购的证明材料；</w:t>
      </w:r>
    </w:p>
    <w:p w14:paraId="10C1CED1">
      <w:pPr>
        <w:pStyle w:val="27"/>
        <w:widowControl/>
        <w:spacing w:before="75" w:beforeAutospacing="0" w:after="75" w:afterAutospacing="0"/>
        <w:ind w:firstLine="480"/>
        <w:rPr>
          <w:color w:val="auto"/>
        </w:rPr>
      </w:pPr>
      <w:r>
        <w:rPr>
          <w:rFonts w:hint="eastAsia" w:ascii="宋体" w:hAnsi="宋体" w:eastAsia="宋体" w:cs="宋体"/>
          <w:color w:val="auto"/>
        </w:rPr>
        <w:t>b5采购文件、采购过程或中标、成交结果损害自已合法权益的证明材料等；</w:t>
      </w:r>
    </w:p>
    <w:p w14:paraId="29431DBF">
      <w:pPr>
        <w:pStyle w:val="27"/>
        <w:widowControl/>
        <w:spacing w:before="75" w:beforeAutospacing="0" w:after="75" w:afterAutospacing="0"/>
        <w:ind w:firstLine="480"/>
        <w:rPr>
          <w:color w:val="auto"/>
        </w:rPr>
      </w:pPr>
      <w:r>
        <w:rPr>
          <w:rFonts w:hint="eastAsia" w:ascii="宋体" w:hAnsi="宋体" w:eastAsia="宋体" w:cs="宋体"/>
          <w:color w:val="auto"/>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Pr>
          <w:rStyle w:val="32"/>
          <w:rFonts w:hint="eastAsia" w:ascii="宋体" w:hAnsi="宋体" w:eastAsia="宋体" w:cs="宋体"/>
          <w:color w:val="auto"/>
        </w:rPr>
        <w:t>视为无效</w:t>
      </w:r>
      <w:r>
        <w:rPr>
          <w:rFonts w:hint="eastAsia" w:ascii="宋体" w:hAnsi="宋体" w:eastAsia="宋体" w:cs="宋体"/>
          <w:color w:val="auto"/>
        </w:rPr>
        <w:t>）。</w:t>
      </w:r>
      <w:r>
        <w:rPr>
          <w:rFonts w:hint="eastAsia" w:ascii="宋体" w:hAnsi="宋体" w:eastAsia="宋体" w:cs="宋体"/>
          <w:color w:val="auto"/>
        </w:rPr>
        <w:br w:type="textWrapping"/>
      </w:r>
      <w:r>
        <w:rPr>
          <w:rFonts w:hint="eastAsia" w:ascii="宋体" w:hAnsi="宋体" w:eastAsia="宋体" w:cs="宋体"/>
          <w:color w:val="auto"/>
        </w:rPr>
        <w:t>   ⑥质疑人代表及其联系方法的信息，至少包括：姓名、手机、电子信箱、邮寄地址等。</w:t>
      </w:r>
      <w:r>
        <w:rPr>
          <w:rFonts w:hint="eastAsia" w:ascii="宋体" w:hAnsi="宋体" w:eastAsia="宋体" w:cs="宋体"/>
          <w:color w:val="auto"/>
        </w:rPr>
        <w:br w:type="textWrapping"/>
      </w:r>
      <w:r>
        <w:rPr>
          <w:rFonts w:hint="eastAsia" w:ascii="宋体" w:hAnsi="宋体" w:eastAsia="宋体" w:cs="宋体"/>
          <w:color w:val="auto"/>
        </w:rPr>
        <w:t>   ⑦提出质疑的日期。</w:t>
      </w:r>
    </w:p>
    <w:p w14:paraId="74C7DC3B">
      <w:pPr>
        <w:pStyle w:val="27"/>
        <w:widowControl/>
        <w:ind w:firstLine="480"/>
        <w:rPr>
          <w:color w:val="auto"/>
        </w:rPr>
      </w:pPr>
      <w:r>
        <w:rPr>
          <w:rStyle w:val="32"/>
          <w:rFonts w:hint="eastAsia" w:ascii="宋体" w:hAnsi="宋体" w:eastAsia="宋体" w:cs="宋体"/>
          <w:color w:val="auto"/>
        </w:rPr>
        <w:t>※质疑人为法人或其他组织的，质疑函应由单位负责人或委托代理人签字或盖章，并加盖投标人的单位公章。质疑人为自然人的，质疑函应由本人签字。</w:t>
      </w:r>
    </w:p>
    <w:p w14:paraId="790CD922">
      <w:pPr>
        <w:pStyle w:val="27"/>
        <w:widowControl/>
        <w:spacing w:before="75" w:beforeAutospacing="0" w:after="75" w:afterAutospacing="0"/>
        <w:rPr>
          <w:color w:val="auto"/>
        </w:rPr>
      </w:pPr>
      <w:r>
        <w:rPr>
          <w:rFonts w:hint="eastAsia" w:ascii="宋体" w:hAnsi="宋体" w:eastAsia="宋体" w:cs="宋体"/>
          <w:color w:val="auto"/>
        </w:rPr>
        <w:t>15.2对不符合本章第</w:t>
      </w:r>
      <w:r>
        <w:rPr>
          <w:rFonts w:ascii="Calibri" w:hAnsi="Calibri" w:cs="Calibri"/>
          <w:color w:val="auto"/>
        </w:rPr>
        <w:t>15.1</w:t>
      </w:r>
      <w:r>
        <w:rPr>
          <w:rFonts w:hint="eastAsia" w:ascii="宋体" w:hAnsi="宋体" w:eastAsia="宋体" w:cs="宋体"/>
          <w:color w:val="auto"/>
        </w:rPr>
        <w:t>条规定的质疑，将按照下列规定进行处理：</w:t>
      </w:r>
    </w:p>
    <w:p w14:paraId="6F627165">
      <w:pPr>
        <w:pStyle w:val="27"/>
        <w:widowControl/>
        <w:spacing w:before="75" w:beforeAutospacing="0" w:after="75" w:afterAutospacing="0"/>
        <w:ind w:firstLine="480"/>
        <w:rPr>
          <w:color w:val="auto"/>
        </w:rPr>
      </w:pPr>
      <w:r>
        <w:rPr>
          <w:rFonts w:hint="eastAsia" w:ascii="宋体" w:hAnsi="宋体" w:eastAsia="宋体" w:cs="宋体"/>
          <w:color w:val="auto"/>
        </w:rPr>
        <w:t>（1）不符合其中第（</w:t>
      </w:r>
      <w:r>
        <w:rPr>
          <w:rFonts w:ascii="Calibri" w:hAnsi="Calibri" w:cs="Calibri"/>
          <w:color w:val="auto"/>
        </w:rPr>
        <w:t>1</w:t>
      </w:r>
      <w:r>
        <w:rPr>
          <w:rFonts w:hint="eastAsia" w:ascii="宋体" w:hAnsi="宋体" w:eastAsia="宋体" w:cs="宋体"/>
          <w:color w:val="auto"/>
        </w:rPr>
        <w:t>）、（</w:t>
      </w:r>
      <w:r>
        <w:rPr>
          <w:rFonts w:ascii="Calibri" w:hAnsi="Calibri" w:cs="Calibri"/>
          <w:color w:val="auto"/>
        </w:rPr>
        <w:t>2</w:t>
      </w:r>
      <w:r>
        <w:rPr>
          <w:rFonts w:hint="eastAsia" w:ascii="宋体" w:hAnsi="宋体" w:eastAsia="宋体" w:cs="宋体"/>
          <w:color w:val="auto"/>
        </w:rPr>
        <w:t>）条规定的，书面告知质疑人不予受理及其理由。</w:t>
      </w:r>
    </w:p>
    <w:p w14:paraId="765D22DD">
      <w:pPr>
        <w:pStyle w:val="27"/>
        <w:widowControl/>
        <w:spacing w:before="75" w:beforeAutospacing="0" w:after="75" w:afterAutospacing="0"/>
        <w:ind w:firstLine="480"/>
        <w:rPr>
          <w:color w:val="auto"/>
        </w:rPr>
      </w:pPr>
      <w:r>
        <w:rPr>
          <w:rFonts w:hint="eastAsia" w:ascii="宋体" w:hAnsi="宋体" w:eastAsia="宋体" w:cs="宋体"/>
          <w:color w:val="auto"/>
        </w:rPr>
        <w:t>（2）不符合其中第（</w:t>
      </w:r>
      <w:r>
        <w:rPr>
          <w:rFonts w:ascii="Calibri" w:hAnsi="Calibri" w:cs="Calibri"/>
          <w:color w:val="auto"/>
        </w:rPr>
        <w:t>3</w:t>
      </w:r>
      <w:r>
        <w:rPr>
          <w:rFonts w:hint="eastAsia" w:ascii="宋体" w:hAnsi="宋体" w:eastAsia="宋体" w:cs="宋体"/>
          <w:color w:val="auto"/>
        </w:rPr>
        <w:t>）条规定的，书面告知质疑人修改、补充后在规定时限内重新提交质疑函。</w:t>
      </w:r>
    </w:p>
    <w:p w14:paraId="15CE818A">
      <w:pPr>
        <w:pStyle w:val="27"/>
        <w:widowControl/>
        <w:spacing w:before="75" w:beforeAutospacing="0" w:after="75" w:afterAutospacing="0"/>
        <w:rPr>
          <w:color w:val="auto"/>
        </w:rPr>
      </w:pPr>
      <w:r>
        <w:rPr>
          <w:rFonts w:hint="eastAsia" w:ascii="宋体" w:hAnsi="宋体" w:eastAsia="宋体" w:cs="宋体"/>
          <w:color w:val="auto"/>
        </w:rPr>
        <w:t>15.3对符合本章第</w:t>
      </w:r>
      <w:r>
        <w:rPr>
          <w:rFonts w:ascii="Calibri" w:hAnsi="Calibri" w:cs="Calibri"/>
          <w:color w:val="auto"/>
        </w:rPr>
        <w:t>15.1</w:t>
      </w:r>
      <w:r>
        <w:rPr>
          <w:rFonts w:hint="eastAsia" w:ascii="宋体" w:hAnsi="宋体" w:eastAsia="宋体" w:cs="宋体"/>
          <w:color w:val="auto"/>
        </w:rPr>
        <w:t>条规定的质疑，将按照政府采购法及实施条例、政府采购质疑和投诉办法的有关规定进行答复。</w:t>
      </w:r>
    </w:p>
    <w:p w14:paraId="1DD44B57">
      <w:pPr>
        <w:pStyle w:val="27"/>
        <w:widowControl/>
        <w:spacing w:before="75" w:beforeAutospacing="0" w:after="75" w:afterAutospacing="0"/>
        <w:rPr>
          <w:color w:val="auto"/>
        </w:rPr>
      </w:pPr>
      <w:r>
        <w:rPr>
          <w:rFonts w:hint="eastAsia" w:ascii="宋体" w:hAnsi="宋体" w:eastAsia="宋体" w:cs="宋体"/>
          <w:color w:val="auto"/>
        </w:rPr>
        <w:t>15.4招标文件的质疑：详见招标文件第二章。</w:t>
      </w:r>
    </w:p>
    <w:p w14:paraId="10A3D42E">
      <w:pPr>
        <w:pStyle w:val="27"/>
        <w:widowControl/>
        <w:spacing w:before="75" w:beforeAutospacing="0" w:after="75" w:afterAutospacing="0"/>
        <w:rPr>
          <w:color w:val="auto"/>
        </w:rPr>
      </w:pPr>
      <w:r>
        <w:rPr>
          <w:rFonts w:hint="eastAsia" w:ascii="宋体" w:hAnsi="宋体" w:eastAsia="宋体" w:cs="宋体"/>
          <w:color w:val="auto"/>
        </w:rPr>
        <w:t>16、投诉</w:t>
      </w:r>
    </w:p>
    <w:p w14:paraId="72B289B4">
      <w:pPr>
        <w:pStyle w:val="27"/>
        <w:widowControl/>
        <w:rPr>
          <w:color w:val="auto"/>
        </w:rPr>
      </w:pPr>
      <w:r>
        <w:rPr>
          <w:rFonts w:hint="eastAsia" w:ascii="宋体" w:hAnsi="宋体" w:eastAsia="宋体" w:cs="宋体"/>
          <w:color w:val="auto"/>
        </w:rPr>
        <w:t>16.1若对质疑答复不满意或质疑答复未在答复期限内作出，质疑人可在答复期限届满之日起</w:t>
      </w:r>
      <w:r>
        <w:rPr>
          <w:rFonts w:ascii="Calibri" w:hAnsi="Calibri" w:eastAsia="宋体" w:cs="Calibri"/>
          <w:color w:val="auto"/>
        </w:rPr>
        <w:t>15</w:t>
      </w:r>
      <w:r>
        <w:rPr>
          <w:rFonts w:hint="eastAsia" w:ascii="宋体" w:hAnsi="宋体" w:eastAsia="宋体" w:cs="宋体"/>
          <w:color w:val="auto"/>
        </w:rPr>
        <w:t>个工作日内按照政府采购质疑和投诉办法的有关规定向招标文件第二章载明的本项目监督管理部门提起投诉。</w:t>
      </w:r>
    </w:p>
    <w:p w14:paraId="26848CA8">
      <w:pPr>
        <w:pStyle w:val="27"/>
        <w:widowControl/>
        <w:spacing w:before="75" w:beforeAutospacing="0" w:after="75" w:afterAutospacing="0"/>
        <w:rPr>
          <w:color w:val="auto"/>
        </w:rPr>
      </w:pPr>
      <w:r>
        <w:rPr>
          <w:rFonts w:hint="eastAsia" w:ascii="宋体" w:hAnsi="宋体" w:eastAsia="宋体" w:cs="宋体"/>
          <w:color w:val="auto"/>
        </w:rPr>
        <w:t>16.2投诉应有明确的请求和必要的证明材料，投诉的事项不得超出已质疑事项的范围。</w:t>
      </w:r>
    </w:p>
    <w:p w14:paraId="56B14A4D">
      <w:pPr>
        <w:pStyle w:val="27"/>
        <w:widowControl/>
        <w:spacing w:before="75" w:beforeAutospacing="0" w:after="75" w:afterAutospacing="0"/>
        <w:rPr>
          <w:color w:val="auto"/>
        </w:rPr>
      </w:pPr>
      <w:r>
        <w:rPr>
          <w:rFonts w:hint="eastAsia" w:ascii="宋体" w:hAnsi="宋体" w:eastAsia="宋体" w:cs="宋体"/>
          <w:color w:val="auto"/>
        </w:rPr>
        <w:t> </w:t>
      </w:r>
    </w:p>
    <w:p w14:paraId="5ED02A36">
      <w:pPr>
        <w:pStyle w:val="27"/>
        <w:widowControl/>
        <w:spacing w:before="75" w:beforeAutospacing="0" w:after="75" w:afterAutospacing="0"/>
        <w:jc w:val="center"/>
        <w:rPr>
          <w:color w:val="auto"/>
        </w:rPr>
      </w:pPr>
      <w:r>
        <w:rPr>
          <w:rStyle w:val="32"/>
          <w:rFonts w:hint="eastAsia" w:ascii="宋体" w:hAnsi="宋体" w:eastAsia="宋体" w:cs="宋体"/>
          <w:color w:val="auto"/>
        </w:rPr>
        <w:t>八、政府采购政策</w:t>
      </w:r>
    </w:p>
    <w:p w14:paraId="0018EAB6">
      <w:pPr>
        <w:pStyle w:val="27"/>
        <w:widowControl/>
        <w:spacing w:before="75" w:beforeAutospacing="0" w:after="75" w:afterAutospacing="0"/>
        <w:rPr>
          <w:color w:val="auto"/>
        </w:rPr>
      </w:pPr>
      <w:r>
        <w:rPr>
          <w:rFonts w:hint="eastAsia" w:ascii="宋体" w:hAnsi="宋体" w:eastAsia="宋体" w:cs="宋体"/>
          <w:color w:val="auto"/>
        </w:rPr>
        <w:t>17、政府采购政策由财政部根据国家的经济和社会发展政策并会同国家有关部委制定，包括但不限于下列具体政策要求：</w:t>
      </w:r>
    </w:p>
    <w:p w14:paraId="732233B4">
      <w:pPr>
        <w:pStyle w:val="27"/>
        <w:widowControl/>
        <w:spacing w:before="75" w:beforeAutospacing="0" w:after="75" w:afterAutospacing="0"/>
        <w:rPr>
          <w:color w:val="auto"/>
        </w:rPr>
      </w:pPr>
      <w:r>
        <w:rPr>
          <w:rFonts w:hint="eastAsia" w:ascii="宋体" w:hAnsi="宋体" w:eastAsia="宋体" w:cs="宋体"/>
          <w:color w:val="auto"/>
        </w:rPr>
        <w:t>17.1进口产品指通过中国海关报关验放进入中国境内且产自关境外的产品，其中：</w:t>
      </w:r>
    </w:p>
    <w:p w14:paraId="4746D96E">
      <w:pPr>
        <w:pStyle w:val="27"/>
        <w:widowControl/>
        <w:spacing w:before="75" w:beforeAutospacing="0" w:after="75" w:afterAutospacing="0"/>
        <w:ind w:firstLine="480"/>
        <w:rPr>
          <w:color w:val="auto"/>
        </w:rPr>
      </w:pPr>
      <w:r>
        <w:rPr>
          <w:rFonts w:hint="eastAsia" w:ascii="宋体" w:hAnsi="宋体" w:eastAsia="宋体" w:cs="宋体"/>
          <w:color w:val="auto"/>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477F0517">
      <w:pPr>
        <w:pStyle w:val="27"/>
        <w:widowControl/>
        <w:spacing w:before="75" w:beforeAutospacing="0" w:after="75" w:afterAutospacing="0"/>
        <w:ind w:firstLine="480"/>
        <w:rPr>
          <w:color w:val="auto"/>
        </w:rPr>
      </w:pPr>
      <w:r>
        <w:rPr>
          <w:rFonts w:hint="eastAsia" w:ascii="宋体" w:hAnsi="宋体" w:eastAsia="宋体" w:cs="宋体"/>
          <w:color w:val="auto"/>
        </w:rPr>
        <w:t>（2）凡在海关特殊监管区域内企业生产或加工（包括从境外进口料件）销往境内其他地区的产品，不作为政府采购项下进口产品。</w:t>
      </w:r>
    </w:p>
    <w:p w14:paraId="0E44B525">
      <w:pPr>
        <w:pStyle w:val="27"/>
        <w:widowControl/>
        <w:spacing w:before="75" w:beforeAutospacing="0" w:after="75" w:afterAutospacing="0"/>
        <w:ind w:firstLine="480"/>
        <w:rPr>
          <w:color w:val="auto"/>
        </w:rPr>
      </w:pPr>
      <w:r>
        <w:rPr>
          <w:rFonts w:hint="eastAsia" w:ascii="宋体" w:hAnsi="宋体" w:eastAsia="宋体" w:cs="宋体"/>
          <w:color w:val="auto"/>
        </w:rPr>
        <w:t>（3）对从境外进入海关特殊监管区域，再经办理报关手续后从海关特殊监管区进入境内其他地区的产品，认定为进口产品。</w:t>
      </w:r>
    </w:p>
    <w:p w14:paraId="5E681D5C">
      <w:pPr>
        <w:pStyle w:val="27"/>
        <w:widowControl/>
        <w:spacing w:before="75" w:beforeAutospacing="0" w:after="75" w:afterAutospacing="0"/>
        <w:ind w:firstLine="480"/>
        <w:rPr>
          <w:color w:val="auto"/>
        </w:rPr>
      </w:pPr>
      <w:r>
        <w:rPr>
          <w:rFonts w:hint="eastAsia" w:ascii="宋体" w:hAnsi="宋体" w:eastAsia="宋体" w:cs="宋体"/>
          <w:color w:val="auto"/>
        </w:rPr>
        <w:t>（4）招标文件列明不允许或未列明允许进口产品参加投标的，均视为拒绝进口产品参加投标。</w:t>
      </w:r>
    </w:p>
    <w:p w14:paraId="15497849">
      <w:pPr>
        <w:pStyle w:val="27"/>
        <w:widowControl/>
        <w:spacing w:before="75" w:beforeAutospacing="0" w:after="75" w:afterAutospacing="0"/>
        <w:rPr>
          <w:color w:val="auto"/>
        </w:rPr>
      </w:pPr>
      <w:r>
        <w:rPr>
          <w:rFonts w:hint="eastAsia" w:ascii="宋体" w:hAnsi="宋体" w:eastAsia="宋体" w:cs="宋体"/>
          <w:color w:val="auto"/>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4D5116BE">
      <w:pPr>
        <w:pStyle w:val="27"/>
        <w:widowControl/>
        <w:spacing w:before="75" w:beforeAutospacing="0" w:after="75" w:afterAutospacing="0"/>
        <w:rPr>
          <w:color w:val="auto"/>
        </w:rPr>
      </w:pPr>
      <w:r>
        <w:rPr>
          <w:rFonts w:hint="eastAsia" w:ascii="宋体" w:hAnsi="宋体" w:eastAsia="宋体" w:cs="宋体"/>
          <w:color w:val="auto"/>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14:paraId="1C64F639">
      <w:pPr>
        <w:pStyle w:val="27"/>
        <w:widowControl/>
        <w:spacing w:before="75" w:beforeAutospacing="0" w:after="75" w:afterAutospacing="0"/>
        <w:rPr>
          <w:color w:val="auto"/>
        </w:rPr>
      </w:pPr>
      <w:r>
        <w:rPr>
          <w:rFonts w:hint="eastAsia" w:ascii="宋体" w:hAnsi="宋体" w:eastAsia="宋体" w:cs="宋体"/>
          <w:color w:val="auto"/>
        </w:rPr>
        <w:t>17.4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w:t>
      </w:r>
      <w:r>
        <w:rPr>
          <w:rStyle w:val="32"/>
          <w:rFonts w:hint="eastAsia" w:ascii="宋体" w:hAnsi="宋体" w:eastAsia="宋体" w:cs="宋体"/>
          <w:color w:val="auto"/>
        </w:rPr>
        <w:t>“残疾人福利性单位”</w:t>
      </w:r>
      <w:r>
        <w:rPr>
          <w:rFonts w:hint="eastAsia" w:ascii="宋体" w:hAnsi="宋体" w:eastAsia="宋体" w:cs="宋体"/>
          <w:color w:val="auto"/>
        </w:rPr>
        <w:t>）亦可享受前述扶持政策。其中：</w:t>
      </w:r>
    </w:p>
    <w:p w14:paraId="69784377">
      <w:pPr>
        <w:pStyle w:val="27"/>
        <w:widowControl/>
        <w:spacing w:before="75" w:beforeAutospacing="0" w:after="75" w:afterAutospacing="0"/>
        <w:ind w:firstLine="240"/>
        <w:rPr>
          <w:color w:val="auto"/>
        </w:rPr>
      </w:pPr>
      <w:r>
        <w:rPr>
          <w:rFonts w:hint="eastAsia" w:ascii="宋体" w:hAnsi="宋体" w:eastAsia="宋体" w:cs="宋体"/>
          <w:color w:val="auto"/>
        </w:rPr>
        <w:t>（1）中小企业指符合下列条件的中型、小型、微型企业：</w:t>
      </w:r>
    </w:p>
    <w:p w14:paraId="34D0506B">
      <w:pPr>
        <w:pStyle w:val="27"/>
        <w:widowControl/>
        <w:spacing w:before="75" w:beforeAutospacing="0" w:after="75" w:afterAutospacing="0"/>
        <w:ind w:firstLine="480"/>
        <w:rPr>
          <w:color w:val="auto"/>
        </w:rPr>
      </w:pPr>
      <w:r>
        <w:rPr>
          <w:rFonts w:hint="eastAsia" w:ascii="宋体" w:hAnsi="宋体" w:eastAsia="宋体" w:cs="宋体"/>
          <w:color w:val="auto"/>
        </w:rPr>
        <w:t>①符合《工业和信息化部、国家统计局、国家发展和改革委员会、财政部关于印发中小企业划型标准规定的通知》（工信部联企业</w:t>
      </w:r>
      <w:r>
        <w:rPr>
          <w:rFonts w:ascii="Calibri" w:hAnsi="Calibri" w:cs="Calibri"/>
          <w:color w:val="auto"/>
        </w:rPr>
        <w:t>[2011]300</w:t>
      </w:r>
      <w:r>
        <w:rPr>
          <w:rFonts w:hint="eastAsia" w:ascii="宋体" w:hAnsi="宋体" w:eastAsia="宋体" w:cs="宋体"/>
          <w:color w:val="auto"/>
        </w:rPr>
        <w:t>号）规定的划分标准，但与大企业的负责人为同一人，或者与大企业存在直接控股、管理关系的除外；；</w:t>
      </w:r>
    </w:p>
    <w:p w14:paraId="0C8592D0">
      <w:pPr>
        <w:pStyle w:val="27"/>
        <w:widowControl/>
        <w:spacing w:before="75" w:beforeAutospacing="0" w:after="75" w:afterAutospacing="0"/>
        <w:ind w:firstLine="480"/>
        <w:rPr>
          <w:color w:val="auto"/>
        </w:rPr>
      </w:pPr>
      <w:r>
        <w:rPr>
          <w:rFonts w:hint="eastAsia" w:ascii="宋体" w:hAnsi="宋体" w:eastAsia="宋体" w:cs="宋体"/>
          <w:color w:val="auto"/>
        </w:rPr>
        <w:t>②符合中小企业划分标准的个体工商户，在政府采购活动中视同中小企业。</w:t>
      </w:r>
    </w:p>
    <w:p w14:paraId="0BBA31D0">
      <w:pPr>
        <w:pStyle w:val="27"/>
        <w:widowControl/>
        <w:spacing w:before="75" w:beforeAutospacing="0" w:after="75" w:afterAutospacing="0"/>
        <w:ind w:firstLine="240"/>
        <w:rPr>
          <w:color w:val="auto"/>
        </w:rPr>
      </w:pPr>
      <w:r>
        <w:rPr>
          <w:rFonts w:hint="eastAsia" w:ascii="宋体" w:hAnsi="宋体" w:eastAsia="宋体" w:cs="宋体"/>
          <w:color w:val="auto"/>
        </w:rPr>
        <w:t>（2）在政府采购活动中，供应商提供的货物、工程或者服务符合下列情形的，享受本办法规定的中小企业扶持政策：</w:t>
      </w:r>
    </w:p>
    <w:p w14:paraId="40A70178">
      <w:pPr>
        <w:pStyle w:val="27"/>
        <w:widowControl/>
        <w:spacing w:before="75" w:beforeAutospacing="0" w:after="75" w:afterAutospacing="0"/>
        <w:ind w:firstLine="480"/>
        <w:rPr>
          <w:color w:val="auto"/>
        </w:rPr>
      </w:pPr>
      <w:r>
        <w:rPr>
          <w:rFonts w:hint="eastAsia" w:ascii="宋体" w:hAnsi="宋体" w:eastAsia="宋体" w:cs="宋体"/>
          <w:color w:val="auto"/>
        </w:rPr>
        <w:t>①在货物采购项目中，货物由中小企业制造，即货物由中小企业生产且使用该中小企业商号或者注册商标；</w:t>
      </w:r>
    </w:p>
    <w:p w14:paraId="5A03EDA7">
      <w:pPr>
        <w:pStyle w:val="27"/>
        <w:widowControl/>
        <w:spacing w:before="75" w:beforeAutospacing="0" w:after="75" w:afterAutospacing="0"/>
        <w:ind w:firstLine="480"/>
        <w:rPr>
          <w:color w:val="auto"/>
        </w:rPr>
      </w:pPr>
      <w:r>
        <w:rPr>
          <w:rFonts w:hint="eastAsia" w:ascii="宋体" w:hAnsi="宋体" w:eastAsia="宋体" w:cs="宋体"/>
          <w:color w:val="auto"/>
        </w:rPr>
        <w:t>②在工程采购项目中，工程由中小企业承建，即工程施工单位为中小企业；</w:t>
      </w:r>
    </w:p>
    <w:p w14:paraId="1AF4B6D3">
      <w:pPr>
        <w:pStyle w:val="27"/>
        <w:widowControl/>
        <w:spacing w:before="75" w:beforeAutospacing="0" w:after="75" w:afterAutospacing="0"/>
        <w:ind w:firstLine="480"/>
        <w:rPr>
          <w:color w:val="auto"/>
        </w:rPr>
      </w:pPr>
      <w:r>
        <w:rPr>
          <w:rFonts w:hint="eastAsia" w:ascii="宋体" w:hAnsi="宋体" w:eastAsia="宋体" w:cs="宋体"/>
          <w:color w:val="auto"/>
        </w:rPr>
        <w:t>③在服务采购项目中，服务由中小企业承接，即提供服务的人员为中小企业依照《中华人民共和国劳动合同法》 订立劳动合同的从业人员。</w:t>
      </w:r>
    </w:p>
    <w:p w14:paraId="5202DA35">
      <w:pPr>
        <w:pStyle w:val="27"/>
        <w:widowControl/>
        <w:spacing w:before="75" w:beforeAutospacing="0" w:after="75" w:afterAutospacing="0"/>
        <w:ind w:firstLine="480"/>
        <w:rPr>
          <w:color w:val="auto"/>
        </w:rPr>
      </w:pPr>
      <w:r>
        <w:rPr>
          <w:rFonts w:hint="eastAsia" w:ascii="宋体" w:hAnsi="宋体" w:eastAsia="宋体" w:cs="宋体"/>
          <w:color w:val="auto"/>
        </w:rPr>
        <w:t>在货物采购项目中，供应商提供的货物既有中小企业制造货物，也有大型企业制造货物的，不享受本办法规定的中小企业扶持政策。</w:t>
      </w:r>
    </w:p>
    <w:p w14:paraId="5D036BEB">
      <w:pPr>
        <w:pStyle w:val="27"/>
        <w:widowControl/>
        <w:spacing w:before="75" w:beforeAutospacing="0" w:after="75" w:afterAutospacing="0"/>
        <w:ind w:firstLine="480"/>
        <w:rPr>
          <w:color w:val="auto"/>
        </w:rPr>
      </w:pPr>
      <w:r>
        <w:rPr>
          <w:rFonts w:hint="eastAsia" w:ascii="宋体" w:hAnsi="宋体" w:eastAsia="宋体" w:cs="宋体"/>
          <w:color w:val="auto"/>
        </w:rPr>
        <w:t>以联合体形式参加政府采购活动，联合体各方均为中小企业的，联合体视同中小企业。其中，联合体各方均为小微企业的，联合体视同小微企业。</w:t>
      </w:r>
    </w:p>
    <w:p w14:paraId="6F10AA7C">
      <w:pPr>
        <w:pStyle w:val="27"/>
        <w:widowControl/>
        <w:spacing w:before="75" w:beforeAutospacing="0" w:after="75" w:afterAutospacing="0"/>
        <w:ind w:firstLine="240"/>
        <w:rPr>
          <w:color w:val="auto"/>
        </w:rPr>
      </w:pPr>
      <w:r>
        <w:rPr>
          <w:rFonts w:hint="eastAsia" w:ascii="宋体" w:hAnsi="宋体" w:eastAsia="宋体" w:cs="宋体"/>
          <w:color w:val="auto"/>
        </w:rPr>
        <w:t>（3）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7A6D38F7">
      <w:pPr>
        <w:pStyle w:val="27"/>
        <w:widowControl/>
        <w:spacing w:before="75" w:beforeAutospacing="0" w:after="75" w:afterAutospacing="0"/>
        <w:ind w:firstLine="480"/>
        <w:rPr>
          <w:color w:val="auto"/>
        </w:rPr>
      </w:pPr>
      <w:r>
        <w:rPr>
          <w:rFonts w:hint="eastAsia" w:ascii="宋体" w:hAnsi="宋体" w:eastAsia="宋体" w:cs="宋体"/>
          <w:color w:val="auto"/>
        </w:rPr>
        <w:t>①监狱企业参加采购活动时，应提供由省级以上监狱管理局、戒毒管理局（含新疆生产建设兵团）出具的属于监狱企业的证明文件。</w:t>
      </w:r>
    </w:p>
    <w:p w14:paraId="7ECF17CC">
      <w:pPr>
        <w:pStyle w:val="27"/>
        <w:widowControl/>
        <w:spacing w:before="75" w:beforeAutospacing="0" w:after="240" w:afterAutospacing="0"/>
        <w:ind w:firstLine="480"/>
        <w:rPr>
          <w:color w:val="auto"/>
        </w:rPr>
      </w:pPr>
      <w:r>
        <w:rPr>
          <w:rFonts w:hint="eastAsia" w:ascii="宋体" w:hAnsi="宋体" w:eastAsia="宋体" w:cs="宋体"/>
          <w:color w:val="auto"/>
        </w:rPr>
        <w:t>②监狱企业视同小型、微型企业。</w:t>
      </w:r>
    </w:p>
    <w:p w14:paraId="43A117A7">
      <w:pPr>
        <w:pStyle w:val="27"/>
        <w:widowControl/>
        <w:spacing w:before="75" w:beforeAutospacing="0" w:after="75" w:afterAutospacing="0"/>
        <w:ind w:firstLine="480"/>
        <w:rPr>
          <w:color w:val="auto"/>
        </w:rPr>
      </w:pPr>
      <w:r>
        <w:rPr>
          <w:rFonts w:hint="eastAsia" w:ascii="宋体" w:hAnsi="宋体" w:eastAsia="宋体" w:cs="宋体"/>
          <w:color w:val="auto"/>
        </w:rPr>
        <w:t>（4）残疾人福利性单位指同时符合下列条件的单位：</w:t>
      </w:r>
    </w:p>
    <w:p w14:paraId="5CB8EA67">
      <w:pPr>
        <w:pStyle w:val="27"/>
        <w:widowControl/>
        <w:spacing w:before="75" w:beforeAutospacing="0" w:after="75" w:afterAutospacing="0"/>
        <w:ind w:firstLine="480"/>
        <w:rPr>
          <w:color w:val="auto"/>
        </w:rPr>
      </w:pPr>
      <w:r>
        <w:rPr>
          <w:rFonts w:hint="eastAsia" w:ascii="宋体" w:hAnsi="宋体" w:eastAsia="宋体" w:cs="宋体"/>
          <w:color w:val="auto"/>
        </w:rPr>
        <w:t>①安置的残疾人占本单位在职职工人数的比例不低于</w:t>
      </w:r>
      <w:r>
        <w:rPr>
          <w:rFonts w:ascii="Calibri" w:hAnsi="Calibri" w:cs="Calibri"/>
          <w:color w:val="auto"/>
        </w:rPr>
        <w:t>25%</w:t>
      </w:r>
      <w:r>
        <w:rPr>
          <w:rFonts w:hint="eastAsia" w:ascii="宋体" w:hAnsi="宋体" w:eastAsia="宋体" w:cs="宋体"/>
          <w:color w:val="auto"/>
        </w:rPr>
        <w:t>（含</w:t>
      </w:r>
      <w:r>
        <w:rPr>
          <w:rFonts w:ascii="Calibri" w:hAnsi="Calibri" w:cs="Calibri"/>
          <w:color w:val="auto"/>
        </w:rPr>
        <w:t>25%</w:t>
      </w:r>
      <w:r>
        <w:rPr>
          <w:rFonts w:hint="eastAsia" w:ascii="宋体" w:hAnsi="宋体" w:eastAsia="宋体" w:cs="宋体"/>
          <w:color w:val="auto"/>
        </w:rPr>
        <w:t>），并且安置的残疾人人数不少于</w:t>
      </w:r>
      <w:r>
        <w:rPr>
          <w:rFonts w:ascii="Calibri" w:hAnsi="Calibri" w:cs="Calibri"/>
          <w:color w:val="auto"/>
        </w:rPr>
        <w:t>10</w:t>
      </w:r>
      <w:r>
        <w:rPr>
          <w:rFonts w:hint="eastAsia" w:ascii="宋体" w:hAnsi="宋体" w:eastAsia="宋体" w:cs="宋体"/>
          <w:color w:val="auto"/>
        </w:rPr>
        <w:t>人（含</w:t>
      </w:r>
      <w:r>
        <w:rPr>
          <w:rFonts w:ascii="Calibri" w:hAnsi="Calibri" w:cs="Calibri"/>
          <w:color w:val="auto"/>
        </w:rPr>
        <w:t>10</w:t>
      </w:r>
      <w:r>
        <w:rPr>
          <w:rFonts w:hint="eastAsia" w:ascii="宋体" w:hAnsi="宋体" w:eastAsia="宋体" w:cs="宋体"/>
          <w:color w:val="auto"/>
        </w:rPr>
        <w:t>人）；</w:t>
      </w:r>
    </w:p>
    <w:p w14:paraId="06D57702">
      <w:pPr>
        <w:pStyle w:val="27"/>
        <w:widowControl/>
        <w:spacing w:before="75" w:beforeAutospacing="0" w:after="75" w:afterAutospacing="0"/>
        <w:ind w:firstLine="480"/>
        <w:rPr>
          <w:color w:val="auto"/>
        </w:rPr>
      </w:pPr>
      <w:r>
        <w:rPr>
          <w:rFonts w:hint="eastAsia" w:ascii="宋体" w:hAnsi="宋体" w:eastAsia="宋体" w:cs="宋体"/>
          <w:color w:val="auto"/>
        </w:rPr>
        <w:t>②依法与安置的每位残疾人签订了一年以上（含一年）的劳动合同或服务协议；</w:t>
      </w:r>
    </w:p>
    <w:p w14:paraId="2FC0677D">
      <w:pPr>
        <w:pStyle w:val="27"/>
        <w:widowControl/>
        <w:spacing w:before="75" w:beforeAutospacing="0" w:after="75" w:afterAutospacing="0"/>
        <w:ind w:firstLine="480"/>
        <w:rPr>
          <w:color w:val="auto"/>
        </w:rPr>
      </w:pPr>
      <w:r>
        <w:rPr>
          <w:rFonts w:hint="eastAsia" w:ascii="宋体" w:hAnsi="宋体" w:eastAsia="宋体" w:cs="宋体"/>
          <w:color w:val="auto"/>
        </w:rPr>
        <w:t>③为安置的每位残疾人按月足额缴纳了基本养老保险、基本医疗保险、失业保险、工伤保险和生育保险等社会保险费；</w:t>
      </w:r>
    </w:p>
    <w:p w14:paraId="01F3FB41">
      <w:pPr>
        <w:pStyle w:val="27"/>
        <w:widowControl/>
        <w:spacing w:before="75" w:beforeAutospacing="0" w:after="75" w:afterAutospacing="0"/>
        <w:ind w:firstLine="480"/>
        <w:rPr>
          <w:color w:val="auto"/>
        </w:rPr>
      </w:pPr>
      <w:r>
        <w:rPr>
          <w:rFonts w:hint="eastAsia" w:ascii="宋体" w:hAnsi="宋体" w:eastAsia="宋体" w:cs="宋体"/>
          <w:color w:val="auto"/>
        </w:rPr>
        <w:t>④通过银行等金融机构向安置的每位残疾人，按月支付了不低于单位所在区县适用的经省级人民政府批准的月最低工资标准的工资；</w:t>
      </w:r>
    </w:p>
    <w:p w14:paraId="245748C9">
      <w:pPr>
        <w:pStyle w:val="27"/>
        <w:widowControl/>
        <w:spacing w:before="75" w:beforeAutospacing="0" w:after="75" w:afterAutospacing="0"/>
        <w:ind w:firstLine="480"/>
        <w:rPr>
          <w:color w:val="auto"/>
        </w:rPr>
      </w:pPr>
      <w:r>
        <w:rPr>
          <w:rFonts w:hint="eastAsia" w:ascii="宋体" w:hAnsi="宋体" w:eastAsia="宋体" w:cs="宋体"/>
          <w:color w:val="auto"/>
        </w:rPr>
        <w:t>⑤提供本单位制造的货物、承担的工程或服务，或提供其他残疾人福利性单位制造的货物（不包括使用非残疾人福利性单位注册商标的货物）。</w:t>
      </w:r>
    </w:p>
    <w:p w14:paraId="1952968A">
      <w:pPr>
        <w:pStyle w:val="27"/>
        <w:widowControl/>
        <w:spacing w:before="75" w:beforeAutospacing="0" w:after="75" w:afterAutospacing="0"/>
        <w:ind w:firstLine="480"/>
        <w:rPr>
          <w:color w:val="auto"/>
        </w:rPr>
      </w:pPr>
      <w:r>
        <w:rPr>
          <w:rFonts w:hint="eastAsia" w:ascii="宋体" w:hAnsi="宋体" w:eastAsia="宋体" w:cs="宋体"/>
          <w:color w:val="auto"/>
        </w:rPr>
        <w:t>前款所称残疾人指法定劳动年龄内，持有《中华人民共和国残疾人证》或《中华人民共和国残疾军人证（1至</w:t>
      </w:r>
      <w:r>
        <w:rPr>
          <w:rFonts w:ascii="Calibri" w:hAnsi="Calibri" w:cs="Calibri"/>
          <w:color w:val="auto"/>
        </w:rPr>
        <w:t>8</w:t>
      </w:r>
      <w:r>
        <w:rPr>
          <w:rFonts w:hint="eastAsia" w:ascii="宋体" w:hAnsi="宋体" w:eastAsia="宋体" w:cs="宋体"/>
          <w:color w:val="auto"/>
        </w:rPr>
        <w:t>级）》的自然人，包括具有劳动条件和劳动意愿的精神残疾人。在职职工人数是指与残疾人福利性单位建立劳动关系并依法签订劳动合同或服务协议的雇员人数。</w:t>
      </w:r>
    </w:p>
    <w:p w14:paraId="21729733">
      <w:pPr>
        <w:pStyle w:val="27"/>
        <w:widowControl/>
        <w:spacing w:before="75" w:beforeAutospacing="0" w:after="75" w:afterAutospacing="0"/>
        <w:ind w:firstLine="480"/>
        <w:rPr>
          <w:color w:val="auto"/>
        </w:rPr>
      </w:pPr>
      <w:r>
        <w:rPr>
          <w:rStyle w:val="32"/>
          <w:rFonts w:hint="eastAsia" w:ascii="宋体" w:hAnsi="宋体" w:eastAsia="宋体" w:cs="宋体"/>
          <w:color w:val="auto"/>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94FE410">
      <w:pPr>
        <w:pStyle w:val="27"/>
        <w:widowControl/>
        <w:spacing w:before="75" w:beforeAutospacing="0" w:after="75" w:afterAutospacing="0"/>
        <w:rPr>
          <w:color w:val="auto"/>
        </w:rPr>
      </w:pPr>
      <w:r>
        <w:rPr>
          <w:rFonts w:hint="eastAsia" w:ascii="宋体" w:hAnsi="宋体" w:eastAsia="宋体" w:cs="宋体"/>
          <w:color w:val="auto"/>
        </w:rPr>
        <w:t>17.5信用记录指由财政部确定的有关网站提供的相关主体信用信息。信用记录的查询及使用应符合财政部文件（财库</w:t>
      </w:r>
      <w:r>
        <w:rPr>
          <w:rFonts w:ascii="Calibri" w:hAnsi="Calibri" w:cs="Calibri"/>
          <w:color w:val="auto"/>
        </w:rPr>
        <w:t>[2016]125</w:t>
      </w:r>
      <w:r>
        <w:rPr>
          <w:rFonts w:hint="eastAsia" w:ascii="宋体" w:hAnsi="宋体" w:eastAsia="宋体" w:cs="宋体"/>
          <w:color w:val="auto"/>
        </w:rPr>
        <w:t>号）规定。</w:t>
      </w:r>
    </w:p>
    <w:p w14:paraId="0FB85699">
      <w:pPr>
        <w:pStyle w:val="27"/>
        <w:widowControl/>
        <w:spacing w:before="75" w:beforeAutospacing="0" w:after="75" w:afterAutospacing="0"/>
        <w:rPr>
          <w:color w:val="auto"/>
        </w:rPr>
      </w:pPr>
      <w:r>
        <w:rPr>
          <w:rFonts w:hint="eastAsia" w:ascii="宋体" w:hAnsi="宋体" w:eastAsia="宋体" w:cs="宋体"/>
          <w:color w:val="auto"/>
        </w:rPr>
        <w:t>17.6为落实政府采购政策需满足的要求：详见招标文件第一章。</w:t>
      </w:r>
    </w:p>
    <w:p w14:paraId="572E3AC6">
      <w:pPr>
        <w:pStyle w:val="27"/>
        <w:widowControl/>
        <w:spacing w:before="75" w:beforeAutospacing="0" w:after="75" w:afterAutospacing="0"/>
        <w:rPr>
          <w:color w:val="auto"/>
        </w:rPr>
      </w:pPr>
      <w:r>
        <w:rPr>
          <w:rFonts w:hint="eastAsia" w:ascii="宋体" w:hAnsi="宋体" w:eastAsia="宋体" w:cs="宋体"/>
          <w:color w:val="auto"/>
        </w:rPr>
        <w:t> </w:t>
      </w:r>
    </w:p>
    <w:p w14:paraId="7CD9FE03">
      <w:pPr>
        <w:pStyle w:val="27"/>
        <w:widowControl/>
        <w:spacing w:before="75" w:beforeAutospacing="0" w:after="75" w:afterAutospacing="0"/>
        <w:jc w:val="center"/>
        <w:rPr>
          <w:color w:val="auto"/>
        </w:rPr>
      </w:pPr>
      <w:r>
        <w:rPr>
          <w:rStyle w:val="32"/>
          <w:rFonts w:hint="eastAsia" w:ascii="宋体" w:hAnsi="宋体" w:eastAsia="宋体" w:cs="宋体"/>
          <w:color w:val="auto"/>
        </w:rPr>
        <w:t>九、本项目的有关信息</w:t>
      </w:r>
    </w:p>
    <w:p w14:paraId="749BD708">
      <w:pPr>
        <w:pStyle w:val="27"/>
        <w:widowControl/>
        <w:spacing w:before="75" w:beforeAutospacing="0" w:after="75" w:afterAutospacing="0"/>
        <w:rPr>
          <w:color w:val="auto"/>
        </w:rPr>
      </w:pPr>
      <w:r>
        <w:rPr>
          <w:rFonts w:hint="eastAsia" w:ascii="宋体" w:hAnsi="宋体" w:eastAsia="宋体" w:cs="宋体"/>
          <w:color w:val="auto"/>
        </w:rPr>
        <w:t>18、本项目的有关信息，包括但不限于：招标公告、更正公告（若有）、招标文件、招标文件的澄清或修改（若有）、中标公告、终止公告（若有）、废标公告（若有）等都将在招标文件载明的指定媒体发布。</w:t>
      </w:r>
    </w:p>
    <w:p w14:paraId="4FF27634">
      <w:pPr>
        <w:pStyle w:val="27"/>
        <w:widowControl/>
        <w:spacing w:before="75" w:beforeAutospacing="0" w:after="75" w:afterAutospacing="0"/>
        <w:rPr>
          <w:color w:val="auto"/>
        </w:rPr>
      </w:pPr>
      <w:r>
        <w:rPr>
          <w:rFonts w:hint="eastAsia" w:ascii="宋体" w:hAnsi="宋体" w:eastAsia="宋体" w:cs="宋体"/>
          <w:color w:val="auto"/>
        </w:rPr>
        <w:t>18.1指定媒体：详见招标文件第二章。</w:t>
      </w:r>
    </w:p>
    <w:p w14:paraId="7B6CD2A0">
      <w:pPr>
        <w:pStyle w:val="27"/>
        <w:widowControl/>
        <w:spacing w:before="75" w:beforeAutospacing="0" w:after="75" w:afterAutospacing="0"/>
        <w:rPr>
          <w:color w:val="auto"/>
        </w:rPr>
      </w:pPr>
      <w:r>
        <w:rPr>
          <w:rFonts w:hint="eastAsia" w:ascii="宋体" w:hAnsi="宋体" w:eastAsia="宋体" w:cs="宋体"/>
          <w:color w:val="auto"/>
        </w:rPr>
        <w:t>18.2本项目的潜在投标人或投标人应随时关注指定媒体，否则产生不利后果由其自行承担。</w:t>
      </w:r>
    </w:p>
    <w:p w14:paraId="08096243">
      <w:pPr>
        <w:pStyle w:val="27"/>
        <w:widowControl/>
        <w:spacing w:before="75" w:beforeAutospacing="0" w:after="75" w:afterAutospacing="0"/>
        <w:rPr>
          <w:color w:val="auto"/>
        </w:rPr>
      </w:pPr>
      <w:r>
        <w:rPr>
          <w:rFonts w:hint="eastAsia" w:ascii="宋体" w:hAnsi="宋体" w:eastAsia="宋体" w:cs="宋体"/>
          <w:color w:val="auto"/>
        </w:rPr>
        <w:t> </w:t>
      </w:r>
    </w:p>
    <w:p w14:paraId="1E3074C8">
      <w:pPr>
        <w:pStyle w:val="27"/>
        <w:widowControl/>
        <w:spacing w:before="75" w:beforeAutospacing="0" w:after="75" w:afterAutospacing="0"/>
        <w:jc w:val="center"/>
        <w:rPr>
          <w:color w:val="auto"/>
        </w:rPr>
      </w:pPr>
      <w:r>
        <w:rPr>
          <w:rStyle w:val="32"/>
          <w:rFonts w:hint="eastAsia" w:ascii="宋体" w:hAnsi="宋体" w:eastAsia="宋体" w:cs="宋体"/>
          <w:color w:val="auto"/>
        </w:rPr>
        <w:t>十、其他事项</w:t>
      </w:r>
    </w:p>
    <w:p w14:paraId="174388CB">
      <w:pPr>
        <w:pStyle w:val="27"/>
        <w:widowControl/>
        <w:spacing w:before="75" w:beforeAutospacing="0" w:after="75" w:afterAutospacing="0"/>
        <w:rPr>
          <w:color w:val="auto"/>
        </w:rPr>
      </w:pPr>
      <w:r>
        <w:rPr>
          <w:rFonts w:hint="eastAsia" w:ascii="宋体" w:hAnsi="宋体" w:eastAsia="宋体" w:cs="宋体"/>
          <w:color w:val="auto"/>
        </w:rPr>
        <w:t>19、其他事项：详见招标文件第二章。</w:t>
      </w:r>
    </w:p>
    <w:p w14:paraId="2A244880">
      <w:pPr>
        <w:pStyle w:val="27"/>
        <w:widowControl/>
        <w:spacing w:before="75" w:beforeAutospacing="0" w:after="75" w:afterAutospacing="0"/>
        <w:jc w:val="center"/>
        <w:rPr>
          <w:color w:val="auto"/>
        </w:rPr>
      </w:pPr>
      <w:r>
        <w:rPr>
          <w:color w:val="auto"/>
        </w:rPr>
        <w:t> </w:t>
      </w:r>
    </w:p>
    <w:p w14:paraId="68D515AB">
      <w:pPr>
        <w:pStyle w:val="27"/>
        <w:widowControl/>
        <w:spacing w:before="75" w:beforeAutospacing="0" w:after="75" w:afterAutospacing="0"/>
        <w:rPr>
          <w:rFonts w:ascii="微软雅黑" w:hAnsi="微软雅黑" w:eastAsia="微软雅黑" w:cs="微软雅黑"/>
          <w:color w:val="auto"/>
          <w:sz w:val="27"/>
          <w:szCs w:val="27"/>
        </w:rPr>
      </w:pPr>
      <w:r>
        <w:rPr>
          <w:rFonts w:hint="eastAsia" w:ascii="微软雅黑" w:hAnsi="微软雅黑" w:eastAsia="微软雅黑" w:cs="微软雅黑"/>
          <w:color w:val="auto"/>
        </w:rPr>
        <w:t> </w:t>
      </w:r>
    </w:p>
    <w:p w14:paraId="4620724A">
      <w:pPr>
        <w:pStyle w:val="27"/>
        <w:widowControl/>
        <w:spacing w:before="75" w:beforeAutospacing="0" w:after="240" w:afterAutospacing="0"/>
        <w:rPr>
          <w:color w:val="auto"/>
        </w:rPr>
      </w:pPr>
      <w:r>
        <w:rPr>
          <w:rFonts w:ascii="Calibri" w:hAnsi="Calibri" w:cs="Calibri"/>
          <w:color w:val="auto"/>
        </w:rPr>
        <w:t> </w:t>
      </w:r>
    </w:p>
    <w:p w14:paraId="462EE95E">
      <w:pPr>
        <w:pStyle w:val="27"/>
        <w:widowControl/>
        <w:spacing w:before="75" w:beforeAutospacing="0" w:after="75" w:afterAutospacing="0"/>
        <w:jc w:val="center"/>
        <w:rPr>
          <w:rStyle w:val="32"/>
          <w:rFonts w:ascii="宋体" w:hAnsi="宋体" w:eastAsia="宋体" w:cs="宋体"/>
          <w:color w:val="auto"/>
          <w:sz w:val="31"/>
          <w:szCs w:val="31"/>
        </w:rPr>
      </w:pPr>
      <w:r>
        <w:rPr>
          <w:rStyle w:val="32"/>
          <w:rFonts w:hint="eastAsia" w:ascii="宋体" w:hAnsi="宋体" w:eastAsia="宋体" w:cs="宋体"/>
          <w:color w:val="auto"/>
          <w:sz w:val="31"/>
          <w:szCs w:val="31"/>
        </w:rPr>
        <w:br w:type="page"/>
      </w:r>
    </w:p>
    <w:p w14:paraId="710B44C6">
      <w:pPr>
        <w:pStyle w:val="27"/>
        <w:widowControl/>
        <w:spacing w:before="75" w:beforeAutospacing="0" w:after="75" w:afterAutospacing="0"/>
        <w:jc w:val="center"/>
        <w:outlineLvl w:val="0"/>
        <w:rPr>
          <w:color w:val="auto"/>
        </w:rPr>
      </w:pPr>
      <w:bookmarkStart w:id="4" w:name="_Toc20750"/>
      <w:r>
        <w:rPr>
          <w:rStyle w:val="32"/>
          <w:rFonts w:hint="eastAsia" w:ascii="宋体" w:hAnsi="宋体" w:eastAsia="宋体" w:cs="宋体"/>
          <w:color w:val="auto"/>
          <w:sz w:val="31"/>
          <w:szCs w:val="31"/>
        </w:rPr>
        <w:t>第四章   资格审查与评标</w:t>
      </w:r>
      <w:bookmarkEnd w:id="4"/>
    </w:p>
    <w:p w14:paraId="1B4FA302">
      <w:pPr>
        <w:pStyle w:val="27"/>
        <w:widowControl/>
        <w:spacing w:before="75" w:beforeAutospacing="0" w:after="75" w:afterAutospacing="0"/>
        <w:rPr>
          <w:color w:val="auto"/>
        </w:rPr>
      </w:pPr>
    </w:p>
    <w:p w14:paraId="30840938">
      <w:pPr>
        <w:pStyle w:val="27"/>
        <w:widowControl/>
        <w:spacing w:before="75" w:beforeAutospacing="0" w:after="75" w:afterAutospacing="0"/>
        <w:jc w:val="center"/>
        <w:rPr>
          <w:color w:val="auto"/>
        </w:rPr>
      </w:pPr>
      <w:r>
        <w:rPr>
          <w:rStyle w:val="32"/>
          <w:rFonts w:hint="eastAsia" w:ascii="宋体" w:hAnsi="宋体" w:eastAsia="宋体" w:cs="宋体"/>
          <w:color w:val="auto"/>
        </w:rPr>
        <w:t>一、资格审查</w:t>
      </w:r>
    </w:p>
    <w:p w14:paraId="04BC6ED5">
      <w:pPr>
        <w:pStyle w:val="27"/>
        <w:widowControl/>
        <w:spacing w:before="75" w:beforeAutospacing="0" w:after="75" w:afterAutospacing="0"/>
        <w:rPr>
          <w:color w:val="auto"/>
        </w:rPr>
      </w:pPr>
      <w:r>
        <w:rPr>
          <w:rFonts w:hint="eastAsia" w:ascii="宋体" w:hAnsi="宋体" w:eastAsia="宋体" w:cs="宋体"/>
          <w:color w:val="auto"/>
        </w:rPr>
        <w:t>1、开标结束后，由</w:t>
      </w:r>
      <w:r>
        <w:rPr>
          <w:rFonts w:hint="eastAsia" w:ascii="宋体" w:hAnsi="宋体" w:eastAsia="宋体" w:cs="宋体"/>
          <w:color w:val="auto"/>
          <w:u w:val="single"/>
        </w:rPr>
        <w:t>福建省招标中心有限责任公司</w:t>
      </w:r>
      <w:r>
        <w:rPr>
          <w:rFonts w:hint="eastAsia" w:ascii="宋体" w:hAnsi="宋体" w:eastAsia="宋体" w:cs="宋体"/>
          <w:color w:val="auto"/>
        </w:rPr>
        <w:t>负责资格审查小组的组建及资格审查工作的组织。</w:t>
      </w:r>
    </w:p>
    <w:p w14:paraId="4C5D78BC">
      <w:pPr>
        <w:pStyle w:val="27"/>
        <w:widowControl/>
        <w:spacing w:before="75" w:beforeAutospacing="0" w:after="75" w:afterAutospacing="0"/>
        <w:rPr>
          <w:color w:val="auto"/>
        </w:rPr>
      </w:pPr>
      <w:r>
        <w:rPr>
          <w:rFonts w:hint="eastAsia" w:ascii="宋体" w:hAnsi="宋体" w:eastAsia="宋体" w:cs="宋体"/>
          <w:color w:val="auto"/>
        </w:rPr>
        <w:t>1.1资格审查小组由</w:t>
      </w:r>
      <w:r>
        <w:rPr>
          <w:rFonts w:ascii="Calibri" w:hAnsi="Calibri" w:cs="Calibri"/>
          <w:color w:val="auto"/>
        </w:rPr>
        <w:t>3</w:t>
      </w:r>
      <w:r>
        <w:rPr>
          <w:rFonts w:hint="eastAsia" w:ascii="宋体" w:hAnsi="宋体" w:eastAsia="宋体" w:cs="宋体"/>
          <w:color w:val="auto"/>
        </w:rPr>
        <w:t>人组成，并负责具体审查事务，其中：由采购人派出的采购人代表至少</w:t>
      </w:r>
      <w:r>
        <w:rPr>
          <w:rFonts w:hint="eastAsia" w:ascii="宋体" w:hAnsi="宋体" w:eastAsia="宋体" w:cs="宋体"/>
          <w:color w:val="auto"/>
          <w:u w:val="single"/>
        </w:rPr>
        <w:t>1</w:t>
      </w:r>
      <w:r>
        <w:rPr>
          <w:rFonts w:hint="eastAsia" w:ascii="宋体" w:hAnsi="宋体" w:eastAsia="宋体" w:cs="宋体"/>
          <w:color w:val="auto"/>
        </w:rPr>
        <w:t>人，由</w:t>
      </w:r>
      <w:r>
        <w:rPr>
          <w:rFonts w:hint="eastAsia" w:ascii="宋体" w:hAnsi="宋体" w:eastAsia="宋体" w:cs="宋体"/>
          <w:color w:val="auto"/>
          <w:u w:val="single"/>
        </w:rPr>
        <w:t>福建省招标中心有限责任公司</w:t>
      </w:r>
      <w:r>
        <w:rPr>
          <w:rFonts w:hint="eastAsia" w:ascii="宋体" w:hAnsi="宋体" w:eastAsia="宋体" w:cs="宋体"/>
          <w:color w:val="auto"/>
        </w:rPr>
        <w:t>派出的工作人员至少</w:t>
      </w:r>
      <w:r>
        <w:rPr>
          <w:rFonts w:hint="eastAsia" w:ascii="宋体" w:hAnsi="宋体" w:eastAsia="宋体" w:cs="宋体"/>
          <w:color w:val="auto"/>
          <w:u w:val="single"/>
        </w:rPr>
        <w:t>1</w:t>
      </w:r>
      <w:r>
        <w:rPr>
          <w:rFonts w:hint="eastAsia" w:ascii="宋体" w:hAnsi="宋体" w:eastAsia="宋体" w:cs="宋体"/>
          <w:color w:val="auto"/>
        </w:rPr>
        <w:t>人，其余</w:t>
      </w:r>
      <w:r>
        <w:rPr>
          <w:rFonts w:hint="eastAsia" w:ascii="宋体" w:hAnsi="宋体" w:eastAsia="宋体" w:cs="宋体"/>
          <w:color w:val="auto"/>
          <w:u w:val="single"/>
        </w:rPr>
        <w:t>1</w:t>
      </w:r>
      <w:r>
        <w:rPr>
          <w:rFonts w:hint="eastAsia" w:ascii="宋体" w:hAnsi="宋体" w:eastAsia="宋体" w:cs="宋体"/>
          <w:color w:val="auto"/>
        </w:rPr>
        <w:t>人可为采购人代表或</w:t>
      </w:r>
      <w:r>
        <w:rPr>
          <w:rFonts w:hint="eastAsia" w:ascii="宋体" w:hAnsi="宋体" w:eastAsia="宋体" w:cs="宋体"/>
          <w:color w:val="auto"/>
          <w:u w:val="single"/>
        </w:rPr>
        <w:t>福建省招标中心有限责任公司</w:t>
      </w:r>
      <w:r>
        <w:rPr>
          <w:rFonts w:hint="eastAsia" w:ascii="宋体" w:hAnsi="宋体" w:eastAsia="宋体" w:cs="宋体"/>
          <w:color w:val="auto"/>
        </w:rPr>
        <w:t>的工作人员。</w:t>
      </w:r>
    </w:p>
    <w:p w14:paraId="053D7D14">
      <w:pPr>
        <w:pStyle w:val="27"/>
        <w:widowControl/>
        <w:spacing w:before="75" w:beforeAutospacing="0" w:after="75" w:afterAutospacing="0"/>
        <w:rPr>
          <w:color w:val="auto"/>
        </w:rPr>
      </w:pPr>
      <w:r>
        <w:rPr>
          <w:rFonts w:hint="eastAsia" w:ascii="宋体" w:hAnsi="宋体" w:eastAsia="宋体" w:cs="宋体"/>
          <w:color w:val="auto"/>
        </w:rPr>
        <w:t>1.2资格审查的依据是招标文件和投标文件。</w:t>
      </w:r>
    </w:p>
    <w:p w14:paraId="60A52B61">
      <w:pPr>
        <w:pStyle w:val="27"/>
        <w:widowControl/>
        <w:spacing w:before="75" w:beforeAutospacing="0" w:after="75" w:afterAutospacing="0"/>
        <w:rPr>
          <w:color w:val="auto"/>
        </w:rPr>
      </w:pPr>
      <w:r>
        <w:rPr>
          <w:rFonts w:hint="eastAsia" w:ascii="宋体" w:hAnsi="宋体" w:eastAsia="宋体" w:cs="宋体"/>
          <w:color w:val="auto"/>
        </w:rPr>
        <w:t>1.3资格审查的范围及内容：投标文件（资格及资信证明部分），具体如下：</w:t>
      </w:r>
    </w:p>
    <w:p w14:paraId="2E40F130">
      <w:pPr>
        <w:pStyle w:val="27"/>
        <w:widowControl/>
        <w:rPr>
          <w:color w:val="auto"/>
        </w:rPr>
      </w:pPr>
      <w:r>
        <w:rPr>
          <w:rFonts w:hint="eastAsia" w:ascii="宋体" w:hAnsi="宋体" w:eastAsia="宋体" w:cs="宋体"/>
          <w:color w:val="auto"/>
        </w:rPr>
        <w:t>  （1）“投标函”；</w:t>
      </w:r>
      <w:r>
        <w:rPr>
          <w:rFonts w:hint="eastAsia" w:ascii="宋体" w:hAnsi="宋体" w:eastAsia="宋体" w:cs="宋体"/>
          <w:color w:val="auto"/>
        </w:rPr>
        <w:br w:type="textWrapping"/>
      </w:r>
      <w:r>
        <w:rPr>
          <w:rFonts w:hint="eastAsia" w:ascii="宋体" w:hAnsi="宋体" w:eastAsia="宋体" w:cs="宋体"/>
          <w:color w:val="auto"/>
        </w:rPr>
        <w:t>  （2）“投标人的资格及资信证明文件”</w:t>
      </w:r>
      <w:r>
        <w:rPr>
          <w:rFonts w:hint="eastAsia" w:ascii="宋体" w:hAnsi="宋体" w:eastAsia="宋体" w:cs="宋体"/>
          <w:color w:val="auto"/>
        </w:rPr>
        <w:br w:type="textWrapping"/>
      </w:r>
      <w:r>
        <w:rPr>
          <w:rFonts w:hint="eastAsia" w:ascii="宋体" w:hAnsi="宋体" w:eastAsia="宋体" w:cs="宋体"/>
          <w:color w:val="auto"/>
        </w:rPr>
        <w:t>   ①一般资格证明文件：</w:t>
      </w:r>
    </w:p>
    <w:tbl>
      <w:tblPr>
        <w:tblStyle w:val="30"/>
        <w:tblW w:w="830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524"/>
        <w:gridCol w:w="6781"/>
      </w:tblGrid>
      <w:tr w14:paraId="0D87B3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524" w:type="dxa"/>
            <w:tcBorders>
              <w:top w:val="outset" w:color="auto" w:sz="6" w:space="0"/>
              <w:left w:val="outset" w:color="auto" w:sz="6" w:space="0"/>
              <w:bottom w:val="outset" w:color="auto" w:sz="6" w:space="0"/>
              <w:right w:val="outset" w:color="auto" w:sz="6" w:space="0"/>
            </w:tcBorders>
            <w:shd w:val="clear" w:color="auto" w:fill="auto"/>
            <w:vAlign w:val="center"/>
          </w:tcPr>
          <w:p w14:paraId="0F7AFCB7">
            <w:pPr>
              <w:widowControl/>
              <w:jc w:val="center"/>
              <w:rPr>
                <w:b/>
                <w:color w:val="auto"/>
              </w:rPr>
            </w:pPr>
            <w:r>
              <w:rPr>
                <w:rFonts w:ascii="宋体" w:hAnsi="宋体" w:eastAsia="宋体" w:cs="宋体"/>
                <w:b/>
                <w:color w:val="auto"/>
                <w:kern w:val="0"/>
                <w:sz w:val="24"/>
                <w:lang w:bidi="ar"/>
              </w:rPr>
              <w:t>明细</w:t>
            </w:r>
          </w:p>
        </w:tc>
        <w:tc>
          <w:tcPr>
            <w:tcW w:w="6781" w:type="dxa"/>
            <w:tcBorders>
              <w:top w:val="outset" w:color="auto" w:sz="6" w:space="0"/>
              <w:left w:val="outset" w:color="auto" w:sz="6" w:space="0"/>
              <w:bottom w:val="outset" w:color="auto" w:sz="6" w:space="0"/>
              <w:right w:val="outset" w:color="auto" w:sz="6" w:space="0"/>
            </w:tcBorders>
            <w:shd w:val="clear" w:color="auto" w:fill="auto"/>
            <w:vAlign w:val="center"/>
          </w:tcPr>
          <w:p w14:paraId="3FC5C39B">
            <w:pPr>
              <w:widowControl/>
              <w:jc w:val="center"/>
              <w:rPr>
                <w:b/>
                <w:color w:val="auto"/>
              </w:rPr>
            </w:pPr>
            <w:r>
              <w:rPr>
                <w:rFonts w:ascii="宋体" w:hAnsi="宋体" w:eastAsia="宋体" w:cs="宋体"/>
                <w:b/>
                <w:color w:val="auto"/>
                <w:kern w:val="0"/>
                <w:sz w:val="24"/>
                <w:lang w:bidi="ar"/>
              </w:rPr>
              <w:t>描述</w:t>
            </w:r>
          </w:p>
        </w:tc>
      </w:tr>
      <w:tr w14:paraId="657F59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524" w:type="dxa"/>
            <w:tcBorders>
              <w:top w:val="outset" w:color="auto" w:sz="6" w:space="0"/>
              <w:left w:val="outset" w:color="auto" w:sz="6" w:space="0"/>
              <w:bottom w:val="outset" w:color="auto" w:sz="6" w:space="0"/>
              <w:right w:val="outset" w:color="auto" w:sz="6" w:space="0"/>
            </w:tcBorders>
            <w:shd w:val="clear" w:color="auto" w:fill="auto"/>
            <w:vAlign w:val="center"/>
          </w:tcPr>
          <w:p w14:paraId="25ACFAA2">
            <w:pPr>
              <w:widowControl/>
              <w:jc w:val="left"/>
              <w:rPr>
                <w:color w:val="auto"/>
              </w:rPr>
            </w:pPr>
            <w:r>
              <w:rPr>
                <w:rFonts w:ascii="宋体" w:hAnsi="宋体" w:eastAsia="宋体" w:cs="宋体"/>
                <w:color w:val="auto"/>
                <w:kern w:val="0"/>
                <w:sz w:val="24"/>
                <w:lang w:bidi="ar"/>
              </w:rPr>
              <w:t>单位负责人授权书（若有）</w:t>
            </w:r>
          </w:p>
        </w:tc>
        <w:tc>
          <w:tcPr>
            <w:tcW w:w="6781" w:type="dxa"/>
            <w:tcBorders>
              <w:top w:val="outset" w:color="auto" w:sz="6" w:space="0"/>
              <w:left w:val="outset" w:color="auto" w:sz="6" w:space="0"/>
              <w:bottom w:val="outset" w:color="auto" w:sz="6" w:space="0"/>
              <w:right w:val="outset" w:color="auto" w:sz="6" w:space="0"/>
            </w:tcBorders>
            <w:shd w:val="clear" w:color="auto" w:fill="auto"/>
            <w:vAlign w:val="center"/>
          </w:tcPr>
          <w:p w14:paraId="716632CD">
            <w:pPr>
              <w:widowControl/>
              <w:jc w:val="left"/>
              <w:rPr>
                <w:color w:val="auto"/>
              </w:rPr>
            </w:pPr>
            <w:r>
              <w:rPr>
                <w:rFonts w:ascii="宋体" w:hAnsi="宋体" w:eastAsia="宋体" w:cs="宋体"/>
                <w:color w:val="auto"/>
                <w:kern w:val="0"/>
                <w:sz w:val="24"/>
                <w:lang w:bidi="ar"/>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5、纸质投标文件正本中的本授权书（若有）应为原件。电子投标文件中的本授权书（若有）应为原件的扫描件。※投标人应按照招标文件第七章规定提供。</w:t>
            </w:r>
          </w:p>
        </w:tc>
      </w:tr>
      <w:tr w14:paraId="0168AA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524" w:type="dxa"/>
            <w:tcBorders>
              <w:top w:val="outset" w:color="auto" w:sz="6" w:space="0"/>
              <w:left w:val="outset" w:color="auto" w:sz="6" w:space="0"/>
              <w:bottom w:val="outset" w:color="auto" w:sz="6" w:space="0"/>
              <w:right w:val="outset" w:color="auto" w:sz="6" w:space="0"/>
            </w:tcBorders>
            <w:shd w:val="clear" w:color="auto" w:fill="auto"/>
            <w:vAlign w:val="center"/>
          </w:tcPr>
          <w:p w14:paraId="78663343">
            <w:pPr>
              <w:widowControl/>
              <w:jc w:val="left"/>
              <w:rPr>
                <w:color w:val="auto"/>
              </w:rPr>
            </w:pPr>
            <w:r>
              <w:rPr>
                <w:rFonts w:ascii="宋体" w:hAnsi="宋体" w:eastAsia="宋体" w:cs="宋体"/>
                <w:color w:val="auto"/>
                <w:kern w:val="0"/>
                <w:sz w:val="24"/>
                <w:lang w:bidi="ar"/>
              </w:rPr>
              <w:t>营业执照等证明文件</w:t>
            </w:r>
          </w:p>
        </w:tc>
        <w:tc>
          <w:tcPr>
            <w:tcW w:w="6781" w:type="dxa"/>
            <w:tcBorders>
              <w:top w:val="outset" w:color="auto" w:sz="6" w:space="0"/>
              <w:left w:val="outset" w:color="auto" w:sz="6" w:space="0"/>
              <w:bottom w:val="outset" w:color="auto" w:sz="6" w:space="0"/>
              <w:right w:val="outset" w:color="auto" w:sz="6" w:space="0"/>
            </w:tcBorders>
            <w:shd w:val="clear" w:color="auto" w:fill="auto"/>
            <w:vAlign w:val="center"/>
          </w:tcPr>
          <w:p w14:paraId="0FF1BD0C">
            <w:pPr>
              <w:widowControl/>
              <w:jc w:val="left"/>
              <w:rPr>
                <w:color w:val="auto"/>
              </w:rPr>
            </w:pPr>
            <w:r>
              <w:rPr>
                <w:rFonts w:ascii="宋体" w:hAnsi="宋体" w:eastAsia="宋体" w:cs="宋体"/>
                <w:color w:val="auto"/>
                <w:kern w:val="0"/>
                <w:sz w:val="24"/>
                <w:lang w:bidi="ar"/>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七章规定提供。</w:t>
            </w:r>
          </w:p>
        </w:tc>
      </w:tr>
      <w:tr w14:paraId="742AC0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524" w:type="dxa"/>
            <w:tcBorders>
              <w:top w:val="outset" w:color="auto" w:sz="6" w:space="0"/>
              <w:left w:val="outset" w:color="auto" w:sz="6" w:space="0"/>
              <w:bottom w:val="outset" w:color="auto" w:sz="6" w:space="0"/>
              <w:right w:val="outset" w:color="auto" w:sz="6" w:space="0"/>
            </w:tcBorders>
            <w:shd w:val="clear" w:color="auto" w:fill="auto"/>
            <w:vAlign w:val="center"/>
          </w:tcPr>
          <w:p w14:paraId="21F7C507">
            <w:pPr>
              <w:widowControl/>
              <w:jc w:val="left"/>
              <w:rPr>
                <w:color w:val="auto"/>
              </w:rPr>
            </w:pPr>
            <w:r>
              <w:rPr>
                <w:rFonts w:ascii="宋体" w:hAnsi="宋体" w:eastAsia="宋体" w:cs="宋体"/>
                <w:color w:val="auto"/>
                <w:kern w:val="0"/>
                <w:sz w:val="24"/>
                <w:lang w:bidi="ar"/>
              </w:rPr>
              <w:t>财务状况报告（财务报告、或资信证明、或投标担保函）</w:t>
            </w:r>
          </w:p>
        </w:tc>
        <w:tc>
          <w:tcPr>
            <w:tcW w:w="6781" w:type="dxa"/>
            <w:tcBorders>
              <w:top w:val="outset" w:color="auto" w:sz="6" w:space="0"/>
              <w:left w:val="outset" w:color="auto" w:sz="6" w:space="0"/>
              <w:bottom w:val="outset" w:color="auto" w:sz="6" w:space="0"/>
              <w:right w:val="outset" w:color="auto" w:sz="6" w:space="0"/>
            </w:tcBorders>
            <w:shd w:val="clear" w:color="auto" w:fill="auto"/>
            <w:vAlign w:val="center"/>
          </w:tcPr>
          <w:p w14:paraId="2BBA3572">
            <w:pPr>
              <w:widowControl/>
              <w:jc w:val="left"/>
              <w:rPr>
                <w:color w:val="auto"/>
              </w:rPr>
            </w:pPr>
            <w:r>
              <w:rPr>
                <w:rFonts w:ascii="宋体" w:hAnsi="宋体" w:eastAsia="宋体" w:cs="宋体"/>
                <w:color w:val="auto"/>
                <w:kern w:val="0"/>
                <w:sz w:val="24"/>
                <w:lang w:bidi="ar"/>
              </w:rPr>
              <w:t>1、投标人提供的财务报告复印件（成立年限按照投标截止时间推算）应符合下列规定：1.1成立年限满1年及以上的投标人，提供经审计的上一年度的年度财务报告。1.2成立年限满半年但不足1年的投标人，提供该半年度中任一季度的季度财务报告或该半年度的半年度财务报告。※无法按照第1.1、1.2条规定提供财务报告复印件的投标人（包括但不限于：成立年限满1年及以上的投标人、成立年限满半年但不足1年的投标人、成立年限不足半年的投标人），应选择提供资信证明复印件或投标担保函复印件。 2、“财政部门认可的政府采购专业担保机构”应符合《财政部关于开展政府采购信用担保试点工作方案》（财库[2011]124号）的规定。3、投标人提供的相应证明材料复印件均应符合：内容完整、清晰、整洁，并由投标人加盖其单位公章。※投标人应按照招标文件第七章规定提供。</w:t>
            </w:r>
          </w:p>
        </w:tc>
      </w:tr>
      <w:tr w14:paraId="05548E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524" w:type="dxa"/>
            <w:tcBorders>
              <w:top w:val="outset" w:color="auto" w:sz="6" w:space="0"/>
              <w:left w:val="outset" w:color="auto" w:sz="6" w:space="0"/>
              <w:bottom w:val="outset" w:color="auto" w:sz="6" w:space="0"/>
              <w:right w:val="outset" w:color="auto" w:sz="6" w:space="0"/>
            </w:tcBorders>
            <w:shd w:val="clear" w:color="auto" w:fill="auto"/>
            <w:vAlign w:val="center"/>
          </w:tcPr>
          <w:p w14:paraId="4337677C">
            <w:pPr>
              <w:widowControl/>
              <w:jc w:val="left"/>
              <w:rPr>
                <w:color w:val="auto"/>
              </w:rPr>
            </w:pPr>
            <w:r>
              <w:rPr>
                <w:rFonts w:ascii="宋体" w:hAnsi="宋体" w:eastAsia="宋体" w:cs="宋体"/>
                <w:color w:val="auto"/>
                <w:kern w:val="0"/>
                <w:sz w:val="24"/>
                <w:lang w:bidi="ar"/>
              </w:rPr>
              <w:t>依法缴纳税收证明材料</w:t>
            </w:r>
          </w:p>
        </w:tc>
        <w:tc>
          <w:tcPr>
            <w:tcW w:w="6781" w:type="dxa"/>
            <w:tcBorders>
              <w:top w:val="outset" w:color="auto" w:sz="6" w:space="0"/>
              <w:left w:val="outset" w:color="auto" w:sz="6" w:space="0"/>
              <w:bottom w:val="outset" w:color="auto" w:sz="6" w:space="0"/>
              <w:right w:val="outset" w:color="auto" w:sz="6" w:space="0"/>
            </w:tcBorders>
            <w:shd w:val="clear" w:color="auto" w:fill="auto"/>
            <w:vAlign w:val="center"/>
          </w:tcPr>
          <w:p w14:paraId="22252DDD">
            <w:pPr>
              <w:widowControl/>
              <w:jc w:val="left"/>
              <w:rPr>
                <w:color w:val="auto"/>
              </w:rPr>
            </w:pPr>
            <w:r>
              <w:rPr>
                <w:rFonts w:ascii="宋体" w:hAnsi="宋体" w:eastAsia="宋体" w:cs="宋体"/>
                <w:color w:val="auto"/>
                <w:kern w:val="0"/>
                <w:sz w:val="24"/>
                <w:lang w:bidi="ar"/>
              </w:rPr>
              <w:t>1、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且已依法缴纳税收的投标人，提供投标截止时间当月的税收凭据复印件。1.3投标截止时间的当月成立但因税务机关原因导致其尚未依法缴纳税收的投标人，提供依法缴纳税收承诺书原件（格式自拟），该承诺书视同税收凭据。2、“依法缴纳税收证明材料”有欠缴记录的，视为未依法缴纳税收。3、投标人提供的相应证明材料复印件均应符合：内容完整、清晰、整洁，并由投标人加盖其单位公章。※投标人应按照招标文件第七章规定提供。</w:t>
            </w:r>
          </w:p>
        </w:tc>
      </w:tr>
      <w:tr w14:paraId="2508C2B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524" w:type="dxa"/>
            <w:tcBorders>
              <w:top w:val="outset" w:color="auto" w:sz="6" w:space="0"/>
              <w:left w:val="outset" w:color="auto" w:sz="6" w:space="0"/>
              <w:bottom w:val="outset" w:color="auto" w:sz="6" w:space="0"/>
              <w:right w:val="outset" w:color="auto" w:sz="6" w:space="0"/>
            </w:tcBorders>
            <w:shd w:val="clear" w:color="auto" w:fill="auto"/>
            <w:vAlign w:val="center"/>
          </w:tcPr>
          <w:p w14:paraId="2D5C6C49">
            <w:pPr>
              <w:widowControl/>
              <w:jc w:val="left"/>
              <w:rPr>
                <w:color w:val="auto"/>
              </w:rPr>
            </w:pPr>
            <w:r>
              <w:rPr>
                <w:rFonts w:ascii="宋体" w:hAnsi="宋体" w:eastAsia="宋体" w:cs="宋体"/>
                <w:color w:val="auto"/>
                <w:kern w:val="0"/>
                <w:sz w:val="24"/>
                <w:lang w:bidi="ar"/>
              </w:rPr>
              <w:t>依法缴纳社会保障资金证明材料</w:t>
            </w:r>
          </w:p>
        </w:tc>
        <w:tc>
          <w:tcPr>
            <w:tcW w:w="6781" w:type="dxa"/>
            <w:tcBorders>
              <w:top w:val="outset" w:color="auto" w:sz="6" w:space="0"/>
              <w:left w:val="outset" w:color="auto" w:sz="6" w:space="0"/>
              <w:bottom w:val="outset" w:color="auto" w:sz="6" w:space="0"/>
              <w:right w:val="outset" w:color="auto" w:sz="6" w:space="0"/>
            </w:tcBorders>
            <w:shd w:val="clear" w:color="auto" w:fill="auto"/>
            <w:vAlign w:val="center"/>
          </w:tcPr>
          <w:p w14:paraId="5C016B13">
            <w:pPr>
              <w:widowControl/>
              <w:jc w:val="left"/>
              <w:rPr>
                <w:color w:val="auto"/>
              </w:rPr>
            </w:pPr>
            <w:r>
              <w:rPr>
                <w:rFonts w:ascii="宋体" w:hAnsi="宋体" w:eastAsia="宋体" w:cs="宋体"/>
                <w:color w:val="auto"/>
                <w:kern w:val="0"/>
                <w:sz w:val="24"/>
                <w:lang w:bidi="ar"/>
              </w:rPr>
              <w:t>1、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且已依法缴纳社会保障资金的投标人，提供投标截止时间当月的社会保险凭据复印件。1.3投标截止时间的当月成立但因税务机关/社会保障资金管理机关原因导致其尚未依法缴纳社会保障资金的投标人，提供依法缴纳社会保障资金承诺书原件（格式自拟），该承诺书视同社会保险凭据。2、“依法缴纳社会保障资金证明材料”有欠缴记录的，视为未依法缴纳社会保障资金。3、投标人提供的相应证明材料复印件均应符合：内容完整、清晰、整洁，并由投标人加盖其单位公章。※投标人应按照招标文件第七章规定提供。</w:t>
            </w:r>
          </w:p>
        </w:tc>
      </w:tr>
      <w:tr w14:paraId="6A82AF4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524" w:type="dxa"/>
            <w:tcBorders>
              <w:top w:val="outset" w:color="auto" w:sz="6" w:space="0"/>
              <w:left w:val="outset" w:color="auto" w:sz="6" w:space="0"/>
              <w:bottom w:val="outset" w:color="auto" w:sz="6" w:space="0"/>
              <w:right w:val="outset" w:color="auto" w:sz="6" w:space="0"/>
            </w:tcBorders>
            <w:shd w:val="clear" w:color="auto" w:fill="auto"/>
            <w:vAlign w:val="center"/>
          </w:tcPr>
          <w:p w14:paraId="44BC453C">
            <w:pPr>
              <w:widowControl/>
              <w:jc w:val="left"/>
              <w:rPr>
                <w:color w:val="auto"/>
              </w:rPr>
            </w:pPr>
            <w:r>
              <w:rPr>
                <w:rFonts w:ascii="宋体" w:hAnsi="宋体" w:eastAsia="宋体" w:cs="宋体"/>
                <w:color w:val="auto"/>
                <w:kern w:val="0"/>
                <w:sz w:val="24"/>
                <w:lang w:bidi="ar"/>
              </w:rPr>
              <w:t>具备履行合同所必需设备和专业技术能力的声明函（若有）</w:t>
            </w:r>
          </w:p>
        </w:tc>
        <w:tc>
          <w:tcPr>
            <w:tcW w:w="6781" w:type="dxa"/>
            <w:tcBorders>
              <w:top w:val="outset" w:color="auto" w:sz="6" w:space="0"/>
              <w:left w:val="outset" w:color="auto" w:sz="6" w:space="0"/>
              <w:bottom w:val="outset" w:color="auto" w:sz="6" w:space="0"/>
              <w:right w:val="outset" w:color="auto" w:sz="6" w:space="0"/>
            </w:tcBorders>
            <w:shd w:val="clear" w:color="auto" w:fill="auto"/>
            <w:vAlign w:val="center"/>
          </w:tcPr>
          <w:p w14:paraId="7AA6EA90">
            <w:pPr>
              <w:widowControl/>
              <w:jc w:val="left"/>
              <w:rPr>
                <w:color w:val="auto"/>
              </w:rPr>
            </w:pPr>
            <w:r>
              <w:rPr>
                <w:rFonts w:ascii="宋体" w:hAnsi="宋体" w:eastAsia="宋体" w:cs="宋体"/>
                <w:color w:val="auto"/>
                <w:kern w:val="0"/>
                <w:sz w:val="24"/>
                <w:lang w:bidi="ar"/>
              </w:rPr>
              <w:t>1、招标文件未要求投标人提供“具备履行合同所必需的设备和专业技术能力专项证明材料”的，投标人应提供本声明函。2、招标文件要求投标人提供“具备履行合同所必需的设备和专业技术能力专项证明材料”的，投标人可不提供本声明函。3、纸质投标文件正本中的本声明函（若有）应为原件。※投标人应按照招标文件第七章规定提供。</w:t>
            </w:r>
          </w:p>
        </w:tc>
      </w:tr>
      <w:tr w14:paraId="772E084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524" w:type="dxa"/>
            <w:tcBorders>
              <w:top w:val="outset" w:color="auto" w:sz="6" w:space="0"/>
              <w:left w:val="outset" w:color="auto" w:sz="6" w:space="0"/>
              <w:bottom w:val="outset" w:color="auto" w:sz="6" w:space="0"/>
              <w:right w:val="outset" w:color="auto" w:sz="6" w:space="0"/>
            </w:tcBorders>
            <w:shd w:val="clear" w:color="auto" w:fill="auto"/>
            <w:vAlign w:val="center"/>
          </w:tcPr>
          <w:p w14:paraId="2C4CCF7E">
            <w:pPr>
              <w:widowControl/>
              <w:jc w:val="left"/>
              <w:rPr>
                <w:color w:val="auto"/>
              </w:rPr>
            </w:pPr>
            <w:r>
              <w:rPr>
                <w:rFonts w:ascii="宋体" w:hAnsi="宋体" w:eastAsia="宋体" w:cs="宋体"/>
                <w:color w:val="auto"/>
                <w:kern w:val="0"/>
                <w:sz w:val="24"/>
                <w:lang w:bidi="ar"/>
              </w:rPr>
              <w:t>参加采购活动前三年内在经营活动中没有重大违法记录书面声明</w:t>
            </w:r>
          </w:p>
        </w:tc>
        <w:tc>
          <w:tcPr>
            <w:tcW w:w="6781" w:type="dxa"/>
            <w:tcBorders>
              <w:top w:val="outset" w:color="auto" w:sz="6" w:space="0"/>
              <w:left w:val="outset" w:color="auto" w:sz="6" w:space="0"/>
              <w:bottom w:val="outset" w:color="auto" w:sz="6" w:space="0"/>
              <w:right w:val="outset" w:color="auto" w:sz="6" w:space="0"/>
            </w:tcBorders>
            <w:shd w:val="clear" w:color="auto" w:fill="auto"/>
            <w:vAlign w:val="center"/>
          </w:tcPr>
          <w:p w14:paraId="510B7123">
            <w:pPr>
              <w:widowControl/>
              <w:jc w:val="left"/>
              <w:rPr>
                <w:color w:val="auto"/>
              </w:rPr>
            </w:pPr>
            <w:r>
              <w:rPr>
                <w:rFonts w:ascii="宋体" w:hAnsi="宋体" w:eastAsia="宋体" w:cs="宋体"/>
                <w:color w:val="auto"/>
                <w:kern w:val="0"/>
                <w:sz w:val="24"/>
                <w:lang w:bidi="ar"/>
              </w:rPr>
              <w:t>1、“重大违法记录”指投标人因违法经营受到刑事处罚或责令停产停业、吊销许可证或执照、较大数额罚款等行政处罚。2、无法提供有效期内检察机关行贿犯罪档案查询结果告知函的，也应对近三年无行贿犯罪记录进行声明。3、纸质投标文件正本中的本声明应为原件。※投标人应按照招标文件第七章规定提供。</w:t>
            </w:r>
          </w:p>
        </w:tc>
      </w:tr>
      <w:tr w14:paraId="0B6814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524" w:type="dxa"/>
            <w:tcBorders>
              <w:top w:val="outset" w:color="auto" w:sz="6" w:space="0"/>
              <w:left w:val="outset" w:color="auto" w:sz="6" w:space="0"/>
              <w:bottom w:val="outset" w:color="auto" w:sz="6" w:space="0"/>
              <w:right w:val="outset" w:color="auto" w:sz="6" w:space="0"/>
            </w:tcBorders>
            <w:shd w:val="clear" w:color="auto" w:fill="auto"/>
            <w:vAlign w:val="center"/>
          </w:tcPr>
          <w:p w14:paraId="3E6C12A9">
            <w:pPr>
              <w:widowControl/>
              <w:jc w:val="left"/>
              <w:rPr>
                <w:color w:val="auto"/>
              </w:rPr>
            </w:pPr>
            <w:r>
              <w:rPr>
                <w:rFonts w:ascii="宋体" w:hAnsi="宋体" w:eastAsia="宋体" w:cs="宋体"/>
                <w:color w:val="auto"/>
                <w:kern w:val="0"/>
                <w:sz w:val="24"/>
                <w:lang w:bidi="ar"/>
              </w:rPr>
              <w:t>信用记录查询结果</w:t>
            </w:r>
          </w:p>
        </w:tc>
        <w:tc>
          <w:tcPr>
            <w:tcW w:w="6781" w:type="dxa"/>
            <w:tcBorders>
              <w:top w:val="outset" w:color="auto" w:sz="6" w:space="0"/>
              <w:left w:val="outset" w:color="auto" w:sz="6" w:space="0"/>
              <w:bottom w:val="outset" w:color="auto" w:sz="6" w:space="0"/>
              <w:right w:val="outset" w:color="auto" w:sz="6" w:space="0"/>
            </w:tcBorders>
            <w:shd w:val="clear" w:color="auto" w:fill="auto"/>
            <w:vAlign w:val="center"/>
          </w:tcPr>
          <w:p w14:paraId="538E37BE">
            <w:pPr>
              <w:widowControl/>
              <w:jc w:val="left"/>
              <w:rPr>
                <w:color w:val="auto"/>
              </w:rPr>
            </w:pPr>
            <w:r>
              <w:rPr>
                <w:rFonts w:ascii="宋体" w:hAnsi="宋体" w:eastAsia="宋体" w:cs="宋体"/>
                <w:color w:val="auto"/>
                <w:kern w:val="0"/>
                <w:sz w:val="24"/>
                <w:lang w:bidi="ar"/>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投标人应按照招标文件第七章规定提供。</w:t>
            </w:r>
          </w:p>
        </w:tc>
      </w:tr>
      <w:tr w14:paraId="6E5B39D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524" w:type="dxa"/>
            <w:tcBorders>
              <w:top w:val="outset" w:color="auto" w:sz="6" w:space="0"/>
              <w:left w:val="outset" w:color="auto" w:sz="6" w:space="0"/>
              <w:bottom w:val="outset" w:color="auto" w:sz="6" w:space="0"/>
              <w:right w:val="outset" w:color="auto" w:sz="6" w:space="0"/>
            </w:tcBorders>
            <w:shd w:val="clear" w:color="auto" w:fill="auto"/>
            <w:vAlign w:val="center"/>
          </w:tcPr>
          <w:p w14:paraId="19FBBEC9">
            <w:pPr>
              <w:widowControl/>
              <w:jc w:val="left"/>
              <w:rPr>
                <w:color w:val="auto"/>
              </w:rPr>
            </w:pPr>
            <w:r>
              <w:rPr>
                <w:rFonts w:ascii="宋体" w:hAnsi="宋体" w:eastAsia="宋体" w:cs="宋体"/>
                <w:color w:val="auto"/>
                <w:kern w:val="0"/>
                <w:sz w:val="24"/>
                <w:lang w:bidi="ar"/>
              </w:rPr>
              <w:t>中小企业声明函（专门面向中小企业或小型、微型企业适用，若有）</w:t>
            </w:r>
          </w:p>
        </w:tc>
        <w:tc>
          <w:tcPr>
            <w:tcW w:w="6781" w:type="dxa"/>
            <w:tcBorders>
              <w:top w:val="outset" w:color="auto" w:sz="6" w:space="0"/>
              <w:left w:val="outset" w:color="auto" w:sz="6" w:space="0"/>
              <w:bottom w:val="outset" w:color="auto" w:sz="6" w:space="0"/>
              <w:right w:val="outset" w:color="auto" w:sz="6" w:space="0"/>
            </w:tcBorders>
            <w:shd w:val="clear" w:color="auto" w:fill="auto"/>
            <w:vAlign w:val="center"/>
          </w:tcPr>
          <w:p w14:paraId="46A5A1F7">
            <w:pPr>
              <w:widowControl/>
              <w:jc w:val="left"/>
              <w:rPr>
                <w:color w:val="auto"/>
              </w:rPr>
            </w:pPr>
            <w:r>
              <w:rPr>
                <w:rFonts w:ascii="宋体" w:hAnsi="宋体" w:eastAsia="宋体" w:cs="宋体"/>
                <w:color w:val="auto"/>
                <w:kern w:val="0"/>
                <w:sz w:val="24"/>
                <w:lang w:bidi="ar"/>
              </w:rPr>
              <w:t>1、投标人应认真对照《工业和信息化部、国家统计局、国家发展和改革委员会、财政部关于印发中小企业划型标准规定的通知》（工信部联企业[2011]300号）规定的划分标准，并按照《国家统计局关于印发统计上大中小微型企业划分办法的通知》（国统字[2011]75号）规定准确划分企业类型。2、投标人为监狱企业的，可不填写本声明函，根据其提供的由省级以上监狱管理局、戒毒管理局（含新疆生产建设兵团）出具的属于监狱企业的证明文件进行认定，监狱企业视同小型、微型企业。3、投标人为残疾人福利性单位的，可不填写本声明函，根据其提供的《残疾人福利性单位声明函》进行认定，残疾人福利性单位视同小型、微型企业。4、纸质投标文件正本中的本声明函（若有）应为原件。※投标人应按照招标文件第七章规定提供。</w:t>
            </w:r>
          </w:p>
        </w:tc>
      </w:tr>
      <w:tr w14:paraId="0B721AC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524" w:type="dxa"/>
            <w:tcBorders>
              <w:top w:val="outset" w:color="auto" w:sz="6" w:space="0"/>
              <w:left w:val="outset" w:color="auto" w:sz="6" w:space="0"/>
              <w:bottom w:val="outset" w:color="auto" w:sz="6" w:space="0"/>
              <w:right w:val="outset" w:color="auto" w:sz="6" w:space="0"/>
            </w:tcBorders>
            <w:shd w:val="clear" w:color="auto" w:fill="auto"/>
            <w:vAlign w:val="center"/>
          </w:tcPr>
          <w:p w14:paraId="25769894">
            <w:pPr>
              <w:widowControl/>
              <w:jc w:val="left"/>
              <w:rPr>
                <w:color w:val="auto"/>
              </w:rPr>
            </w:pPr>
            <w:r>
              <w:rPr>
                <w:rFonts w:ascii="宋体" w:hAnsi="宋体" w:eastAsia="宋体" w:cs="宋体"/>
                <w:color w:val="auto"/>
                <w:kern w:val="0"/>
                <w:sz w:val="24"/>
                <w:lang w:bidi="ar"/>
              </w:rPr>
              <w:t>联合体协议（若有）</w:t>
            </w:r>
          </w:p>
        </w:tc>
        <w:tc>
          <w:tcPr>
            <w:tcW w:w="6781" w:type="dxa"/>
            <w:tcBorders>
              <w:top w:val="outset" w:color="auto" w:sz="6" w:space="0"/>
              <w:left w:val="outset" w:color="auto" w:sz="6" w:space="0"/>
              <w:bottom w:val="outset" w:color="auto" w:sz="6" w:space="0"/>
              <w:right w:val="outset" w:color="auto" w:sz="6" w:space="0"/>
            </w:tcBorders>
            <w:shd w:val="clear" w:color="auto" w:fill="auto"/>
            <w:vAlign w:val="center"/>
          </w:tcPr>
          <w:p w14:paraId="5C90FE59">
            <w:pPr>
              <w:widowControl/>
              <w:jc w:val="left"/>
              <w:rPr>
                <w:color w:val="auto"/>
              </w:rPr>
            </w:pPr>
            <w:r>
              <w:rPr>
                <w:rFonts w:ascii="宋体" w:hAnsi="宋体" w:eastAsia="宋体" w:cs="宋体"/>
                <w:color w:val="auto"/>
                <w:kern w:val="0"/>
                <w:sz w:val="24"/>
                <w:lang w:bidi="ar"/>
              </w:rPr>
              <w:t>1、招标文件接受联合体投标且投标人为联合体的，投标人应提供本协议；否则无须提供。2、本协议由委托代理人签字或盖章的，应按照招标文件第七章载明的格式提供“单位负责人授权书”。3、纸质投标文件正本中的本协议（若有）应为原件。※投标人应按照招标文件第七章规定提供。</w:t>
            </w:r>
          </w:p>
        </w:tc>
      </w:tr>
      <w:tr w14:paraId="0A43C20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524" w:type="dxa"/>
            <w:tcBorders>
              <w:top w:val="outset" w:color="auto" w:sz="6" w:space="0"/>
              <w:left w:val="outset" w:color="auto" w:sz="6" w:space="0"/>
              <w:bottom w:val="outset" w:color="auto" w:sz="6" w:space="0"/>
              <w:right w:val="outset" w:color="auto" w:sz="6" w:space="0"/>
            </w:tcBorders>
            <w:shd w:val="clear" w:color="auto" w:fill="auto"/>
            <w:vAlign w:val="center"/>
          </w:tcPr>
          <w:p w14:paraId="25C73347">
            <w:pPr>
              <w:widowControl/>
              <w:jc w:val="left"/>
              <w:rPr>
                <w:color w:val="auto"/>
              </w:rPr>
            </w:pPr>
            <w:r>
              <w:rPr>
                <w:rFonts w:ascii="宋体" w:hAnsi="宋体" w:eastAsia="宋体" w:cs="宋体"/>
                <w:color w:val="auto"/>
                <w:kern w:val="0"/>
                <w:sz w:val="24"/>
                <w:lang w:bidi="ar"/>
              </w:rPr>
              <w:t>检察机关行贿犯罪档案查询结果告知函（若有）</w:t>
            </w:r>
          </w:p>
        </w:tc>
        <w:tc>
          <w:tcPr>
            <w:tcW w:w="6781" w:type="dxa"/>
            <w:tcBorders>
              <w:top w:val="outset" w:color="auto" w:sz="6" w:space="0"/>
              <w:left w:val="outset" w:color="auto" w:sz="6" w:space="0"/>
              <w:bottom w:val="outset" w:color="auto" w:sz="6" w:space="0"/>
              <w:right w:val="outset" w:color="auto" w:sz="6" w:space="0"/>
            </w:tcBorders>
            <w:shd w:val="clear" w:color="auto" w:fill="auto"/>
            <w:vAlign w:val="center"/>
          </w:tcPr>
          <w:p w14:paraId="6E626006">
            <w:pPr>
              <w:widowControl/>
              <w:jc w:val="left"/>
              <w:rPr>
                <w:color w:val="auto"/>
              </w:rPr>
            </w:pPr>
            <w:r>
              <w:rPr>
                <w:rFonts w:ascii="宋体" w:hAnsi="宋体" w:eastAsia="宋体" w:cs="宋体"/>
                <w:color w:val="auto"/>
                <w:kern w:val="0"/>
                <w:sz w:val="24"/>
                <w:lang w:bidi="ar"/>
              </w:rPr>
              <w:t>1、未提供行贿犯罪档案查询结果或查询结果表明投标人有行贿犯罪记录的，投标无效。2、无法提供有效期内检察机关行贿犯罪档案查询结果告知函的，也应对近三年无行贿犯罪记录进行声明。3、告知函应在有效期内且内容完整、清晰、整洁，否则投标无效。4、有效期内的告知函复印件（含扫描件）及符合招标文件第七章规定的打印件（或截图），无论内容中是否注明“复印件无效”，均视同有效。5、无法获取有效期内检察机关行贿犯罪档案查询结果告知函的，应在a7《参加采购活动前三年内在经营活动中没有重大违法记录书面声明》中对近三年无行贿犯罪记录进行声明。※投标人应按照招标文件第七章规定提供。</w:t>
            </w:r>
          </w:p>
        </w:tc>
      </w:tr>
    </w:tbl>
    <w:p w14:paraId="3C3E0261">
      <w:pPr>
        <w:widowControl/>
        <w:jc w:val="left"/>
        <w:rPr>
          <w:color w:val="auto"/>
        </w:rPr>
      </w:pPr>
      <w:r>
        <w:rPr>
          <w:rFonts w:ascii="宋体" w:hAnsi="宋体" w:eastAsia="宋体" w:cs="宋体"/>
          <w:color w:val="auto"/>
          <w:kern w:val="0"/>
          <w:sz w:val="24"/>
          <w:lang w:bidi="ar"/>
        </w:rPr>
        <w:br w:type="textWrapping"/>
      </w:r>
      <w:r>
        <w:rPr>
          <w:rFonts w:hint="eastAsia" w:ascii="宋体" w:hAnsi="宋体" w:eastAsia="宋体" w:cs="宋体"/>
          <w:color w:val="auto"/>
          <w:kern w:val="0"/>
          <w:sz w:val="24"/>
          <w:lang w:bidi="ar"/>
        </w:rPr>
        <w:t>   ②.其他资格证明文件：</w:t>
      </w:r>
    </w:p>
    <w:p w14:paraId="2822EA2C">
      <w:pPr>
        <w:pStyle w:val="27"/>
        <w:widowControl/>
        <w:spacing w:before="75" w:beforeAutospacing="0" w:after="75" w:afterAutospacing="0"/>
        <w:ind w:firstLine="480"/>
        <w:rPr>
          <w:color w:val="auto"/>
        </w:rPr>
      </w:pPr>
      <w:r>
        <w:rPr>
          <w:rStyle w:val="32"/>
          <w:color w:val="auto"/>
        </w:rPr>
        <w:t>包：1</w:t>
      </w:r>
    </w:p>
    <w:tbl>
      <w:tblPr>
        <w:tblStyle w:val="30"/>
        <w:tblW w:w="830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544"/>
        <w:gridCol w:w="6761"/>
      </w:tblGrid>
      <w:tr w14:paraId="428AF9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02" w:hRule="atLeast"/>
          <w:tblHeader/>
          <w:tblCellSpacing w:w="0" w:type="dxa"/>
        </w:trPr>
        <w:tc>
          <w:tcPr>
            <w:tcW w:w="1544" w:type="dxa"/>
            <w:tcBorders>
              <w:top w:val="outset" w:color="auto" w:sz="6" w:space="0"/>
              <w:left w:val="outset" w:color="auto" w:sz="6" w:space="0"/>
              <w:bottom w:val="outset" w:color="auto" w:sz="6" w:space="0"/>
              <w:right w:val="outset" w:color="auto" w:sz="6" w:space="0"/>
            </w:tcBorders>
            <w:shd w:val="clear" w:color="auto" w:fill="auto"/>
            <w:vAlign w:val="center"/>
          </w:tcPr>
          <w:p w14:paraId="2583EAC1">
            <w:pPr>
              <w:widowControl/>
              <w:jc w:val="center"/>
              <w:rPr>
                <w:b/>
                <w:color w:val="auto"/>
              </w:rPr>
            </w:pPr>
            <w:r>
              <w:rPr>
                <w:rFonts w:ascii="宋体" w:hAnsi="宋体" w:eastAsia="宋体" w:cs="宋体"/>
                <w:b/>
                <w:color w:val="auto"/>
                <w:kern w:val="0"/>
                <w:sz w:val="24"/>
                <w:lang w:bidi="ar"/>
              </w:rPr>
              <w:t>明细</w:t>
            </w:r>
          </w:p>
        </w:tc>
        <w:tc>
          <w:tcPr>
            <w:tcW w:w="6761" w:type="dxa"/>
            <w:tcBorders>
              <w:top w:val="outset" w:color="auto" w:sz="6" w:space="0"/>
              <w:left w:val="outset" w:color="auto" w:sz="6" w:space="0"/>
              <w:bottom w:val="outset" w:color="auto" w:sz="6" w:space="0"/>
              <w:right w:val="outset" w:color="auto" w:sz="6" w:space="0"/>
            </w:tcBorders>
            <w:shd w:val="clear" w:color="auto" w:fill="auto"/>
            <w:vAlign w:val="center"/>
          </w:tcPr>
          <w:p w14:paraId="77619C0C">
            <w:pPr>
              <w:widowControl/>
              <w:jc w:val="center"/>
              <w:rPr>
                <w:b/>
                <w:color w:val="auto"/>
              </w:rPr>
            </w:pPr>
            <w:r>
              <w:rPr>
                <w:rFonts w:ascii="宋体" w:hAnsi="宋体" w:eastAsia="宋体" w:cs="宋体"/>
                <w:b/>
                <w:color w:val="auto"/>
                <w:kern w:val="0"/>
                <w:sz w:val="24"/>
                <w:lang w:bidi="ar"/>
              </w:rPr>
              <w:t>描述</w:t>
            </w:r>
          </w:p>
        </w:tc>
      </w:tr>
      <w:tr w14:paraId="591B86F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1544" w:type="dxa"/>
            <w:tcBorders>
              <w:top w:val="outset" w:color="auto" w:sz="6" w:space="0"/>
              <w:left w:val="outset" w:color="auto" w:sz="6" w:space="0"/>
              <w:bottom w:val="outset" w:color="auto" w:sz="6" w:space="0"/>
              <w:right w:val="outset" w:color="auto" w:sz="6" w:space="0"/>
            </w:tcBorders>
            <w:shd w:val="clear" w:color="auto" w:fill="auto"/>
            <w:vAlign w:val="center"/>
          </w:tcPr>
          <w:p w14:paraId="48489FB8">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无</w:t>
            </w:r>
          </w:p>
        </w:tc>
        <w:tc>
          <w:tcPr>
            <w:tcW w:w="6761" w:type="dxa"/>
            <w:tcBorders>
              <w:top w:val="outset" w:color="auto" w:sz="6" w:space="0"/>
              <w:left w:val="outset" w:color="auto" w:sz="6" w:space="0"/>
              <w:bottom w:val="outset" w:color="auto" w:sz="6" w:space="0"/>
              <w:right w:val="outset" w:color="auto" w:sz="6" w:space="0"/>
            </w:tcBorders>
            <w:shd w:val="clear" w:color="auto" w:fill="auto"/>
            <w:vAlign w:val="center"/>
          </w:tcPr>
          <w:p w14:paraId="08B92DAC">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无</w:t>
            </w:r>
          </w:p>
        </w:tc>
      </w:tr>
    </w:tbl>
    <w:p w14:paraId="1A3864F4">
      <w:pPr>
        <w:pStyle w:val="27"/>
        <w:widowControl/>
        <w:spacing w:before="75" w:beforeAutospacing="0" w:after="75" w:afterAutospacing="0"/>
        <w:ind w:firstLine="480"/>
        <w:rPr>
          <w:color w:val="auto"/>
        </w:rPr>
      </w:pPr>
      <w:r>
        <w:rPr>
          <w:rStyle w:val="32"/>
          <w:color w:val="auto"/>
        </w:rPr>
        <w:t>包：</w:t>
      </w:r>
      <w:r>
        <w:rPr>
          <w:rStyle w:val="32"/>
          <w:rFonts w:hint="eastAsia"/>
          <w:color w:val="auto"/>
        </w:rPr>
        <w:t>2</w:t>
      </w:r>
    </w:p>
    <w:tbl>
      <w:tblPr>
        <w:tblStyle w:val="30"/>
        <w:tblW w:w="830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544"/>
        <w:gridCol w:w="6761"/>
      </w:tblGrid>
      <w:tr w14:paraId="402916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02" w:hRule="atLeast"/>
          <w:tblHeader/>
          <w:tblCellSpacing w:w="0" w:type="dxa"/>
        </w:trPr>
        <w:tc>
          <w:tcPr>
            <w:tcW w:w="1544" w:type="dxa"/>
            <w:tcBorders>
              <w:top w:val="outset" w:color="auto" w:sz="6" w:space="0"/>
              <w:left w:val="outset" w:color="auto" w:sz="6" w:space="0"/>
              <w:bottom w:val="outset" w:color="auto" w:sz="6" w:space="0"/>
              <w:right w:val="outset" w:color="auto" w:sz="6" w:space="0"/>
            </w:tcBorders>
            <w:shd w:val="clear" w:color="auto" w:fill="auto"/>
            <w:vAlign w:val="center"/>
          </w:tcPr>
          <w:p w14:paraId="4DB9F1BC">
            <w:pPr>
              <w:widowControl/>
              <w:jc w:val="center"/>
              <w:rPr>
                <w:b/>
                <w:color w:val="auto"/>
              </w:rPr>
            </w:pPr>
            <w:r>
              <w:rPr>
                <w:rFonts w:ascii="宋体" w:hAnsi="宋体" w:eastAsia="宋体" w:cs="宋体"/>
                <w:b/>
                <w:color w:val="auto"/>
                <w:kern w:val="0"/>
                <w:sz w:val="24"/>
                <w:lang w:bidi="ar"/>
              </w:rPr>
              <w:t>明细</w:t>
            </w:r>
          </w:p>
        </w:tc>
        <w:tc>
          <w:tcPr>
            <w:tcW w:w="6761" w:type="dxa"/>
            <w:tcBorders>
              <w:top w:val="outset" w:color="auto" w:sz="6" w:space="0"/>
              <w:left w:val="outset" w:color="auto" w:sz="6" w:space="0"/>
              <w:bottom w:val="outset" w:color="auto" w:sz="6" w:space="0"/>
              <w:right w:val="outset" w:color="auto" w:sz="6" w:space="0"/>
            </w:tcBorders>
            <w:shd w:val="clear" w:color="auto" w:fill="auto"/>
            <w:vAlign w:val="center"/>
          </w:tcPr>
          <w:p w14:paraId="30CA10B2">
            <w:pPr>
              <w:widowControl/>
              <w:jc w:val="center"/>
              <w:rPr>
                <w:b/>
                <w:color w:val="auto"/>
              </w:rPr>
            </w:pPr>
            <w:r>
              <w:rPr>
                <w:rFonts w:ascii="宋体" w:hAnsi="宋体" w:eastAsia="宋体" w:cs="宋体"/>
                <w:b/>
                <w:color w:val="auto"/>
                <w:kern w:val="0"/>
                <w:sz w:val="24"/>
                <w:lang w:bidi="ar"/>
              </w:rPr>
              <w:t>描述</w:t>
            </w:r>
          </w:p>
        </w:tc>
      </w:tr>
      <w:tr w14:paraId="5770FE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1544" w:type="dxa"/>
            <w:tcBorders>
              <w:top w:val="outset" w:color="auto" w:sz="6" w:space="0"/>
              <w:left w:val="outset" w:color="auto" w:sz="6" w:space="0"/>
              <w:bottom w:val="outset" w:color="auto" w:sz="6" w:space="0"/>
              <w:right w:val="outset" w:color="auto" w:sz="6" w:space="0"/>
            </w:tcBorders>
            <w:shd w:val="clear" w:color="auto" w:fill="auto"/>
            <w:vAlign w:val="center"/>
          </w:tcPr>
          <w:p w14:paraId="3B6AF270">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无</w:t>
            </w:r>
          </w:p>
        </w:tc>
        <w:tc>
          <w:tcPr>
            <w:tcW w:w="6761" w:type="dxa"/>
            <w:tcBorders>
              <w:top w:val="outset" w:color="auto" w:sz="6" w:space="0"/>
              <w:left w:val="outset" w:color="auto" w:sz="6" w:space="0"/>
              <w:bottom w:val="outset" w:color="auto" w:sz="6" w:space="0"/>
              <w:right w:val="outset" w:color="auto" w:sz="6" w:space="0"/>
            </w:tcBorders>
            <w:shd w:val="clear" w:color="auto" w:fill="auto"/>
            <w:vAlign w:val="center"/>
          </w:tcPr>
          <w:p w14:paraId="48BAF1C0">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无</w:t>
            </w:r>
          </w:p>
        </w:tc>
      </w:tr>
    </w:tbl>
    <w:p w14:paraId="1017A27D">
      <w:pPr>
        <w:widowControl/>
        <w:jc w:val="left"/>
        <w:rPr>
          <w:color w:val="auto"/>
        </w:rPr>
      </w:pPr>
      <w:r>
        <w:rPr>
          <w:rFonts w:ascii="宋体" w:hAnsi="宋体" w:eastAsia="宋体" w:cs="宋体"/>
          <w:color w:val="auto"/>
          <w:kern w:val="0"/>
          <w:sz w:val="24"/>
          <w:lang w:bidi="ar"/>
        </w:rPr>
        <w:br w:type="textWrapping"/>
      </w:r>
      <w:r>
        <w:rPr>
          <w:rFonts w:hint="eastAsia" w:ascii="宋体" w:hAnsi="宋体" w:eastAsia="宋体" w:cs="宋体"/>
          <w:color w:val="auto"/>
          <w:kern w:val="0"/>
          <w:sz w:val="24"/>
          <w:lang w:bidi="ar"/>
        </w:rPr>
        <w:t>  （3）投标保证金。</w:t>
      </w:r>
    </w:p>
    <w:p w14:paraId="68A153A5">
      <w:pPr>
        <w:pStyle w:val="27"/>
        <w:widowControl/>
        <w:spacing w:before="75" w:beforeAutospacing="0" w:after="75" w:afterAutospacing="0"/>
        <w:rPr>
          <w:color w:val="auto"/>
        </w:rPr>
      </w:pPr>
      <w:r>
        <w:rPr>
          <w:rFonts w:hint="eastAsia" w:ascii="宋体" w:hAnsi="宋体" w:eastAsia="宋体" w:cs="宋体"/>
          <w:color w:val="auto"/>
        </w:rPr>
        <w:t>1.4有下列情形之一的，</w:t>
      </w:r>
      <w:r>
        <w:rPr>
          <w:rStyle w:val="32"/>
          <w:rFonts w:hint="eastAsia" w:ascii="宋体" w:hAnsi="宋体" w:eastAsia="宋体" w:cs="宋体"/>
          <w:color w:val="auto"/>
        </w:rPr>
        <w:t>资格审查不合格：</w:t>
      </w:r>
      <w:r>
        <w:rPr>
          <w:rStyle w:val="32"/>
          <w:rFonts w:hint="eastAsia" w:ascii="宋体" w:hAnsi="宋体" w:eastAsia="宋体" w:cs="宋体"/>
          <w:color w:val="auto"/>
        </w:rPr>
        <w:br w:type="textWrapping"/>
      </w:r>
      <w:r>
        <w:rPr>
          <w:rFonts w:hint="eastAsia" w:ascii="宋体" w:hAnsi="宋体" w:eastAsia="宋体" w:cs="宋体"/>
          <w:color w:val="auto"/>
        </w:rPr>
        <w:t>  （1）一般情形：</w:t>
      </w:r>
    </w:p>
    <w:tbl>
      <w:tblPr>
        <w:tblStyle w:val="30"/>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306"/>
      </w:tblGrid>
      <w:tr w14:paraId="5DB47F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735CD15B">
            <w:pPr>
              <w:widowControl/>
              <w:jc w:val="center"/>
              <w:rPr>
                <w:b/>
                <w:color w:val="auto"/>
              </w:rPr>
            </w:pPr>
            <w:r>
              <w:rPr>
                <w:rFonts w:ascii="宋体" w:hAnsi="宋体" w:eastAsia="宋体" w:cs="宋体"/>
                <w:b/>
                <w:color w:val="auto"/>
                <w:kern w:val="0"/>
                <w:sz w:val="24"/>
                <w:lang w:bidi="ar"/>
              </w:rPr>
              <w:t>明细</w:t>
            </w:r>
          </w:p>
        </w:tc>
      </w:tr>
      <w:tr w14:paraId="3B4B56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4AEABF0B">
            <w:pPr>
              <w:widowControl/>
              <w:jc w:val="left"/>
              <w:rPr>
                <w:color w:val="auto"/>
              </w:rPr>
            </w:pPr>
            <w:r>
              <w:rPr>
                <w:rFonts w:ascii="宋体" w:hAnsi="宋体" w:eastAsia="宋体" w:cs="宋体"/>
                <w:color w:val="auto"/>
                <w:kern w:val="0"/>
                <w:sz w:val="24"/>
                <w:lang w:bidi="ar"/>
              </w:rPr>
              <w:t>未按照招标文件规定提交投标函</w:t>
            </w:r>
          </w:p>
        </w:tc>
      </w:tr>
      <w:tr w14:paraId="77F616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17984CE1">
            <w:pPr>
              <w:widowControl/>
              <w:jc w:val="left"/>
              <w:rPr>
                <w:color w:val="auto"/>
              </w:rPr>
            </w:pPr>
            <w:r>
              <w:rPr>
                <w:rFonts w:ascii="宋体" w:hAnsi="宋体" w:eastAsia="宋体" w:cs="宋体"/>
                <w:color w:val="auto"/>
                <w:kern w:val="0"/>
                <w:sz w:val="24"/>
                <w:lang w:bidi="ar"/>
              </w:rPr>
              <w:t>未按照招标文件规定提交投标人的资格及资信文件</w:t>
            </w:r>
          </w:p>
        </w:tc>
      </w:tr>
      <w:tr w14:paraId="2320546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3EAEB1E5">
            <w:pPr>
              <w:widowControl/>
              <w:jc w:val="left"/>
              <w:rPr>
                <w:color w:val="auto"/>
              </w:rPr>
            </w:pPr>
            <w:r>
              <w:rPr>
                <w:rFonts w:ascii="宋体" w:hAnsi="宋体" w:eastAsia="宋体" w:cs="宋体"/>
                <w:color w:val="auto"/>
                <w:kern w:val="0"/>
                <w:sz w:val="24"/>
                <w:lang w:bidi="ar"/>
              </w:rPr>
              <w:t>未按照招标文件规定提交投标保证金</w:t>
            </w:r>
          </w:p>
        </w:tc>
      </w:tr>
    </w:tbl>
    <w:p w14:paraId="77DFA55E">
      <w:pPr>
        <w:widowControl/>
        <w:jc w:val="left"/>
        <w:rPr>
          <w:color w:val="auto"/>
        </w:rPr>
      </w:pPr>
      <w:r>
        <w:rPr>
          <w:rFonts w:ascii="宋体" w:hAnsi="宋体" w:eastAsia="宋体" w:cs="宋体"/>
          <w:color w:val="auto"/>
          <w:kern w:val="0"/>
          <w:sz w:val="24"/>
          <w:lang w:bidi="ar"/>
        </w:rPr>
        <w:br w:type="textWrapping"/>
      </w:r>
      <w:r>
        <w:rPr>
          <w:rFonts w:hint="eastAsia" w:ascii="宋体" w:hAnsi="宋体" w:eastAsia="宋体" w:cs="宋体"/>
          <w:color w:val="auto"/>
          <w:kern w:val="0"/>
          <w:sz w:val="24"/>
          <w:lang w:bidi="ar"/>
        </w:rPr>
        <w:t>  （2）本项目规定的其他情形：</w:t>
      </w:r>
    </w:p>
    <w:p w14:paraId="0335C21E">
      <w:pPr>
        <w:pStyle w:val="27"/>
        <w:widowControl/>
        <w:spacing w:beforeAutospacing="0" w:afterAutospacing="0" w:line="300" w:lineRule="exact"/>
        <w:ind w:firstLine="480"/>
        <w:rPr>
          <w:color w:val="auto"/>
        </w:rPr>
      </w:pPr>
      <w:r>
        <w:rPr>
          <w:rStyle w:val="32"/>
          <w:color w:val="auto"/>
        </w:rPr>
        <w:t>包：1</w:t>
      </w:r>
    </w:p>
    <w:tbl>
      <w:tblPr>
        <w:tblStyle w:val="30"/>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306"/>
      </w:tblGrid>
      <w:tr w14:paraId="5978B5B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6B9A3B33">
            <w:pPr>
              <w:widowControl/>
              <w:spacing w:line="300" w:lineRule="exact"/>
              <w:jc w:val="center"/>
              <w:rPr>
                <w:b/>
                <w:color w:val="auto"/>
              </w:rPr>
            </w:pPr>
            <w:r>
              <w:rPr>
                <w:rFonts w:ascii="宋体" w:hAnsi="宋体" w:eastAsia="宋体" w:cs="宋体"/>
                <w:b/>
                <w:color w:val="auto"/>
                <w:kern w:val="0"/>
                <w:sz w:val="24"/>
                <w:lang w:bidi="ar"/>
              </w:rPr>
              <w:t>明细</w:t>
            </w:r>
          </w:p>
        </w:tc>
      </w:tr>
      <w:tr w14:paraId="1B0B4F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2671D267">
            <w:pPr>
              <w:widowControl/>
              <w:spacing w:line="300" w:lineRule="exact"/>
              <w:jc w:val="left"/>
              <w:rPr>
                <w:color w:val="auto"/>
              </w:rPr>
            </w:pPr>
            <w:r>
              <w:rPr>
                <w:rFonts w:hint="eastAsia" w:ascii="宋体" w:hAnsi="宋体" w:eastAsia="宋体" w:cs="宋体"/>
                <w:color w:val="auto"/>
                <w:kern w:val="0"/>
                <w:sz w:val="24"/>
                <w:lang w:bidi="ar"/>
              </w:rPr>
              <w:t>无</w:t>
            </w:r>
          </w:p>
        </w:tc>
      </w:tr>
    </w:tbl>
    <w:p w14:paraId="434E48EE">
      <w:pPr>
        <w:pStyle w:val="27"/>
        <w:widowControl/>
        <w:spacing w:beforeAutospacing="0" w:afterAutospacing="0" w:line="300" w:lineRule="exact"/>
        <w:ind w:firstLine="480"/>
        <w:rPr>
          <w:color w:val="auto"/>
        </w:rPr>
      </w:pPr>
      <w:r>
        <w:rPr>
          <w:rStyle w:val="32"/>
          <w:color w:val="auto"/>
        </w:rPr>
        <w:t>包：</w:t>
      </w:r>
      <w:r>
        <w:rPr>
          <w:rStyle w:val="32"/>
          <w:rFonts w:hint="eastAsia"/>
          <w:color w:val="auto"/>
        </w:rPr>
        <w:t>2</w:t>
      </w:r>
    </w:p>
    <w:tbl>
      <w:tblPr>
        <w:tblStyle w:val="30"/>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306"/>
      </w:tblGrid>
      <w:tr w14:paraId="49CB90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4601D045">
            <w:pPr>
              <w:widowControl/>
              <w:spacing w:line="300" w:lineRule="exact"/>
              <w:jc w:val="center"/>
              <w:rPr>
                <w:b/>
                <w:color w:val="auto"/>
              </w:rPr>
            </w:pPr>
            <w:r>
              <w:rPr>
                <w:rFonts w:ascii="宋体" w:hAnsi="宋体" w:eastAsia="宋体" w:cs="宋体"/>
                <w:b/>
                <w:color w:val="auto"/>
                <w:kern w:val="0"/>
                <w:sz w:val="24"/>
                <w:lang w:bidi="ar"/>
              </w:rPr>
              <w:t>明细</w:t>
            </w:r>
          </w:p>
        </w:tc>
      </w:tr>
      <w:tr w14:paraId="281D4FD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56EC266E">
            <w:pPr>
              <w:widowControl/>
              <w:spacing w:line="300" w:lineRule="exact"/>
              <w:jc w:val="left"/>
              <w:rPr>
                <w:color w:val="auto"/>
              </w:rPr>
            </w:pPr>
            <w:r>
              <w:rPr>
                <w:rFonts w:hint="eastAsia" w:ascii="宋体" w:hAnsi="宋体" w:eastAsia="宋体" w:cs="宋体"/>
                <w:color w:val="auto"/>
                <w:kern w:val="0"/>
                <w:sz w:val="24"/>
                <w:lang w:bidi="ar"/>
              </w:rPr>
              <w:t>无</w:t>
            </w:r>
          </w:p>
        </w:tc>
      </w:tr>
    </w:tbl>
    <w:p w14:paraId="25AEE5B4">
      <w:pPr>
        <w:pStyle w:val="27"/>
        <w:widowControl/>
        <w:spacing w:before="75" w:beforeAutospacing="0" w:after="75" w:afterAutospacing="0"/>
        <w:rPr>
          <w:color w:val="auto"/>
        </w:rPr>
      </w:pPr>
      <w:r>
        <w:rPr>
          <w:rFonts w:hint="eastAsia" w:ascii="宋体" w:hAnsi="宋体" w:eastAsia="宋体" w:cs="宋体"/>
          <w:color w:val="auto"/>
        </w:rPr>
        <w:t>1.5若本项目接受联合体投标且投标人为联合体，联合体中有同类资质的供应商按照联合体分工承担相同工作的，应先按照资质等级较低的供应商确定资质等级，再按照本章第</w:t>
      </w:r>
      <w:r>
        <w:rPr>
          <w:rFonts w:ascii="Calibri" w:hAnsi="Calibri" w:cs="Calibri"/>
          <w:color w:val="auto"/>
        </w:rPr>
        <w:t>1.2</w:t>
      </w:r>
      <w:r>
        <w:rPr>
          <w:rFonts w:hint="eastAsia" w:ascii="宋体" w:hAnsi="宋体" w:eastAsia="宋体" w:cs="宋体"/>
          <w:color w:val="auto"/>
        </w:rPr>
        <w:t>、</w:t>
      </w:r>
      <w:r>
        <w:rPr>
          <w:rFonts w:ascii="Calibri" w:hAnsi="Calibri" w:cs="Calibri"/>
          <w:color w:val="auto"/>
        </w:rPr>
        <w:t>1.3</w:t>
      </w:r>
      <w:r>
        <w:rPr>
          <w:rFonts w:hint="eastAsia" w:ascii="宋体" w:hAnsi="宋体" w:eastAsia="宋体" w:cs="宋体"/>
          <w:color w:val="auto"/>
        </w:rPr>
        <w:t>、</w:t>
      </w:r>
      <w:r>
        <w:rPr>
          <w:rFonts w:ascii="Calibri" w:hAnsi="Calibri" w:cs="Calibri"/>
          <w:color w:val="auto"/>
        </w:rPr>
        <w:t>1.4</w:t>
      </w:r>
      <w:r>
        <w:rPr>
          <w:rFonts w:hint="eastAsia" w:ascii="宋体" w:hAnsi="宋体" w:eastAsia="宋体" w:cs="宋体"/>
          <w:color w:val="auto"/>
        </w:rPr>
        <w:t>条规定进行资格审查。</w:t>
      </w:r>
    </w:p>
    <w:p w14:paraId="7AF5A863">
      <w:pPr>
        <w:pStyle w:val="27"/>
        <w:widowControl/>
        <w:spacing w:before="75" w:beforeAutospacing="0" w:after="75" w:afterAutospacing="0"/>
        <w:rPr>
          <w:color w:val="auto"/>
        </w:rPr>
      </w:pPr>
      <w:r>
        <w:rPr>
          <w:rFonts w:hint="eastAsia" w:ascii="宋体" w:hAnsi="宋体" w:eastAsia="宋体" w:cs="宋体"/>
          <w:color w:val="auto"/>
        </w:rPr>
        <w:t>2、资格审查情况不得私自外泄，有关信息由</w:t>
      </w:r>
      <w:r>
        <w:rPr>
          <w:rFonts w:hint="eastAsia" w:ascii="宋体" w:hAnsi="宋体" w:eastAsia="宋体" w:cs="宋体"/>
          <w:color w:val="auto"/>
          <w:u w:val="single"/>
        </w:rPr>
        <w:t>福建省招标中心有限责任公司</w:t>
      </w:r>
      <w:r>
        <w:rPr>
          <w:rFonts w:hint="eastAsia" w:ascii="宋体" w:hAnsi="宋体" w:eastAsia="宋体" w:cs="宋体"/>
          <w:color w:val="auto"/>
        </w:rPr>
        <w:t>统一对外发布。</w:t>
      </w:r>
    </w:p>
    <w:p w14:paraId="4C6B32A0">
      <w:pPr>
        <w:pStyle w:val="27"/>
        <w:widowControl/>
        <w:spacing w:before="75" w:beforeAutospacing="0" w:after="75" w:afterAutospacing="0"/>
        <w:rPr>
          <w:color w:val="auto"/>
        </w:rPr>
      </w:pPr>
      <w:r>
        <w:rPr>
          <w:rFonts w:hint="eastAsia" w:ascii="宋体" w:hAnsi="宋体" w:eastAsia="宋体" w:cs="宋体"/>
          <w:color w:val="auto"/>
        </w:rPr>
        <w:t>3、资格审查合格的投标人不足三家的，不进行评标。同时，本次采购活动结束，</w:t>
      </w:r>
      <w:r>
        <w:rPr>
          <w:rFonts w:hint="eastAsia" w:ascii="宋体" w:hAnsi="宋体" w:eastAsia="宋体" w:cs="宋体"/>
          <w:color w:val="auto"/>
          <w:u w:val="single"/>
        </w:rPr>
        <w:t>福建省招标中心有限责任公司</w:t>
      </w:r>
      <w:r>
        <w:rPr>
          <w:rFonts w:hint="eastAsia" w:ascii="宋体" w:hAnsi="宋体" w:eastAsia="宋体" w:cs="宋体"/>
          <w:color w:val="auto"/>
        </w:rPr>
        <w:t>将依法组织后续采购活动（包括但不限于：重新招标、采用其他方式采购等）。</w:t>
      </w:r>
    </w:p>
    <w:p w14:paraId="3F1AFB36">
      <w:pPr>
        <w:pStyle w:val="27"/>
        <w:widowControl/>
        <w:spacing w:before="75" w:beforeAutospacing="0" w:after="75" w:afterAutospacing="0"/>
        <w:rPr>
          <w:color w:val="auto"/>
        </w:rPr>
      </w:pPr>
      <w:r>
        <w:rPr>
          <w:color w:val="auto"/>
        </w:rPr>
        <w:t> </w:t>
      </w:r>
    </w:p>
    <w:p w14:paraId="128C6488">
      <w:pPr>
        <w:pStyle w:val="27"/>
        <w:widowControl/>
        <w:spacing w:before="75" w:beforeAutospacing="0" w:after="75" w:afterAutospacing="0"/>
        <w:jc w:val="center"/>
        <w:rPr>
          <w:color w:val="auto"/>
        </w:rPr>
      </w:pPr>
      <w:r>
        <w:rPr>
          <w:rStyle w:val="32"/>
          <w:rFonts w:hint="eastAsia" w:ascii="宋体" w:hAnsi="宋体" w:eastAsia="宋体" w:cs="宋体"/>
          <w:color w:val="auto"/>
        </w:rPr>
        <w:t>二、评标</w:t>
      </w:r>
    </w:p>
    <w:p w14:paraId="591C3550">
      <w:pPr>
        <w:pStyle w:val="27"/>
        <w:widowControl/>
        <w:spacing w:before="75" w:beforeAutospacing="0" w:after="75" w:afterAutospacing="0"/>
        <w:rPr>
          <w:color w:val="auto"/>
        </w:rPr>
      </w:pPr>
      <w:r>
        <w:rPr>
          <w:rFonts w:hint="eastAsia" w:ascii="宋体" w:hAnsi="宋体" w:eastAsia="宋体" w:cs="宋体"/>
          <w:color w:val="auto"/>
        </w:rPr>
        <w:t>4、资格审查结束后，由福建省招标中心有限责任公司负责评标委员会的组建及评标工作的组织。</w:t>
      </w:r>
    </w:p>
    <w:p w14:paraId="40FFF779">
      <w:pPr>
        <w:pStyle w:val="27"/>
        <w:widowControl/>
        <w:spacing w:before="75" w:beforeAutospacing="0" w:after="75" w:afterAutospacing="0"/>
        <w:rPr>
          <w:color w:val="auto"/>
        </w:rPr>
      </w:pPr>
      <w:r>
        <w:rPr>
          <w:rFonts w:hint="eastAsia" w:ascii="宋体" w:hAnsi="宋体" w:eastAsia="宋体" w:cs="宋体"/>
          <w:color w:val="auto"/>
        </w:rPr>
        <w:t>5、评标委员会</w:t>
      </w:r>
    </w:p>
    <w:p w14:paraId="395B6933">
      <w:pPr>
        <w:pStyle w:val="27"/>
        <w:widowControl/>
        <w:spacing w:before="75" w:beforeAutospacing="0" w:after="75" w:afterAutospacing="0"/>
        <w:rPr>
          <w:color w:val="auto"/>
        </w:rPr>
      </w:pPr>
      <w:r>
        <w:rPr>
          <w:rFonts w:hint="eastAsia" w:ascii="宋体" w:hAnsi="宋体" w:eastAsia="宋体" w:cs="宋体"/>
          <w:color w:val="auto"/>
        </w:rPr>
        <w:t>5.1评标委员会由采购人代表和评标专家两部分共</w:t>
      </w:r>
      <w:r>
        <w:rPr>
          <w:rFonts w:hint="eastAsia" w:ascii="宋体" w:hAnsi="宋体" w:eastAsia="宋体" w:cs="宋体"/>
          <w:color w:val="auto"/>
          <w:u w:val="single"/>
        </w:rPr>
        <w:t>7</w:t>
      </w:r>
      <w:r>
        <w:rPr>
          <w:rFonts w:hint="eastAsia" w:ascii="宋体" w:hAnsi="宋体" w:eastAsia="宋体" w:cs="宋体"/>
          <w:color w:val="auto"/>
        </w:rPr>
        <w:t>人（以下简称“评委”）组成，其中：由采购人派出的采购人代表</w:t>
      </w:r>
      <w:r>
        <w:rPr>
          <w:rFonts w:hint="eastAsia" w:ascii="宋体" w:hAnsi="宋体" w:eastAsia="宋体" w:cs="宋体"/>
          <w:color w:val="auto"/>
          <w:u w:val="single"/>
        </w:rPr>
        <w:t>2</w:t>
      </w:r>
      <w:r>
        <w:rPr>
          <w:rFonts w:hint="eastAsia" w:ascii="宋体" w:hAnsi="宋体" w:eastAsia="宋体" w:cs="宋体"/>
          <w:color w:val="auto"/>
        </w:rPr>
        <w:t>人，由福建省政府采购评审专家库产生的评标专家</w:t>
      </w:r>
      <w:r>
        <w:rPr>
          <w:rFonts w:hint="eastAsia" w:ascii="宋体" w:hAnsi="宋体" w:eastAsia="宋体" w:cs="宋体"/>
          <w:color w:val="auto"/>
          <w:u w:val="single"/>
        </w:rPr>
        <w:t>5</w:t>
      </w:r>
      <w:r>
        <w:rPr>
          <w:rFonts w:hint="eastAsia" w:ascii="宋体" w:hAnsi="宋体" w:eastAsia="宋体" w:cs="宋体"/>
          <w:color w:val="auto"/>
        </w:rPr>
        <w:t>人。</w:t>
      </w:r>
    </w:p>
    <w:p w14:paraId="511E9ACF">
      <w:pPr>
        <w:pStyle w:val="27"/>
        <w:widowControl/>
        <w:spacing w:before="75" w:beforeAutospacing="0" w:after="75" w:afterAutospacing="0"/>
        <w:rPr>
          <w:color w:val="auto"/>
        </w:rPr>
      </w:pPr>
      <w:r>
        <w:rPr>
          <w:rFonts w:hint="eastAsia" w:ascii="宋体" w:hAnsi="宋体" w:eastAsia="宋体" w:cs="宋体"/>
          <w:color w:val="auto"/>
        </w:rPr>
        <w:t>5.2评标委员会负责具体评标事务，并按照下列原则依法独立履行有关职责：</w:t>
      </w:r>
    </w:p>
    <w:p w14:paraId="07B22C72">
      <w:pPr>
        <w:pStyle w:val="27"/>
        <w:widowControl/>
        <w:spacing w:before="75" w:beforeAutospacing="0" w:after="75" w:afterAutospacing="0"/>
        <w:ind w:firstLine="480"/>
        <w:rPr>
          <w:color w:val="auto"/>
        </w:rPr>
      </w:pPr>
      <w:r>
        <w:rPr>
          <w:rFonts w:hint="eastAsia" w:ascii="宋体" w:hAnsi="宋体" w:eastAsia="宋体" w:cs="宋体"/>
          <w:color w:val="auto"/>
        </w:rPr>
        <w:t>（1）评标应保护国家利益、社会公共利益和各方当事人合法权益，提高采购效益，保证项目质量。</w:t>
      </w:r>
    </w:p>
    <w:p w14:paraId="6F6ADC30">
      <w:pPr>
        <w:pStyle w:val="27"/>
        <w:widowControl/>
        <w:spacing w:before="75" w:beforeAutospacing="0" w:after="75" w:afterAutospacing="0"/>
        <w:ind w:firstLine="480"/>
        <w:rPr>
          <w:color w:val="auto"/>
        </w:rPr>
      </w:pPr>
      <w:r>
        <w:rPr>
          <w:rFonts w:hint="eastAsia" w:ascii="宋体" w:hAnsi="宋体" w:eastAsia="宋体" w:cs="宋体"/>
          <w:color w:val="auto"/>
        </w:rPr>
        <w:t>（2）评标应遵循公平、公正、科学、严谨和择优原则。</w:t>
      </w:r>
    </w:p>
    <w:p w14:paraId="73B0FA96">
      <w:pPr>
        <w:pStyle w:val="27"/>
        <w:widowControl/>
        <w:spacing w:before="75" w:beforeAutospacing="0" w:after="75" w:afterAutospacing="0"/>
        <w:ind w:firstLine="480"/>
        <w:rPr>
          <w:color w:val="auto"/>
        </w:rPr>
      </w:pPr>
      <w:r>
        <w:rPr>
          <w:rFonts w:hint="eastAsia" w:ascii="宋体" w:hAnsi="宋体" w:eastAsia="宋体" w:cs="宋体"/>
          <w:color w:val="auto"/>
        </w:rPr>
        <w:t>（3）评标的依据是招标文件和投标文件。</w:t>
      </w:r>
    </w:p>
    <w:p w14:paraId="021AEF9E">
      <w:pPr>
        <w:pStyle w:val="27"/>
        <w:widowControl/>
        <w:spacing w:before="75" w:beforeAutospacing="0" w:after="75" w:afterAutospacing="0"/>
        <w:ind w:firstLine="480"/>
        <w:rPr>
          <w:color w:val="auto"/>
        </w:rPr>
      </w:pPr>
      <w:r>
        <w:rPr>
          <w:rFonts w:hint="eastAsia" w:ascii="宋体" w:hAnsi="宋体" w:eastAsia="宋体" w:cs="宋体"/>
          <w:color w:val="auto"/>
        </w:rPr>
        <w:t>（4）应按照招标文件规定推荐中标候选人或确定中标人。</w:t>
      </w:r>
    </w:p>
    <w:p w14:paraId="358A3E82">
      <w:pPr>
        <w:pStyle w:val="27"/>
        <w:widowControl/>
        <w:spacing w:before="75" w:beforeAutospacing="0" w:after="75" w:afterAutospacing="0"/>
        <w:ind w:firstLine="480"/>
        <w:rPr>
          <w:color w:val="auto"/>
        </w:rPr>
      </w:pPr>
      <w:r>
        <w:rPr>
          <w:rFonts w:hint="eastAsia" w:ascii="宋体" w:hAnsi="宋体" w:eastAsia="宋体" w:cs="宋体"/>
          <w:color w:val="auto"/>
        </w:rPr>
        <w:t>（5）评标应遵守下列评标纪律：</w:t>
      </w:r>
    </w:p>
    <w:p w14:paraId="093B3CE9">
      <w:pPr>
        <w:pStyle w:val="27"/>
        <w:widowControl/>
        <w:spacing w:before="75" w:beforeAutospacing="0" w:after="75" w:afterAutospacing="0"/>
        <w:ind w:firstLine="480"/>
        <w:rPr>
          <w:color w:val="auto"/>
        </w:rPr>
      </w:pPr>
      <w:r>
        <w:rPr>
          <w:rFonts w:hint="eastAsia" w:ascii="宋体" w:hAnsi="宋体" w:eastAsia="宋体" w:cs="宋体"/>
          <w:color w:val="auto"/>
        </w:rPr>
        <w:t>①评标情况不得私自外泄，有关信息由</w:t>
      </w:r>
      <w:r>
        <w:rPr>
          <w:rFonts w:hint="eastAsia" w:ascii="宋体" w:hAnsi="宋体" w:eastAsia="宋体" w:cs="宋体"/>
          <w:color w:val="auto"/>
          <w:u w:val="single"/>
        </w:rPr>
        <w:t>福建省招标中心有限责任公司</w:t>
      </w:r>
      <w:r>
        <w:rPr>
          <w:rFonts w:hint="eastAsia" w:ascii="宋体" w:hAnsi="宋体" w:eastAsia="宋体" w:cs="宋体"/>
          <w:color w:val="auto"/>
        </w:rPr>
        <w:t>统一对外发布。</w:t>
      </w:r>
    </w:p>
    <w:p w14:paraId="678D8DB4">
      <w:pPr>
        <w:pStyle w:val="27"/>
        <w:widowControl/>
        <w:spacing w:before="75" w:beforeAutospacing="0" w:after="75" w:afterAutospacing="0"/>
        <w:ind w:firstLine="480"/>
        <w:rPr>
          <w:color w:val="auto"/>
        </w:rPr>
      </w:pPr>
      <w:r>
        <w:rPr>
          <w:rFonts w:hint="eastAsia" w:ascii="宋体" w:hAnsi="宋体" w:eastAsia="宋体" w:cs="宋体"/>
          <w:color w:val="auto"/>
        </w:rPr>
        <w:t>②对</w:t>
      </w:r>
      <w:r>
        <w:rPr>
          <w:rFonts w:hint="eastAsia" w:ascii="宋体" w:hAnsi="宋体" w:eastAsia="宋体" w:cs="宋体"/>
          <w:color w:val="auto"/>
          <w:u w:val="single"/>
        </w:rPr>
        <w:t>福建省招标中心有限责任公司</w:t>
      </w:r>
      <w:r>
        <w:rPr>
          <w:rFonts w:hint="eastAsia" w:ascii="宋体" w:hAnsi="宋体" w:eastAsia="宋体" w:cs="宋体"/>
          <w:color w:val="auto"/>
        </w:rPr>
        <w:t>或投标人提供的要求保密的资料，不得摘记翻印和外传。</w:t>
      </w:r>
    </w:p>
    <w:p w14:paraId="6BA50843">
      <w:pPr>
        <w:pStyle w:val="27"/>
        <w:widowControl/>
        <w:spacing w:before="75" w:beforeAutospacing="0" w:after="75" w:afterAutospacing="0"/>
        <w:ind w:firstLine="480"/>
        <w:rPr>
          <w:color w:val="auto"/>
        </w:rPr>
      </w:pPr>
      <w:r>
        <w:rPr>
          <w:rFonts w:hint="eastAsia" w:ascii="宋体" w:hAnsi="宋体" w:eastAsia="宋体" w:cs="宋体"/>
          <w:color w:val="auto"/>
        </w:rPr>
        <w:t>③不得收受投标人或有关人员的任何礼物，不得串联鼓动其他人袒护某投标人。若与投标人存在利害关系，则应主动声明并回避。</w:t>
      </w:r>
    </w:p>
    <w:p w14:paraId="758BAF26">
      <w:pPr>
        <w:pStyle w:val="27"/>
        <w:widowControl/>
        <w:spacing w:before="75" w:beforeAutospacing="0" w:after="75" w:afterAutospacing="0"/>
        <w:ind w:firstLine="480"/>
        <w:rPr>
          <w:color w:val="auto"/>
        </w:rPr>
      </w:pPr>
      <w:r>
        <w:rPr>
          <w:rFonts w:hint="eastAsia" w:ascii="宋体" w:hAnsi="宋体" w:eastAsia="宋体" w:cs="宋体"/>
          <w:color w:val="auto"/>
        </w:rPr>
        <w:t>④全体评委应按照招标文件规定进行评标，一切认定事项应查有实据且不得弄虚作假。</w:t>
      </w:r>
    </w:p>
    <w:p w14:paraId="1DE75D23">
      <w:pPr>
        <w:pStyle w:val="27"/>
        <w:widowControl/>
        <w:spacing w:before="75" w:beforeAutospacing="0" w:after="75" w:afterAutospacing="0"/>
        <w:ind w:firstLine="480"/>
        <w:rPr>
          <w:color w:val="auto"/>
        </w:rPr>
      </w:pPr>
      <w:r>
        <w:rPr>
          <w:rFonts w:hint="eastAsia" w:ascii="宋体" w:hAnsi="宋体" w:eastAsia="宋体" w:cs="宋体"/>
          <w:color w:val="auto"/>
        </w:rPr>
        <w:t>⑤评标中应充分发扬民主，推荐中标候选人或确定中标人后要服从评标报告。</w:t>
      </w:r>
    </w:p>
    <w:p w14:paraId="0B63AA96">
      <w:pPr>
        <w:pStyle w:val="27"/>
        <w:widowControl/>
        <w:spacing w:before="75" w:beforeAutospacing="0" w:after="75" w:afterAutospacing="0"/>
        <w:ind w:firstLine="480"/>
        <w:rPr>
          <w:color w:val="auto"/>
        </w:rPr>
      </w:pPr>
      <w:r>
        <w:rPr>
          <w:rStyle w:val="32"/>
          <w:rFonts w:hint="eastAsia" w:ascii="宋体" w:hAnsi="宋体" w:eastAsia="宋体" w:cs="宋体"/>
          <w:color w:val="auto"/>
        </w:rPr>
        <w:t>※对违反评标纪律的评委，将取消其评委资格，对评标工作造成严重损失者将予以通报批评乃至追究法律责任。</w:t>
      </w:r>
    </w:p>
    <w:p w14:paraId="4D7374DE">
      <w:pPr>
        <w:pStyle w:val="27"/>
        <w:widowControl/>
        <w:spacing w:before="75" w:beforeAutospacing="0" w:after="75" w:afterAutospacing="0"/>
        <w:rPr>
          <w:color w:val="auto"/>
        </w:rPr>
      </w:pPr>
      <w:r>
        <w:rPr>
          <w:rFonts w:hint="eastAsia" w:ascii="宋体" w:hAnsi="宋体" w:eastAsia="宋体" w:cs="宋体"/>
          <w:color w:val="auto"/>
        </w:rPr>
        <w:t>6、评标程序</w:t>
      </w:r>
    </w:p>
    <w:p w14:paraId="1CDF43EA">
      <w:pPr>
        <w:pStyle w:val="27"/>
        <w:widowControl/>
        <w:spacing w:before="75" w:beforeAutospacing="0" w:after="75" w:afterAutospacing="0"/>
        <w:rPr>
          <w:color w:val="auto"/>
        </w:rPr>
      </w:pPr>
      <w:r>
        <w:rPr>
          <w:rFonts w:hint="eastAsia" w:ascii="宋体" w:hAnsi="宋体" w:eastAsia="宋体" w:cs="宋体"/>
          <w:color w:val="auto"/>
        </w:rPr>
        <w:t>6.1评标前的准备工作</w:t>
      </w:r>
    </w:p>
    <w:p w14:paraId="1019BF22">
      <w:pPr>
        <w:pStyle w:val="27"/>
        <w:widowControl/>
        <w:spacing w:before="75" w:beforeAutospacing="0" w:after="75" w:afterAutospacing="0"/>
        <w:ind w:firstLine="480"/>
        <w:rPr>
          <w:color w:val="auto"/>
        </w:rPr>
      </w:pPr>
      <w:r>
        <w:rPr>
          <w:rFonts w:hint="eastAsia" w:ascii="宋体" w:hAnsi="宋体" w:eastAsia="宋体" w:cs="宋体"/>
          <w:color w:val="auto"/>
        </w:rPr>
        <w:t>（1）全体评委应认真审阅招标文件，了解评委应履行或遵守的职责、义务和评标纪律。</w:t>
      </w:r>
    </w:p>
    <w:p w14:paraId="6C62C753">
      <w:pPr>
        <w:pStyle w:val="27"/>
        <w:widowControl/>
        <w:spacing w:before="75" w:beforeAutospacing="0" w:after="75" w:afterAutospacing="0"/>
        <w:ind w:firstLine="480"/>
        <w:rPr>
          <w:color w:val="auto"/>
        </w:rPr>
      </w:pPr>
      <w:r>
        <w:rPr>
          <w:rFonts w:hint="eastAsia" w:ascii="宋体" w:hAnsi="宋体" w:eastAsia="宋体" w:cs="宋体"/>
          <w:color w:val="auto"/>
        </w:rPr>
        <w:t>（2）参加评标委员会的采购人代表可对本项目的背景和采购需求进行介绍，介绍材料应以书面形式提交（随采购文件一并存档），介绍内容不得含有歧视性、倾向性意见，不得超出招标文件所述范围。</w:t>
      </w:r>
    </w:p>
    <w:p w14:paraId="713A6D26">
      <w:pPr>
        <w:pStyle w:val="27"/>
        <w:widowControl/>
        <w:spacing w:before="75" w:beforeAutospacing="0" w:after="75" w:afterAutospacing="0"/>
        <w:rPr>
          <w:color w:val="auto"/>
        </w:rPr>
      </w:pPr>
      <w:r>
        <w:rPr>
          <w:rFonts w:hint="eastAsia" w:ascii="宋体" w:hAnsi="宋体" w:eastAsia="宋体" w:cs="宋体"/>
          <w:color w:val="auto"/>
        </w:rPr>
        <w:t>6.2符合性审查</w:t>
      </w:r>
    </w:p>
    <w:p w14:paraId="66271F59">
      <w:pPr>
        <w:pStyle w:val="27"/>
        <w:widowControl/>
        <w:spacing w:before="75" w:beforeAutospacing="0" w:after="75" w:afterAutospacing="0"/>
        <w:ind w:firstLine="480"/>
        <w:rPr>
          <w:color w:val="auto"/>
        </w:rPr>
      </w:pPr>
      <w:r>
        <w:rPr>
          <w:rFonts w:hint="eastAsia" w:ascii="宋体" w:hAnsi="宋体" w:eastAsia="宋体" w:cs="宋体"/>
          <w:color w:val="auto"/>
        </w:rPr>
        <w:t>（1）评标委员会依据招标文件的实质性要求，对通过资格审查的投标文件进行符合性审查，以确定其是否满足招标文件的实质性要求。</w:t>
      </w:r>
    </w:p>
    <w:p w14:paraId="7129F173">
      <w:pPr>
        <w:pStyle w:val="27"/>
        <w:widowControl/>
        <w:spacing w:before="75" w:beforeAutospacing="0" w:after="75" w:afterAutospacing="0"/>
        <w:ind w:firstLine="480"/>
        <w:rPr>
          <w:color w:val="auto"/>
        </w:rPr>
      </w:pPr>
      <w:r>
        <w:rPr>
          <w:rFonts w:hint="eastAsia" w:ascii="宋体" w:hAnsi="宋体" w:eastAsia="宋体" w:cs="宋体"/>
          <w:color w:val="auto"/>
        </w:rPr>
        <w:t>（2）满足招标文件的实质性要求指投标文件对招标文件实质性要求的响应不存在重大偏差或保留。</w:t>
      </w:r>
    </w:p>
    <w:p w14:paraId="226DFA37">
      <w:pPr>
        <w:pStyle w:val="27"/>
        <w:widowControl/>
        <w:spacing w:before="75" w:beforeAutospacing="0" w:after="75" w:afterAutospacing="0"/>
        <w:ind w:firstLine="480"/>
        <w:rPr>
          <w:color w:val="auto"/>
        </w:rPr>
      </w:pPr>
      <w:r>
        <w:rPr>
          <w:rFonts w:hint="eastAsia" w:ascii="宋体" w:hAnsi="宋体" w:eastAsia="宋体" w:cs="宋体"/>
          <w:color w:val="auto"/>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68003495">
      <w:pPr>
        <w:pStyle w:val="27"/>
        <w:widowControl/>
        <w:spacing w:before="75" w:beforeAutospacing="0" w:after="75" w:afterAutospacing="0"/>
        <w:ind w:firstLine="480"/>
        <w:rPr>
          <w:color w:val="auto"/>
        </w:rPr>
      </w:pPr>
      <w:r>
        <w:rPr>
          <w:rFonts w:hint="eastAsia" w:ascii="宋体" w:hAnsi="宋体" w:eastAsia="宋体" w:cs="宋体"/>
          <w:color w:val="auto"/>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14:paraId="7494FBB3">
      <w:pPr>
        <w:pStyle w:val="27"/>
        <w:widowControl/>
        <w:spacing w:before="75" w:beforeAutospacing="0" w:after="75" w:afterAutospacing="0"/>
        <w:ind w:firstLine="480"/>
        <w:rPr>
          <w:color w:val="auto"/>
        </w:rPr>
      </w:pPr>
      <w:r>
        <w:rPr>
          <w:rFonts w:hint="eastAsia" w:ascii="宋体" w:hAnsi="宋体" w:eastAsia="宋体" w:cs="宋体"/>
          <w:color w:val="auto"/>
        </w:rPr>
        <w:t>（5）评标委员会对所有投标人都执行相同的程序和标准。</w:t>
      </w:r>
    </w:p>
    <w:p w14:paraId="01B5C65A">
      <w:pPr>
        <w:pStyle w:val="27"/>
        <w:widowControl/>
        <w:spacing w:before="75" w:beforeAutospacing="0" w:after="75" w:afterAutospacing="0"/>
        <w:ind w:firstLine="480"/>
        <w:rPr>
          <w:color w:val="auto"/>
        </w:rPr>
      </w:pPr>
      <w:r>
        <w:rPr>
          <w:rFonts w:hint="eastAsia" w:ascii="宋体" w:hAnsi="宋体" w:eastAsia="宋体" w:cs="宋体"/>
          <w:color w:val="auto"/>
        </w:rPr>
        <w:t>（6）有下列情形之一的，</w:t>
      </w:r>
      <w:r>
        <w:rPr>
          <w:rStyle w:val="32"/>
          <w:rFonts w:hint="eastAsia" w:ascii="宋体" w:hAnsi="宋体" w:eastAsia="宋体" w:cs="宋体"/>
          <w:color w:val="auto"/>
        </w:rPr>
        <w:t>符合性审查不合格：</w:t>
      </w:r>
    </w:p>
    <w:p w14:paraId="342663F5">
      <w:pPr>
        <w:pStyle w:val="27"/>
        <w:widowControl/>
        <w:spacing w:before="75" w:beforeAutospacing="0" w:after="75" w:afterAutospacing="0"/>
        <w:ind w:firstLine="480"/>
        <w:rPr>
          <w:color w:val="auto"/>
        </w:rPr>
      </w:pPr>
      <w:r>
        <w:rPr>
          <w:rFonts w:hint="eastAsia" w:ascii="宋体" w:hAnsi="宋体" w:eastAsia="宋体" w:cs="宋体"/>
          <w:color w:val="auto"/>
        </w:rPr>
        <w:t>①项目一般情形：</w:t>
      </w:r>
    </w:p>
    <w:tbl>
      <w:tblPr>
        <w:tblStyle w:val="30"/>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306"/>
      </w:tblGrid>
      <w:tr w14:paraId="0F44650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2B42F1B9">
            <w:pPr>
              <w:widowControl/>
              <w:jc w:val="center"/>
              <w:rPr>
                <w:b/>
                <w:color w:val="auto"/>
              </w:rPr>
            </w:pPr>
            <w:r>
              <w:rPr>
                <w:rFonts w:ascii="宋体" w:hAnsi="宋体" w:eastAsia="宋体" w:cs="宋体"/>
                <w:b/>
                <w:color w:val="auto"/>
                <w:kern w:val="0"/>
                <w:sz w:val="24"/>
                <w:lang w:bidi="ar"/>
              </w:rPr>
              <w:t>明细</w:t>
            </w:r>
          </w:p>
        </w:tc>
      </w:tr>
      <w:tr w14:paraId="479E90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65401C8D">
            <w:pPr>
              <w:widowControl/>
              <w:jc w:val="left"/>
              <w:rPr>
                <w:color w:val="auto"/>
              </w:rPr>
            </w:pPr>
            <w:r>
              <w:rPr>
                <w:rFonts w:ascii="宋体" w:hAnsi="宋体" w:eastAsia="宋体" w:cs="宋体"/>
                <w:color w:val="auto"/>
                <w:kern w:val="0"/>
                <w:sz w:val="24"/>
                <w:lang w:bidi="ar"/>
              </w:rPr>
              <w:t>违反招标文件中载明“投标无效”条款的规定；</w:t>
            </w:r>
          </w:p>
        </w:tc>
      </w:tr>
      <w:tr w14:paraId="7A02A79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621BA198">
            <w:pPr>
              <w:widowControl/>
              <w:jc w:val="left"/>
              <w:rPr>
                <w:color w:val="auto"/>
              </w:rPr>
            </w:pPr>
            <w:r>
              <w:rPr>
                <w:rFonts w:ascii="宋体" w:hAnsi="宋体" w:eastAsia="宋体" w:cs="宋体"/>
                <w:color w:val="auto"/>
                <w:kern w:val="0"/>
                <w:sz w:val="24"/>
                <w:lang w:bidi="ar"/>
              </w:rPr>
              <w:t>属于招标文件第三章第10.12条规定的投标无效情形；</w:t>
            </w:r>
          </w:p>
        </w:tc>
      </w:tr>
      <w:tr w14:paraId="3E4F9A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46C302A3">
            <w:pPr>
              <w:widowControl/>
              <w:jc w:val="left"/>
              <w:rPr>
                <w:color w:val="auto"/>
              </w:rPr>
            </w:pPr>
            <w:r>
              <w:rPr>
                <w:rFonts w:ascii="宋体" w:hAnsi="宋体" w:eastAsia="宋体" w:cs="宋体"/>
                <w:color w:val="auto"/>
                <w:kern w:val="0"/>
                <w:sz w:val="24"/>
                <w:lang w:bidi="ar"/>
              </w:rPr>
              <w:t>投标文件对招标文件实质性要求的响应存在重大偏离或保留。</w:t>
            </w:r>
          </w:p>
        </w:tc>
      </w:tr>
    </w:tbl>
    <w:p w14:paraId="0F71CEBE">
      <w:pPr>
        <w:pStyle w:val="27"/>
        <w:widowControl/>
        <w:spacing w:before="75" w:beforeAutospacing="0" w:after="75" w:afterAutospacing="0"/>
        <w:ind w:firstLine="480"/>
        <w:rPr>
          <w:color w:val="auto"/>
        </w:rPr>
      </w:pPr>
      <w:r>
        <w:rPr>
          <w:rFonts w:hint="eastAsia" w:ascii="宋体" w:hAnsi="宋体" w:eastAsia="宋体" w:cs="宋体"/>
          <w:color w:val="auto"/>
        </w:rPr>
        <w:t>②本项目规定的其他情形：</w:t>
      </w:r>
      <w:r>
        <w:rPr>
          <w:rFonts w:hint="eastAsia" w:ascii="宋体" w:hAnsi="宋体" w:eastAsia="宋体" w:cs="宋体"/>
          <w:color w:val="auto"/>
        </w:rPr>
        <w:br w:type="textWrapping"/>
      </w:r>
      <w:r>
        <w:rPr>
          <w:rFonts w:hint="eastAsia" w:ascii="宋体" w:hAnsi="宋体" w:eastAsia="宋体" w:cs="宋体"/>
          <w:b/>
          <w:bCs/>
          <w:color w:val="auto"/>
        </w:rPr>
        <w:t>包：1 </w:t>
      </w:r>
      <w:r>
        <w:rPr>
          <w:rFonts w:hint="eastAsia" w:ascii="宋体" w:hAnsi="宋体" w:eastAsia="宋体" w:cs="宋体"/>
          <w:b/>
          <w:bCs/>
          <w:color w:val="auto"/>
        </w:rPr>
        <w:br w:type="textWrapping"/>
      </w:r>
      <w:r>
        <w:rPr>
          <w:rFonts w:hint="eastAsia" w:ascii="宋体" w:hAnsi="宋体" w:eastAsia="宋体" w:cs="宋体"/>
          <w:color w:val="auto"/>
        </w:rPr>
        <w:t>包一般情形</w:t>
      </w:r>
    </w:p>
    <w:tbl>
      <w:tblPr>
        <w:tblStyle w:val="30"/>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306"/>
      </w:tblGrid>
      <w:tr w14:paraId="353E0AB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5354CD2F">
            <w:pPr>
              <w:widowControl/>
              <w:jc w:val="center"/>
              <w:rPr>
                <w:b/>
                <w:color w:val="auto"/>
              </w:rPr>
            </w:pPr>
            <w:r>
              <w:rPr>
                <w:rFonts w:ascii="宋体" w:hAnsi="宋体" w:eastAsia="宋体" w:cs="宋体"/>
                <w:b/>
                <w:color w:val="auto"/>
                <w:kern w:val="0"/>
                <w:sz w:val="24"/>
                <w:lang w:bidi="ar"/>
              </w:rPr>
              <w:t>明细</w:t>
            </w:r>
          </w:p>
        </w:tc>
      </w:tr>
      <w:tr w14:paraId="09C88B9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1E857552">
            <w:pPr>
              <w:widowControl/>
              <w:jc w:val="left"/>
              <w:rPr>
                <w:color w:val="auto"/>
              </w:rPr>
            </w:pPr>
            <w:r>
              <w:rPr>
                <w:rFonts w:ascii="宋体" w:hAnsi="宋体" w:eastAsia="宋体" w:cs="宋体"/>
                <w:color w:val="auto"/>
                <w:kern w:val="0"/>
                <w:sz w:val="24"/>
                <w:lang w:bidi="ar"/>
              </w:rPr>
              <w:t>投标人投标文件中的资格及资信证明部分不得出现全部或部分的投标报价信息（或组成资料），否则资格审查不合格。</w:t>
            </w:r>
          </w:p>
        </w:tc>
      </w:tr>
    </w:tbl>
    <w:p w14:paraId="0744FE46">
      <w:pPr>
        <w:widowControl/>
        <w:jc w:val="left"/>
        <w:rPr>
          <w:color w:val="auto"/>
        </w:rPr>
      </w:pPr>
      <w:r>
        <w:rPr>
          <w:rFonts w:ascii="宋体" w:hAnsi="宋体" w:eastAsia="宋体" w:cs="宋体"/>
          <w:color w:val="auto"/>
          <w:kern w:val="0"/>
          <w:sz w:val="24"/>
          <w:lang w:bidi="ar"/>
        </w:rPr>
        <w:br w:type="textWrapping"/>
      </w:r>
      <w:r>
        <w:rPr>
          <w:rFonts w:ascii="宋体" w:hAnsi="宋体" w:eastAsia="宋体" w:cs="宋体"/>
          <w:color w:val="auto"/>
          <w:kern w:val="0"/>
          <w:sz w:val="24"/>
          <w:lang w:bidi="ar"/>
        </w:rPr>
        <w:t>技术符合性</w:t>
      </w:r>
    </w:p>
    <w:tbl>
      <w:tblPr>
        <w:tblStyle w:val="30"/>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306"/>
      </w:tblGrid>
      <w:tr w14:paraId="08F8B8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40A4CB5A">
            <w:pPr>
              <w:widowControl/>
              <w:jc w:val="center"/>
              <w:rPr>
                <w:b/>
                <w:color w:val="auto"/>
              </w:rPr>
            </w:pPr>
            <w:r>
              <w:rPr>
                <w:rFonts w:ascii="宋体" w:hAnsi="宋体" w:eastAsia="宋体" w:cs="宋体"/>
                <w:b/>
                <w:color w:val="auto"/>
                <w:kern w:val="0"/>
                <w:sz w:val="24"/>
                <w:lang w:bidi="ar"/>
              </w:rPr>
              <w:t>明细</w:t>
            </w:r>
          </w:p>
        </w:tc>
      </w:tr>
      <w:tr w14:paraId="02DB6A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2F6FA7F5">
            <w:pPr>
              <w:widowControl/>
              <w:jc w:val="left"/>
              <w:rPr>
                <w:color w:val="auto"/>
              </w:rPr>
            </w:pPr>
            <w:r>
              <w:rPr>
                <w:rFonts w:ascii="宋体" w:hAnsi="宋体" w:eastAsia="宋体" w:cs="宋体"/>
                <w:color w:val="auto"/>
                <w:kern w:val="0"/>
                <w:sz w:val="24"/>
                <w:lang w:bidi="ar"/>
              </w:rPr>
              <w:t>按闽财购〔2010〕28号文件规定，若投标人的技术部分实际得分少于招标文件设定的技术部分总分50%，即视为技术部分未实质性响应招标文件要求，其投标无效。</w:t>
            </w:r>
          </w:p>
        </w:tc>
      </w:tr>
      <w:tr w14:paraId="25E2780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4A2611BD">
            <w:pPr>
              <w:widowControl/>
              <w:jc w:val="left"/>
              <w:rPr>
                <w:color w:val="auto"/>
              </w:rPr>
            </w:pPr>
            <w:r>
              <w:rPr>
                <w:rFonts w:ascii="宋体" w:hAnsi="宋体" w:eastAsia="宋体" w:cs="宋体"/>
                <w:color w:val="auto"/>
                <w:sz w:val="24"/>
              </w:rPr>
              <w:t>技术部分中不得出现报价部分的全部或部分的投标报价信息（或组成资料），否则符合性审查不合格。</w:t>
            </w:r>
          </w:p>
        </w:tc>
      </w:tr>
      <w:tr w14:paraId="710D8B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7304E0F8">
            <w:pPr>
              <w:widowControl/>
              <w:jc w:val="left"/>
              <w:rPr>
                <w:color w:val="auto"/>
              </w:rPr>
            </w:pPr>
            <w:r>
              <w:rPr>
                <w:rFonts w:ascii="宋体" w:hAnsi="宋体" w:eastAsia="宋体" w:cs="宋体"/>
                <w:color w:val="auto"/>
                <w:kern w:val="0"/>
                <w:sz w:val="24"/>
                <w:lang w:bidi="ar"/>
              </w:rPr>
              <w:t>招标文件第五章“</w:t>
            </w:r>
            <w:r>
              <w:rPr>
                <w:rFonts w:hint="eastAsia" w:ascii="宋体" w:hAnsi="宋体" w:eastAsia="宋体" w:cs="宋体"/>
                <w:color w:val="auto"/>
                <w:kern w:val="0"/>
                <w:sz w:val="24"/>
                <w:lang w:bidi="ar"/>
              </w:rPr>
              <w:t>二、技术和服务要求</w:t>
            </w:r>
            <w:r>
              <w:rPr>
                <w:rFonts w:ascii="宋体" w:hAnsi="宋体" w:eastAsia="宋体" w:cs="宋体"/>
                <w:color w:val="auto"/>
                <w:kern w:val="0"/>
                <w:sz w:val="24"/>
                <w:lang w:bidi="ar"/>
              </w:rPr>
              <w:t>”</w:t>
            </w:r>
            <w:r>
              <w:rPr>
                <w:rFonts w:hint="eastAsia" w:ascii="宋体" w:hAnsi="宋体" w:eastAsia="宋体" w:cs="宋体"/>
                <w:color w:val="auto"/>
                <w:kern w:val="0"/>
                <w:sz w:val="24"/>
                <w:lang w:bidi="ar"/>
              </w:rPr>
              <w:t>以“★”标示的内容为不允许负偏离的实质性要求，如投标文件</w:t>
            </w:r>
            <w:r>
              <w:rPr>
                <w:rFonts w:ascii="宋体" w:hAnsi="宋体" w:eastAsia="宋体" w:cs="宋体"/>
                <w:color w:val="auto"/>
                <w:kern w:val="0"/>
                <w:sz w:val="24"/>
                <w:lang w:bidi="ar"/>
              </w:rPr>
              <w:t>内容</w:t>
            </w:r>
            <w:r>
              <w:rPr>
                <w:rFonts w:hint="eastAsia" w:ascii="宋体" w:hAnsi="宋体" w:eastAsia="宋体" w:cs="宋体"/>
                <w:color w:val="auto"/>
                <w:kern w:val="0"/>
                <w:sz w:val="24"/>
                <w:lang w:bidi="ar"/>
              </w:rPr>
              <w:t>有</w:t>
            </w:r>
            <w:r>
              <w:rPr>
                <w:rFonts w:ascii="宋体" w:hAnsi="宋体" w:eastAsia="宋体" w:cs="宋体"/>
                <w:color w:val="auto"/>
                <w:kern w:val="0"/>
                <w:sz w:val="24"/>
                <w:lang w:bidi="ar"/>
              </w:rPr>
              <w:t>负偏离的，其投标无效。</w:t>
            </w:r>
          </w:p>
        </w:tc>
      </w:tr>
      <w:tr w14:paraId="6683992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1442B41D">
            <w:pPr>
              <w:widowControl/>
              <w:jc w:val="left"/>
              <w:rPr>
                <w:color w:val="auto"/>
              </w:rPr>
            </w:pPr>
            <w:r>
              <w:rPr>
                <w:rFonts w:ascii="宋体" w:hAnsi="宋体" w:eastAsia="宋体" w:cs="宋体"/>
                <w:color w:val="auto"/>
                <w:sz w:val="24"/>
              </w:rPr>
              <w:t>不符合采购文件中规定的其它实质性要求的条款。</w:t>
            </w:r>
          </w:p>
        </w:tc>
      </w:tr>
    </w:tbl>
    <w:p w14:paraId="44B29FB5">
      <w:pPr>
        <w:widowControl/>
        <w:jc w:val="left"/>
        <w:rPr>
          <w:color w:val="auto"/>
        </w:rPr>
      </w:pPr>
      <w:r>
        <w:rPr>
          <w:rFonts w:ascii="宋体" w:hAnsi="宋体" w:eastAsia="宋体" w:cs="宋体"/>
          <w:color w:val="auto"/>
          <w:kern w:val="0"/>
          <w:sz w:val="24"/>
          <w:lang w:bidi="ar"/>
        </w:rPr>
        <w:br w:type="textWrapping"/>
      </w:r>
      <w:r>
        <w:rPr>
          <w:rFonts w:ascii="宋体" w:hAnsi="宋体" w:eastAsia="宋体" w:cs="宋体"/>
          <w:color w:val="auto"/>
          <w:kern w:val="0"/>
          <w:sz w:val="24"/>
          <w:lang w:bidi="ar"/>
        </w:rPr>
        <w:t>商务符合性</w:t>
      </w:r>
    </w:p>
    <w:tbl>
      <w:tblPr>
        <w:tblStyle w:val="30"/>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306"/>
      </w:tblGrid>
      <w:tr w14:paraId="14BC045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173706AF">
            <w:pPr>
              <w:widowControl/>
              <w:jc w:val="center"/>
              <w:rPr>
                <w:b/>
                <w:color w:val="auto"/>
              </w:rPr>
            </w:pPr>
            <w:r>
              <w:rPr>
                <w:rFonts w:ascii="宋体" w:hAnsi="宋体" w:eastAsia="宋体" w:cs="宋体"/>
                <w:b/>
                <w:color w:val="auto"/>
                <w:kern w:val="0"/>
                <w:sz w:val="24"/>
                <w:lang w:bidi="ar"/>
              </w:rPr>
              <w:t>明细</w:t>
            </w:r>
          </w:p>
        </w:tc>
      </w:tr>
      <w:tr w14:paraId="1BEE5A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15452B4C">
            <w:pPr>
              <w:widowControl/>
              <w:jc w:val="left"/>
              <w:rPr>
                <w:rFonts w:ascii="宋体" w:hAnsi="宋体" w:eastAsia="宋体" w:cs="宋体"/>
                <w:color w:val="auto"/>
                <w:sz w:val="24"/>
              </w:rPr>
            </w:pPr>
            <w:r>
              <w:rPr>
                <w:rFonts w:ascii="宋体" w:hAnsi="宋体" w:eastAsia="宋体" w:cs="宋体"/>
                <w:color w:val="auto"/>
                <w:kern w:val="0"/>
                <w:sz w:val="24"/>
                <w:lang w:bidi="ar"/>
              </w:rPr>
              <w:t>招标文件第五章</w:t>
            </w:r>
            <w:r>
              <w:rPr>
                <w:rFonts w:hint="eastAsia" w:ascii="宋体" w:hAnsi="宋体" w:eastAsia="宋体" w:cs="宋体"/>
                <w:color w:val="auto"/>
                <w:kern w:val="0"/>
                <w:sz w:val="24"/>
                <w:lang w:bidi="ar"/>
              </w:rPr>
              <w:t>“三、商务条件”均为不允许负偏离的实质性要求，如投标文件</w:t>
            </w:r>
            <w:r>
              <w:rPr>
                <w:rFonts w:ascii="宋体" w:hAnsi="宋体" w:eastAsia="宋体" w:cs="宋体"/>
                <w:color w:val="auto"/>
                <w:kern w:val="0"/>
                <w:sz w:val="24"/>
                <w:lang w:bidi="ar"/>
              </w:rPr>
              <w:t>内容</w:t>
            </w:r>
            <w:r>
              <w:rPr>
                <w:rFonts w:hint="eastAsia" w:ascii="宋体" w:hAnsi="宋体" w:eastAsia="宋体" w:cs="宋体"/>
                <w:color w:val="auto"/>
                <w:kern w:val="0"/>
                <w:sz w:val="24"/>
                <w:lang w:bidi="ar"/>
              </w:rPr>
              <w:t>有</w:t>
            </w:r>
            <w:r>
              <w:rPr>
                <w:rFonts w:ascii="宋体" w:hAnsi="宋体" w:eastAsia="宋体" w:cs="宋体"/>
                <w:color w:val="auto"/>
                <w:kern w:val="0"/>
                <w:sz w:val="24"/>
                <w:lang w:bidi="ar"/>
              </w:rPr>
              <w:t>负偏离的，其投标无效。</w:t>
            </w:r>
          </w:p>
        </w:tc>
      </w:tr>
      <w:tr w14:paraId="657695F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72705983">
            <w:pPr>
              <w:widowControl/>
              <w:jc w:val="left"/>
              <w:rPr>
                <w:color w:val="auto"/>
              </w:rPr>
            </w:pPr>
            <w:r>
              <w:rPr>
                <w:rFonts w:ascii="宋体" w:hAnsi="宋体" w:eastAsia="宋体" w:cs="宋体"/>
                <w:color w:val="auto"/>
                <w:sz w:val="24"/>
              </w:rPr>
              <w:t>商务部分中不得出现报价部分的全部或部分的投标报价信息（或组成资料），否则符合性审查不合格。</w:t>
            </w:r>
          </w:p>
        </w:tc>
      </w:tr>
      <w:tr w14:paraId="385FD1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4CB89C6F">
            <w:pPr>
              <w:widowControl/>
              <w:jc w:val="left"/>
              <w:rPr>
                <w:rFonts w:eastAsia="宋体"/>
                <w:color w:val="auto"/>
              </w:rPr>
            </w:pPr>
            <w:r>
              <w:rPr>
                <w:rFonts w:ascii="宋体" w:hAnsi="宋体" w:eastAsia="宋体" w:cs="宋体"/>
                <w:color w:val="auto"/>
                <w:sz w:val="24"/>
              </w:rPr>
              <w:t>不符合采购文件中规定的其它实质性要求的条款。</w:t>
            </w:r>
          </w:p>
        </w:tc>
      </w:tr>
    </w:tbl>
    <w:p w14:paraId="6BE85A24">
      <w:pPr>
        <w:widowControl/>
        <w:jc w:val="left"/>
        <w:rPr>
          <w:rFonts w:ascii="宋体" w:hAnsi="宋体" w:eastAsia="宋体" w:cs="宋体"/>
          <w:color w:val="auto"/>
          <w:kern w:val="0"/>
          <w:sz w:val="24"/>
          <w:lang w:bidi="ar"/>
        </w:rPr>
      </w:pPr>
      <w:r>
        <w:rPr>
          <w:rFonts w:ascii="宋体" w:hAnsi="宋体" w:eastAsia="宋体" w:cs="宋体"/>
          <w:color w:val="auto"/>
          <w:kern w:val="0"/>
          <w:sz w:val="24"/>
          <w:lang w:bidi="ar"/>
        </w:rPr>
        <w:br w:type="textWrapping"/>
      </w:r>
      <w:r>
        <w:rPr>
          <w:rFonts w:ascii="宋体" w:hAnsi="宋体" w:eastAsia="宋体" w:cs="宋体"/>
          <w:color w:val="auto"/>
          <w:kern w:val="0"/>
          <w:sz w:val="24"/>
          <w:lang w:bidi="ar"/>
        </w:rPr>
        <w:t>附加符合性</w:t>
      </w:r>
      <w:r>
        <w:rPr>
          <w:rFonts w:ascii="宋体" w:hAnsi="宋体" w:eastAsia="宋体" w:cs="宋体"/>
          <w:color w:val="auto"/>
          <w:kern w:val="0"/>
          <w:sz w:val="24"/>
          <w:lang w:bidi="ar"/>
        </w:rPr>
        <w:br w:type="textWrapping"/>
      </w:r>
      <w:r>
        <w:rPr>
          <w:rStyle w:val="32"/>
          <w:rFonts w:ascii="宋体" w:hAnsi="宋体" w:eastAsia="宋体" w:cs="宋体"/>
          <w:color w:val="auto"/>
          <w:kern w:val="0"/>
          <w:sz w:val="24"/>
          <w:lang w:bidi="ar"/>
        </w:rPr>
        <w:t>无       </w:t>
      </w:r>
      <w:r>
        <w:rPr>
          <w:rFonts w:ascii="宋体" w:hAnsi="宋体" w:eastAsia="宋体" w:cs="宋体"/>
          <w:color w:val="auto"/>
          <w:kern w:val="0"/>
          <w:sz w:val="24"/>
          <w:lang w:bidi="ar"/>
        </w:rPr>
        <w:br w:type="textWrapping"/>
      </w:r>
      <w:r>
        <w:rPr>
          <w:rFonts w:ascii="宋体" w:hAnsi="宋体" w:eastAsia="宋体" w:cs="宋体"/>
          <w:color w:val="auto"/>
          <w:kern w:val="0"/>
          <w:sz w:val="24"/>
          <w:lang w:bidi="ar"/>
        </w:rPr>
        <w:t>价格符合性</w:t>
      </w:r>
    </w:p>
    <w:p w14:paraId="139C7588">
      <w:pPr>
        <w:pStyle w:val="41"/>
        <w:rPr>
          <w:rStyle w:val="32"/>
          <w:rFonts w:ascii="宋体" w:hAnsi="宋体" w:cs="宋体"/>
          <w:color w:val="auto"/>
          <w:kern w:val="0"/>
          <w:sz w:val="24"/>
          <w:lang w:bidi="ar"/>
        </w:rPr>
      </w:pPr>
      <w:r>
        <w:rPr>
          <w:rStyle w:val="32"/>
          <w:rFonts w:ascii="宋体" w:hAnsi="宋体" w:cs="宋体"/>
          <w:color w:val="auto"/>
          <w:kern w:val="0"/>
          <w:sz w:val="24"/>
          <w:lang w:bidi="ar"/>
        </w:rPr>
        <w:t>无</w:t>
      </w:r>
    </w:p>
    <w:p w14:paraId="2064AFF8">
      <w:pPr>
        <w:pStyle w:val="27"/>
        <w:widowControl/>
        <w:spacing w:before="75" w:beforeAutospacing="0" w:after="75" w:afterAutospacing="0"/>
        <w:rPr>
          <w:color w:val="auto"/>
        </w:rPr>
      </w:pPr>
      <w:r>
        <w:rPr>
          <w:rFonts w:hint="eastAsia" w:ascii="宋体" w:hAnsi="宋体" w:eastAsia="宋体" w:cs="宋体"/>
          <w:b/>
          <w:bCs/>
          <w:color w:val="auto"/>
        </w:rPr>
        <w:t>包：2 </w:t>
      </w:r>
      <w:r>
        <w:rPr>
          <w:rFonts w:hint="eastAsia" w:ascii="宋体" w:hAnsi="宋体" w:eastAsia="宋体" w:cs="宋体"/>
          <w:b/>
          <w:bCs/>
          <w:color w:val="auto"/>
        </w:rPr>
        <w:br w:type="textWrapping"/>
      </w:r>
      <w:r>
        <w:rPr>
          <w:rFonts w:hint="eastAsia" w:ascii="宋体" w:hAnsi="宋体" w:eastAsia="宋体" w:cs="宋体"/>
          <w:color w:val="auto"/>
        </w:rPr>
        <w:t>包一般情形</w:t>
      </w:r>
    </w:p>
    <w:tbl>
      <w:tblPr>
        <w:tblStyle w:val="30"/>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306"/>
      </w:tblGrid>
      <w:tr w14:paraId="107ABF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077EFCC3">
            <w:pPr>
              <w:widowControl/>
              <w:jc w:val="center"/>
              <w:rPr>
                <w:b/>
                <w:color w:val="auto"/>
              </w:rPr>
            </w:pPr>
            <w:r>
              <w:rPr>
                <w:rFonts w:ascii="宋体" w:hAnsi="宋体" w:eastAsia="宋体" w:cs="宋体"/>
                <w:b/>
                <w:color w:val="auto"/>
                <w:kern w:val="0"/>
                <w:sz w:val="24"/>
                <w:lang w:bidi="ar"/>
              </w:rPr>
              <w:t>明细</w:t>
            </w:r>
          </w:p>
        </w:tc>
      </w:tr>
      <w:tr w14:paraId="4D7A9C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1C786A95">
            <w:pPr>
              <w:widowControl/>
              <w:jc w:val="left"/>
              <w:rPr>
                <w:color w:val="auto"/>
              </w:rPr>
            </w:pPr>
            <w:r>
              <w:rPr>
                <w:rFonts w:ascii="宋体" w:hAnsi="宋体" w:eastAsia="宋体" w:cs="宋体"/>
                <w:color w:val="auto"/>
                <w:kern w:val="0"/>
                <w:sz w:val="24"/>
                <w:lang w:bidi="ar"/>
              </w:rPr>
              <w:t>投标人投标文件中的资格及资信证明部分不得出现全部或部分的投标报价信息（或组成资料），否则资格审查不合格。</w:t>
            </w:r>
          </w:p>
        </w:tc>
      </w:tr>
    </w:tbl>
    <w:p w14:paraId="3ADC97F9">
      <w:pPr>
        <w:widowControl/>
        <w:jc w:val="left"/>
        <w:rPr>
          <w:color w:val="auto"/>
        </w:rPr>
      </w:pPr>
      <w:r>
        <w:rPr>
          <w:rFonts w:ascii="宋体" w:hAnsi="宋体" w:eastAsia="宋体" w:cs="宋体"/>
          <w:color w:val="auto"/>
          <w:kern w:val="0"/>
          <w:sz w:val="24"/>
          <w:lang w:bidi="ar"/>
        </w:rPr>
        <w:br w:type="textWrapping"/>
      </w:r>
      <w:r>
        <w:rPr>
          <w:rFonts w:ascii="宋体" w:hAnsi="宋体" w:eastAsia="宋体" w:cs="宋体"/>
          <w:color w:val="auto"/>
          <w:kern w:val="0"/>
          <w:sz w:val="24"/>
          <w:lang w:bidi="ar"/>
        </w:rPr>
        <w:t>技术符合性</w:t>
      </w:r>
    </w:p>
    <w:tbl>
      <w:tblPr>
        <w:tblStyle w:val="30"/>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306"/>
      </w:tblGrid>
      <w:tr w14:paraId="01D29E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0131AA91">
            <w:pPr>
              <w:widowControl/>
              <w:jc w:val="center"/>
              <w:rPr>
                <w:b/>
                <w:color w:val="auto"/>
              </w:rPr>
            </w:pPr>
            <w:r>
              <w:rPr>
                <w:rFonts w:ascii="宋体" w:hAnsi="宋体" w:eastAsia="宋体" w:cs="宋体"/>
                <w:b/>
                <w:color w:val="auto"/>
                <w:kern w:val="0"/>
                <w:sz w:val="24"/>
                <w:lang w:bidi="ar"/>
              </w:rPr>
              <w:t>明细</w:t>
            </w:r>
          </w:p>
        </w:tc>
      </w:tr>
      <w:tr w14:paraId="56AC66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66784AB4">
            <w:pPr>
              <w:widowControl/>
              <w:jc w:val="left"/>
              <w:rPr>
                <w:color w:val="auto"/>
              </w:rPr>
            </w:pPr>
            <w:r>
              <w:rPr>
                <w:rFonts w:ascii="宋体" w:hAnsi="宋体" w:eastAsia="宋体" w:cs="宋体"/>
                <w:color w:val="auto"/>
                <w:kern w:val="0"/>
                <w:sz w:val="24"/>
                <w:lang w:bidi="ar"/>
              </w:rPr>
              <w:t>按闽财购〔2010〕28号文件规定，若投标人的技术部分实际得分少于招标文件设定的技术部分总分50%，即视为技术部分未实质性响应招标文件要求，其投标无效。</w:t>
            </w:r>
          </w:p>
        </w:tc>
      </w:tr>
      <w:tr w14:paraId="2C8A28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69613041">
            <w:pPr>
              <w:widowControl/>
              <w:jc w:val="left"/>
              <w:rPr>
                <w:color w:val="auto"/>
              </w:rPr>
            </w:pPr>
            <w:r>
              <w:rPr>
                <w:rFonts w:ascii="宋体" w:hAnsi="宋体" w:eastAsia="宋体" w:cs="宋体"/>
                <w:color w:val="auto"/>
                <w:sz w:val="24"/>
              </w:rPr>
              <w:t>技术部分中不得出现报价部分的全部或部分的投标报价信息（或组成资料），否则符合性审查不合格。</w:t>
            </w:r>
          </w:p>
        </w:tc>
      </w:tr>
      <w:tr w14:paraId="50840A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15A2E5FD">
            <w:pPr>
              <w:widowControl/>
              <w:jc w:val="left"/>
              <w:rPr>
                <w:color w:val="auto"/>
              </w:rPr>
            </w:pPr>
            <w:r>
              <w:rPr>
                <w:rFonts w:ascii="宋体" w:hAnsi="宋体" w:eastAsia="宋体" w:cs="宋体"/>
                <w:color w:val="auto"/>
                <w:kern w:val="0"/>
                <w:sz w:val="24"/>
                <w:lang w:bidi="ar"/>
              </w:rPr>
              <w:t>招标文件第五章“</w:t>
            </w:r>
            <w:r>
              <w:rPr>
                <w:rFonts w:hint="eastAsia" w:ascii="宋体" w:hAnsi="宋体" w:eastAsia="宋体" w:cs="宋体"/>
                <w:color w:val="auto"/>
                <w:kern w:val="0"/>
                <w:sz w:val="24"/>
                <w:lang w:bidi="ar"/>
              </w:rPr>
              <w:t>二、技术和服务要求</w:t>
            </w:r>
            <w:r>
              <w:rPr>
                <w:rFonts w:ascii="宋体" w:hAnsi="宋体" w:eastAsia="宋体" w:cs="宋体"/>
                <w:color w:val="auto"/>
                <w:kern w:val="0"/>
                <w:sz w:val="24"/>
                <w:lang w:bidi="ar"/>
              </w:rPr>
              <w:t>”</w:t>
            </w:r>
            <w:r>
              <w:rPr>
                <w:rFonts w:hint="eastAsia" w:ascii="宋体" w:hAnsi="宋体" w:eastAsia="宋体" w:cs="宋体"/>
                <w:color w:val="auto"/>
                <w:kern w:val="0"/>
                <w:sz w:val="24"/>
                <w:lang w:bidi="ar"/>
              </w:rPr>
              <w:t>以“★”标示的内容为不允许负偏离的实质性要求，如投标文件</w:t>
            </w:r>
            <w:r>
              <w:rPr>
                <w:rFonts w:ascii="宋体" w:hAnsi="宋体" w:eastAsia="宋体" w:cs="宋体"/>
                <w:color w:val="auto"/>
                <w:kern w:val="0"/>
                <w:sz w:val="24"/>
                <w:lang w:bidi="ar"/>
              </w:rPr>
              <w:t>内容</w:t>
            </w:r>
            <w:r>
              <w:rPr>
                <w:rFonts w:hint="eastAsia" w:ascii="宋体" w:hAnsi="宋体" w:eastAsia="宋体" w:cs="宋体"/>
                <w:color w:val="auto"/>
                <w:kern w:val="0"/>
                <w:sz w:val="24"/>
                <w:lang w:bidi="ar"/>
              </w:rPr>
              <w:t>有</w:t>
            </w:r>
            <w:r>
              <w:rPr>
                <w:rFonts w:ascii="宋体" w:hAnsi="宋体" w:eastAsia="宋体" w:cs="宋体"/>
                <w:color w:val="auto"/>
                <w:kern w:val="0"/>
                <w:sz w:val="24"/>
                <w:lang w:bidi="ar"/>
              </w:rPr>
              <w:t>负偏离的，其投标无效。</w:t>
            </w:r>
          </w:p>
        </w:tc>
      </w:tr>
      <w:tr w14:paraId="47D0AB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2D4E8892">
            <w:pPr>
              <w:widowControl/>
              <w:jc w:val="left"/>
              <w:rPr>
                <w:color w:val="auto"/>
              </w:rPr>
            </w:pPr>
            <w:r>
              <w:rPr>
                <w:rFonts w:ascii="宋体" w:hAnsi="宋体" w:eastAsia="宋体" w:cs="宋体"/>
                <w:color w:val="auto"/>
                <w:sz w:val="24"/>
              </w:rPr>
              <w:t>不符合采购文件中规定的其它实质性要求的条款。</w:t>
            </w:r>
          </w:p>
        </w:tc>
      </w:tr>
    </w:tbl>
    <w:p w14:paraId="6559D0D9">
      <w:pPr>
        <w:widowControl/>
        <w:jc w:val="left"/>
        <w:rPr>
          <w:color w:val="auto"/>
        </w:rPr>
      </w:pPr>
      <w:r>
        <w:rPr>
          <w:rFonts w:ascii="宋体" w:hAnsi="宋体" w:eastAsia="宋体" w:cs="宋体"/>
          <w:color w:val="auto"/>
          <w:kern w:val="0"/>
          <w:sz w:val="24"/>
          <w:lang w:bidi="ar"/>
        </w:rPr>
        <w:br w:type="textWrapping"/>
      </w:r>
      <w:r>
        <w:rPr>
          <w:rFonts w:ascii="宋体" w:hAnsi="宋体" w:eastAsia="宋体" w:cs="宋体"/>
          <w:color w:val="auto"/>
          <w:kern w:val="0"/>
          <w:sz w:val="24"/>
          <w:lang w:bidi="ar"/>
        </w:rPr>
        <w:t>商务符合性</w:t>
      </w:r>
    </w:p>
    <w:tbl>
      <w:tblPr>
        <w:tblStyle w:val="30"/>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306"/>
      </w:tblGrid>
      <w:tr w14:paraId="03E8FE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25BED947">
            <w:pPr>
              <w:widowControl/>
              <w:jc w:val="center"/>
              <w:rPr>
                <w:b/>
                <w:color w:val="auto"/>
              </w:rPr>
            </w:pPr>
            <w:r>
              <w:rPr>
                <w:rFonts w:ascii="宋体" w:hAnsi="宋体" w:eastAsia="宋体" w:cs="宋体"/>
                <w:b/>
                <w:color w:val="auto"/>
                <w:kern w:val="0"/>
                <w:sz w:val="24"/>
                <w:lang w:bidi="ar"/>
              </w:rPr>
              <w:t>明细</w:t>
            </w:r>
          </w:p>
        </w:tc>
      </w:tr>
      <w:tr w14:paraId="7BA7F7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597ADA41">
            <w:pPr>
              <w:widowControl/>
              <w:jc w:val="left"/>
              <w:rPr>
                <w:rFonts w:eastAsia="宋体"/>
                <w:color w:val="auto"/>
              </w:rPr>
            </w:pPr>
            <w:r>
              <w:rPr>
                <w:rFonts w:ascii="宋体" w:hAnsi="宋体" w:eastAsia="宋体" w:cs="宋体"/>
                <w:color w:val="auto"/>
                <w:kern w:val="0"/>
                <w:sz w:val="24"/>
                <w:lang w:bidi="ar"/>
              </w:rPr>
              <w:t>招标文件第五章</w:t>
            </w:r>
            <w:r>
              <w:rPr>
                <w:rFonts w:hint="eastAsia" w:ascii="宋体" w:hAnsi="宋体" w:eastAsia="宋体" w:cs="宋体"/>
                <w:color w:val="auto"/>
                <w:kern w:val="0"/>
                <w:sz w:val="24"/>
                <w:lang w:bidi="ar"/>
              </w:rPr>
              <w:t>“三、商务条件”均为不允许负偏离的实质性要求，如投标文件</w:t>
            </w:r>
            <w:r>
              <w:rPr>
                <w:rFonts w:ascii="宋体" w:hAnsi="宋体" w:eastAsia="宋体" w:cs="宋体"/>
                <w:color w:val="auto"/>
                <w:kern w:val="0"/>
                <w:sz w:val="24"/>
                <w:lang w:bidi="ar"/>
              </w:rPr>
              <w:t>内容</w:t>
            </w:r>
            <w:r>
              <w:rPr>
                <w:rFonts w:hint="eastAsia" w:ascii="宋体" w:hAnsi="宋体" w:eastAsia="宋体" w:cs="宋体"/>
                <w:color w:val="auto"/>
                <w:kern w:val="0"/>
                <w:sz w:val="24"/>
                <w:lang w:bidi="ar"/>
              </w:rPr>
              <w:t>有</w:t>
            </w:r>
            <w:r>
              <w:rPr>
                <w:rFonts w:ascii="宋体" w:hAnsi="宋体" w:eastAsia="宋体" w:cs="宋体"/>
                <w:color w:val="auto"/>
                <w:kern w:val="0"/>
                <w:sz w:val="24"/>
                <w:lang w:bidi="ar"/>
              </w:rPr>
              <w:t>负偏离的，其投标无效。</w:t>
            </w:r>
          </w:p>
        </w:tc>
      </w:tr>
      <w:tr w14:paraId="4BF4484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06A52E19">
            <w:pPr>
              <w:widowControl/>
              <w:jc w:val="left"/>
              <w:rPr>
                <w:color w:val="auto"/>
              </w:rPr>
            </w:pPr>
            <w:r>
              <w:rPr>
                <w:rFonts w:ascii="宋体" w:hAnsi="宋体" w:eastAsia="宋体" w:cs="宋体"/>
                <w:color w:val="auto"/>
                <w:sz w:val="24"/>
              </w:rPr>
              <w:t>商务部分中不得出现报价部分的全部或部分的投标报价信息（或组成资料），否则符合性审查不合格。</w:t>
            </w:r>
          </w:p>
        </w:tc>
      </w:tr>
      <w:tr w14:paraId="7A0E0E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14:paraId="60F1B2D4">
            <w:pPr>
              <w:widowControl/>
              <w:jc w:val="left"/>
              <w:rPr>
                <w:rFonts w:eastAsia="宋体"/>
                <w:color w:val="auto"/>
              </w:rPr>
            </w:pPr>
            <w:r>
              <w:rPr>
                <w:rFonts w:ascii="宋体" w:hAnsi="宋体" w:eastAsia="宋体" w:cs="宋体"/>
                <w:color w:val="auto"/>
                <w:sz w:val="24"/>
              </w:rPr>
              <w:t>不符合采购文件中规定的其它实质性要求的条款。</w:t>
            </w:r>
          </w:p>
        </w:tc>
      </w:tr>
    </w:tbl>
    <w:p w14:paraId="0770D0F5">
      <w:pPr>
        <w:widowControl/>
        <w:jc w:val="left"/>
        <w:rPr>
          <w:rFonts w:ascii="宋体" w:hAnsi="宋体" w:eastAsia="宋体" w:cs="宋体"/>
          <w:color w:val="auto"/>
          <w:kern w:val="0"/>
          <w:sz w:val="24"/>
          <w:lang w:bidi="ar"/>
        </w:rPr>
      </w:pPr>
      <w:r>
        <w:rPr>
          <w:rFonts w:ascii="宋体" w:hAnsi="宋体" w:eastAsia="宋体" w:cs="宋体"/>
          <w:color w:val="auto"/>
          <w:kern w:val="0"/>
          <w:sz w:val="24"/>
          <w:lang w:bidi="ar"/>
        </w:rPr>
        <w:br w:type="textWrapping"/>
      </w:r>
      <w:r>
        <w:rPr>
          <w:rFonts w:ascii="宋体" w:hAnsi="宋体" w:eastAsia="宋体" w:cs="宋体"/>
          <w:color w:val="auto"/>
          <w:kern w:val="0"/>
          <w:sz w:val="24"/>
          <w:lang w:bidi="ar"/>
        </w:rPr>
        <w:t>附加符合性</w:t>
      </w:r>
      <w:r>
        <w:rPr>
          <w:rFonts w:ascii="宋体" w:hAnsi="宋体" w:eastAsia="宋体" w:cs="宋体"/>
          <w:color w:val="auto"/>
          <w:kern w:val="0"/>
          <w:sz w:val="24"/>
          <w:lang w:bidi="ar"/>
        </w:rPr>
        <w:br w:type="textWrapping"/>
      </w:r>
      <w:r>
        <w:rPr>
          <w:rStyle w:val="32"/>
          <w:rFonts w:ascii="宋体" w:hAnsi="宋体" w:eastAsia="宋体" w:cs="宋体"/>
          <w:color w:val="auto"/>
          <w:kern w:val="0"/>
          <w:sz w:val="24"/>
          <w:lang w:bidi="ar"/>
        </w:rPr>
        <w:t>无       </w:t>
      </w:r>
      <w:r>
        <w:rPr>
          <w:rFonts w:ascii="宋体" w:hAnsi="宋体" w:eastAsia="宋体" w:cs="宋体"/>
          <w:color w:val="auto"/>
          <w:kern w:val="0"/>
          <w:sz w:val="24"/>
          <w:lang w:bidi="ar"/>
        </w:rPr>
        <w:br w:type="textWrapping"/>
      </w:r>
      <w:r>
        <w:rPr>
          <w:rFonts w:ascii="宋体" w:hAnsi="宋体" w:eastAsia="宋体" w:cs="宋体"/>
          <w:color w:val="auto"/>
          <w:kern w:val="0"/>
          <w:sz w:val="24"/>
          <w:lang w:bidi="ar"/>
        </w:rPr>
        <w:t>价格符合性</w:t>
      </w:r>
    </w:p>
    <w:p w14:paraId="4B4B0EB5">
      <w:pPr>
        <w:pStyle w:val="41"/>
        <w:rPr>
          <w:color w:val="auto"/>
        </w:rPr>
      </w:pPr>
      <w:r>
        <w:rPr>
          <w:rStyle w:val="32"/>
          <w:rFonts w:ascii="宋体" w:hAnsi="宋体" w:cs="宋体"/>
          <w:color w:val="auto"/>
          <w:kern w:val="0"/>
          <w:sz w:val="24"/>
          <w:lang w:bidi="ar"/>
        </w:rPr>
        <w:t>无</w:t>
      </w:r>
    </w:p>
    <w:p w14:paraId="3C3B7AA2">
      <w:pPr>
        <w:pStyle w:val="27"/>
        <w:widowControl/>
        <w:spacing w:before="75" w:beforeAutospacing="0" w:after="75" w:afterAutospacing="0"/>
        <w:ind w:firstLine="480"/>
        <w:rPr>
          <w:color w:val="auto"/>
        </w:rPr>
      </w:pPr>
      <w:r>
        <w:rPr>
          <w:rFonts w:hint="eastAsia" w:ascii="宋体" w:hAnsi="宋体" w:eastAsia="宋体" w:cs="宋体"/>
          <w:color w:val="auto"/>
        </w:rPr>
        <w:t>6.3澄清有关问题</w:t>
      </w:r>
    </w:p>
    <w:p w14:paraId="5DAC30EB">
      <w:pPr>
        <w:pStyle w:val="27"/>
        <w:widowControl/>
        <w:spacing w:before="75" w:beforeAutospacing="0" w:after="75" w:afterAutospacing="0"/>
        <w:ind w:firstLine="420"/>
        <w:rPr>
          <w:color w:val="auto"/>
        </w:rPr>
      </w:pPr>
      <w:r>
        <w:rPr>
          <w:rFonts w:hint="eastAsia" w:ascii="宋体" w:hAnsi="宋体" w:eastAsia="宋体" w:cs="宋体"/>
          <w:color w:val="auto"/>
        </w:rPr>
        <w:t>（1）对通过符合性审查的投标文件中含义不明确、同类问题表述不一致或有明显文字和计算错误的内容，评标委员会将以书面形式要求投标人作出必要的澄清、说明或补正。</w:t>
      </w:r>
    </w:p>
    <w:p w14:paraId="7DC3AABA">
      <w:pPr>
        <w:pStyle w:val="27"/>
        <w:widowControl/>
        <w:spacing w:before="75" w:beforeAutospacing="0" w:after="75" w:afterAutospacing="0"/>
        <w:ind w:firstLine="420"/>
        <w:rPr>
          <w:color w:val="auto"/>
        </w:rPr>
      </w:pPr>
      <w:r>
        <w:rPr>
          <w:rFonts w:hint="eastAsia" w:ascii="宋体" w:hAnsi="宋体" w:eastAsia="宋体" w:cs="宋体"/>
          <w:color w:val="auto"/>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14:paraId="44C2E759">
      <w:pPr>
        <w:pStyle w:val="27"/>
        <w:widowControl/>
        <w:spacing w:before="75" w:beforeAutospacing="0" w:after="75" w:afterAutospacing="0"/>
        <w:ind w:firstLine="480"/>
        <w:rPr>
          <w:color w:val="auto"/>
        </w:rPr>
      </w:pPr>
      <w:r>
        <w:rPr>
          <w:rFonts w:hint="eastAsia" w:ascii="宋体" w:hAnsi="宋体" w:eastAsia="宋体" w:cs="宋体"/>
          <w:color w:val="auto"/>
        </w:rPr>
        <w:t>（3）投标文件报价出现前后不一致的，除招标文件另有规定外，按照下列规定修正：</w:t>
      </w:r>
    </w:p>
    <w:p w14:paraId="49ECE21C">
      <w:pPr>
        <w:pStyle w:val="27"/>
        <w:widowControl/>
        <w:spacing w:before="75" w:beforeAutospacing="0" w:after="75" w:afterAutospacing="0"/>
        <w:ind w:firstLine="480"/>
        <w:rPr>
          <w:color w:val="auto"/>
        </w:rPr>
      </w:pPr>
      <w:r>
        <w:rPr>
          <w:rFonts w:hint="eastAsia" w:ascii="宋体" w:hAnsi="宋体" w:eastAsia="宋体" w:cs="宋体"/>
          <w:color w:val="auto"/>
        </w:rPr>
        <w:t>①开标一览表内容与投标文件中相应内容不一致的，以开标一览表为准；</w:t>
      </w:r>
    </w:p>
    <w:p w14:paraId="31383F76">
      <w:pPr>
        <w:pStyle w:val="27"/>
        <w:widowControl/>
        <w:spacing w:before="75" w:beforeAutospacing="0" w:after="75" w:afterAutospacing="0"/>
        <w:ind w:firstLine="480"/>
        <w:rPr>
          <w:color w:val="auto"/>
        </w:rPr>
      </w:pPr>
      <w:r>
        <w:rPr>
          <w:rFonts w:hint="eastAsia" w:ascii="宋体" w:hAnsi="宋体" w:eastAsia="宋体" w:cs="宋体"/>
          <w:color w:val="auto"/>
        </w:rPr>
        <w:t>②大写金额和小写金额不一致的，以大写金额为准；</w:t>
      </w:r>
    </w:p>
    <w:p w14:paraId="42C7C0CB">
      <w:pPr>
        <w:pStyle w:val="27"/>
        <w:widowControl/>
        <w:spacing w:before="75" w:beforeAutospacing="0" w:after="75" w:afterAutospacing="0"/>
        <w:ind w:firstLine="480"/>
        <w:rPr>
          <w:color w:val="auto"/>
        </w:rPr>
      </w:pPr>
      <w:r>
        <w:rPr>
          <w:rFonts w:hint="eastAsia" w:ascii="宋体" w:hAnsi="宋体" w:eastAsia="宋体" w:cs="宋体"/>
          <w:color w:val="auto"/>
        </w:rPr>
        <w:t>③单价金额小数点或百分比有明显错位的，以开标一览表的总价为准，并修改单价；</w:t>
      </w:r>
    </w:p>
    <w:p w14:paraId="07594D0A">
      <w:pPr>
        <w:pStyle w:val="27"/>
        <w:widowControl/>
        <w:spacing w:before="75" w:beforeAutospacing="0" w:after="75" w:afterAutospacing="0"/>
        <w:ind w:firstLine="480"/>
        <w:rPr>
          <w:color w:val="auto"/>
        </w:rPr>
      </w:pPr>
      <w:r>
        <w:rPr>
          <w:rFonts w:hint="eastAsia" w:ascii="宋体" w:hAnsi="宋体" w:eastAsia="宋体" w:cs="宋体"/>
          <w:color w:val="auto"/>
        </w:rPr>
        <w:t>④总价金额与按照单价汇总金额不一致的，以单价金额计算结果为准。</w:t>
      </w:r>
    </w:p>
    <w:p w14:paraId="70DC418E">
      <w:pPr>
        <w:pStyle w:val="27"/>
        <w:widowControl/>
        <w:spacing w:before="75" w:beforeAutospacing="0" w:after="75" w:afterAutospacing="0"/>
        <w:ind w:firstLine="480"/>
        <w:rPr>
          <w:color w:val="auto"/>
        </w:rPr>
      </w:pPr>
      <w:r>
        <w:rPr>
          <w:rStyle w:val="32"/>
          <w:rFonts w:hint="eastAsia" w:ascii="宋体" w:hAnsi="宋体" w:eastAsia="宋体" w:cs="宋体"/>
          <w:color w:val="auto"/>
        </w:rPr>
        <w:t>※同时出现两种以上不一致的，按照前款规定的顺序修正。修正后的报价应按照本章第</w:t>
      </w:r>
      <w:r>
        <w:rPr>
          <w:rStyle w:val="32"/>
          <w:rFonts w:ascii="Calibri" w:hAnsi="Calibri" w:cs="Calibri"/>
          <w:color w:val="auto"/>
        </w:rPr>
        <w:t>6.3</w:t>
      </w:r>
      <w:r>
        <w:rPr>
          <w:rStyle w:val="32"/>
          <w:rFonts w:hint="eastAsia" w:ascii="宋体" w:hAnsi="宋体" w:eastAsia="宋体" w:cs="宋体"/>
          <w:color w:val="auto"/>
        </w:rPr>
        <w:t>条第（</w:t>
      </w:r>
      <w:r>
        <w:rPr>
          <w:rStyle w:val="32"/>
          <w:rFonts w:ascii="Calibri" w:hAnsi="Calibri" w:cs="Calibri"/>
          <w:color w:val="auto"/>
        </w:rPr>
        <w:t>1</w:t>
      </w:r>
      <w:r>
        <w:rPr>
          <w:rStyle w:val="32"/>
          <w:rFonts w:hint="eastAsia" w:ascii="宋体" w:hAnsi="宋体" w:eastAsia="宋体" w:cs="宋体"/>
          <w:color w:val="auto"/>
        </w:rPr>
        <w:t>）、（</w:t>
      </w:r>
      <w:r>
        <w:rPr>
          <w:rStyle w:val="32"/>
          <w:rFonts w:ascii="Calibri" w:hAnsi="Calibri" w:cs="Calibri"/>
          <w:color w:val="auto"/>
        </w:rPr>
        <w:t>2</w:t>
      </w:r>
      <w:r>
        <w:rPr>
          <w:rStyle w:val="32"/>
          <w:rFonts w:hint="eastAsia" w:ascii="宋体" w:hAnsi="宋体" w:eastAsia="宋体" w:cs="宋体"/>
          <w:color w:val="auto"/>
        </w:rPr>
        <w:t>）款规定经投标人确认后产生约束力，投标人不确认的，其投标无效。</w:t>
      </w:r>
    </w:p>
    <w:p w14:paraId="50475D00">
      <w:pPr>
        <w:pStyle w:val="27"/>
        <w:widowControl/>
        <w:spacing w:before="75" w:beforeAutospacing="0" w:after="75" w:afterAutospacing="0"/>
        <w:ind w:firstLine="480"/>
        <w:rPr>
          <w:color w:val="auto"/>
        </w:rPr>
      </w:pPr>
      <w:r>
        <w:rPr>
          <w:rFonts w:hint="eastAsia" w:ascii="宋体" w:hAnsi="宋体" w:eastAsia="宋体" w:cs="宋体"/>
          <w:color w:val="auto"/>
        </w:rPr>
        <w:t>（4）关于细微偏差</w:t>
      </w:r>
    </w:p>
    <w:p w14:paraId="3CAD7772">
      <w:pPr>
        <w:pStyle w:val="27"/>
        <w:widowControl/>
        <w:spacing w:before="75" w:beforeAutospacing="0" w:after="75" w:afterAutospacing="0"/>
        <w:ind w:firstLine="480"/>
        <w:rPr>
          <w:color w:val="auto"/>
        </w:rPr>
      </w:pPr>
      <w:r>
        <w:rPr>
          <w:rFonts w:hint="eastAsia" w:ascii="宋体" w:hAnsi="宋体" w:eastAsia="宋体" w:cs="宋体"/>
          <w:color w:val="auto"/>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14:paraId="3D3A1CC7">
      <w:pPr>
        <w:pStyle w:val="27"/>
        <w:widowControl/>
        <w:spacing w:before="75" w:beforeAutospacing="0" w:after="75" w:afterAutospacing="0"/>
        <w:ind w:firstLine="480"/>
        <w:rPr>
          <w:color w:val="auto"/>
        </w:rPr>
      </w:pPr>
      <w:r>
        <w:rPr>
          <w:rFonts w:hint="eastAsia" w:ascii="宋体" w:hAnsi="宋体" w:eastAsia="宋体" w:cs="宋体"/>
          <w:color w:val="auto"/>
        </w:rPr>
        <w:t>②评标委员会将以书面形式要求存在细微偏差的投标人在评标委员会规定的时间内予以补正。若无法补正，则评标委员会将按照不利于投标人的内容进行认定。</w:t>
      </w:r>
    </w:p>
    <w:p w14:paraId="0BD42CF1">
      <w:pPr>
        <w:pStyle w:val="27"/>
        <w:widowControl/>
        <w:spacing w:before="75" w:beforeAutospacing="0" w:after="75" w:afterAutospacing="0"/>
        <w:ind w:firstLine="480"/>
        <w:rPr>
          <w:color w:val="auto"/>
        </w:rPr>
      </w:pPr>
      <w:r>
        <w:rPr>
          <w:rFonts w:hint="eastAsia" w:ascii="宋体" w:hAnsi="宋体" w:eastAsia="宋体" w:cs="宋体"/>
          <w:color w:val="auto"/>
        </w:rPr>
        <w:t>（5）关于投标描述（即投标文件中描述的内容）</w:t>
      </w:r>
    </w:p>
    <w:p w14:paraId="64F93FEA">
      <w:pPr>
        <w:pStyle w:val="27"/>
        <w:widowControl/>
        <w:spacing w:before="75" w:beforeAutospacing="0" w:after="75" w:afterAutospacing="0"/>
        <w:ind w:firstLine="480"/>
        <w:rPr>
          <w:color w:val="auto"/>
        </w:rPr>
      </w:pPr>
      <w:r>
        <w:rPr>
          <w:rFonts w:hint="eastAsia" w:ascii="宋体" w:hAnsi="宋体" w:eastAsia="宋体" w:cs="宋体"/>
          <w:color w:val="auto"/>
        </w:rPr>
        <w:t>①投标描述前后不一致且不涉及证明材料的：按照本章第</w:t>
      </w:r>
      <w:r>
        <w:rPr>
          <w:rFonts w:ascii="Calibri" w:hAnsi="Calibri" w:cs="Calibri"/>
          <w:color w:val="auto"/>
        </w:rPr>
        <w:t>6.3</w:t>
      </w:r>
      <w:r>
        <w:rPr>
          <w:rFonts w:hint="eastAsia" w:ascii="宋体" w:hAnsi="宋体" w:eastAsia="宋体" w:cs="宋体"/>
          <w:color w:val="auto"/>
        </w:rPr>
        <w:t>条第（</w:t>
      </w:r>
      <w:r>
        <w:rPr>
          <w:rFonts w:ascii="Calibri" w:hAnsi="Calibri" w:cs="Calibri"/>
          <w:color w:val="auto"/>
        </w:rPr>
        <w:t>1</w:t>
      </w:r>
      <w:r>
        <w:rPr>
          <w:rFonts w:hint="eastAsia" w:ascii="宋体" w:hAnsi="宋体" w:eastAsia="宋体" w:cs="宋体"/>
          <w:color w:val="auto"/>
        </w:rPr>
        <w:t>）、（</w:t>
      </w:r>
      <w:r>
        <w:rPr>
          <w:rFonts w:ascii="Calibri" w:hAnsi="Calibri" w:cs="Calibri"/>
          <w:color w:val="auto"/>
        </w:rPr>
        <w:t>2</w:t>
      </w:r>
      <w:r>
        <w:rPr>
          <w:rFonts w:hint="eastAsia" w:ascii="宋体" w:hAnsi="宋体" w:eastAsia="宋体" w:cs="宋体"/>
          <w:color w:val="auto"/>
        </w:rPr>
        <w:t>）款规定执行。</w:t>
      </w:r>
    </w:p>
    <w:p w14:paraId="42ABCC8B">
      <w:pPr>
        <w:pStyle w:val="27"/>
        <w:widowControl/>
        <w:spacing w:before="75" w:beforeAutospacing="0" w:after="75" w:afterAutospacing="0"/>
        <w:ind w:firstLine="480"/>
        <w:rPr>
          <w:color w:val="auto"/>
        </w:rPr>
      </w:pPr>
      <w:r>
        <w:rPr>
          <w:rFonts w:hint="eastAsia" w:ascii="宋体" w:hAnsi="宋体" w:eastAsia="宋体" w:cs="宋体"/>
          <w:color w:val="auto"/>
        </w:rPr>
        <w:t>②投标描述与证明材料不一致或多份证明材料之间不一致的：</w:t>
      </w:r>
    </w:p>
    <w:p w14:paraId="39E92105">
      <w:pPr>
        <w:pStyle w:val="27"/>
        <w:widowControl/>
        <w:spacing w:before="75" w:beforeAutospacing="0" w:after="75" w:afterAutospacing="0"/>
        <w:ind w:firstLine="480"/>
        <w:rPr>
          <w:color w:val="auto"/>
        </w:rPr>
      </w:pPr>
      <w:r>
        <w:rPr>
          <w:rFonts w:hint="eastAsia" w:ascii="宋体" w:hAnsi="宋体" w:eastAsia="宋体" w:cs="宋体"/>
          <w:color w:val="auto"/>
        </w:rPr>
        <w:t>a.评标委员会将要求投标人进行书面澄清，并按照不利于投标人的内容进行评标。</w:t>
      </w:r>
    </w:p>
    <w:p w14:paraId="2669A383">
      <w:pPr>
        <w:pStyle w:val="27"/>
        <w:widowControl/>
        <w:spacing w:before="75" w:beforeAutospacing="0" w:after="75" w:afterAutospacing="0"/>
        <w:ind w:firstLine="480"/>
        <w:rPr>
          <w:color w:val="auto"/>
        </w:rPr>
      </w:pPr>
      <w:r>
        <w:rPr>
          <w:rFonts w:hint="eastAsia" w:ascii="宋体" w:hAnsi="宋体" w:eastAsia="宋体" w:cs="宋体"/>
          <w:color w:val="auto"/>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64D0C0F8">
      <w:pPr>
        <w:pStyle w:val="27"/>
        <w:widowControl/>
        <w:spacing w:before="75" w:beforeAutospacing="0" w:after="75" w:afterAutospacing="0"/>
        <w:ind w:firstLine="480"/>
        <w:rPr>
          <w:color w:val="auto"/>
        </w:rPr>
      </w:pPr>
      <w:r>
        <w:rPr>
          <w:rFonts w:hint="eastAsia" w:ascii="宋体" w:hAnsi="宋体" w:eastAsia="宋体" w:cs="宋体"/>
          <w:color w:val="auto"/>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4C009EDF">
      <w:pPr>
        <w:pStyle w:val="27"/>
        <w:widowControl/>
        <w:spacing w:before="75" w:beforeAutospacing="0" w:after="75" w:afterAutospacing="0"/>
        <w:rPr>
          <w:color w:val="auto"/>
        </w:rPr>
      </w:pPr>
      <w:r>
        <w:rPr>
          <w:rFonts w:hint="eastAsia" w:ascii="宋体" w:hAnsi="宋体" w:eastAsia="宋体" w:cs="宋体"/>
          <w:color w:val="auto"/>
        </w:rPr>
        <w:t>6.4比较与评价</w:t>
      </w:r>
    </w:p>
    <w:p w14:paraId="30EC48F2">
      <w:pPr>
        <w:pStyle w:val="27"/>
        <w:widowControl/>
        <w:spacing w:before="75" w:beforeAutospacing="0" w:after="75" w:afterAutospacing="0"/>
        <w:ind w:firstLine="480"/>
        <w:rPr>
          <w:color w:val="auto"/>
        </w:rPr>
      </w:pPr>
      <w:r>
        <w:rPr>
          <w:rFonts w:hint="eastAsia" w:ascii="宋体" w:hAnsi="宋体" w:eastAsia="宋体" w:cs="宋体"/>
          <w:color w:val="auto"/>
        </w:rPr>
        <w:t>（1）按照本章第</w:t>
      </w:r>
      <w:r>
        <w:rPr>
          <w:rFonts w:ascii="Calibri" w:hAnsi="Calibri" w:cs="Calibri"/>
          <w:color w:val="auto"/>
        </w:rPr>
        <w:t>7</w:t>
      </w:r>
      <w:r>
        <w:rPr>
          <w:rFonts w:hint="eastAsia" w:ascii="宋体" w:hAnsi="宋体" w:eastAsia="宋体" w:cs="宋体"/>
          <w:color w:val="auto"/>
        </w:rPr>
        <w:t>条载明的评标方法和标准，对符合性审查合格的投标文件进行比较与评价。</w:t>
      </w:r>
    </w:p>
    <w:p w14:paraId="5E3DE277">
      <w:pPr>
        <w:pStyle w:val="27"/>
        <w:widowControl/>
        <w:spacing w:before="75" w:beforeAutospacing="0" w:after="75" w:afterAutospacing="0"/>
        <w:ind w:firstLine="480"/>
        <w:rPr>
          <w:color w:val="auto"/>
        </w:rPr>
      </w:pPr>
      <w:r>
        <w:rPr>
          <w:rFonts w:hint="eastAsia" w:ascii="宋体" w:hAnsi="宋体" w:eastAsia="宋体" w:cs="宋体"/>
          <w:color w:val="auto"/>
        </w:rPr>
        <w:t>（2）关于相同品牌产品</w:t>
      </w:r>
      <w:r>
        <w:rPr>
          <w:rStyle w:val="32"/>
          <w:rFonts w:hint="eastAsia" w:ascii="宋体" w:hAnsi="宋体" w:eastAsia="宋体" w:cs="宋体"/>
          <w:color w:val="auto"/>
        </w:rPr>
        <w:t>（政府采购服务类项目不适用本条款规定）</w:t>
      </w:r>
    </w:p>
    <w:p w14:paraId="1E0C4721">
      <w:pPr>
        <w:pStyle w:val="27"/>
        <w:widowControl/>
        <w:spacing w:before="75" w:beforeAutospacing="0" w:after="75" w:afterAutospacing="0"/>
        <w:ind w:firstLine="480"/>
        <w:rPr>
          <w:color w:val="auto"/>
        </w:rPr>
      </w:pPr>
      <w:r>
        <w:rPr>
          <w:rFonts w:hint="eastAsia" w:ascii="宋体" w:hAnsi="宋体" w:eastAsia="宋体" w:cs="宋体"/>
          <w:color w:val="auto"/>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0C88AF39">
      <w:pPr>
        <w:pStyle w:val="27"/>
        <w:widowControl/>
        <w:spacing w:before="75" w:beforeAutospacing="0" w:after="75" w:afterAutospacing="0"/>
        <w:ind w:firstLine="480"/>
        <w:rPr>
          <w:color w:val="auto"/>
        </w:rPr>
      </w:pPr>
      <w:r>
        <w:rPr>
          <w:rFonts w:hint="eastAsia" w:ascii="宋体" w:hAnsi="宋体" w:eastAsia="宋体" w:cs="宋体"/>
          <w:color w:val="auto"/>
        </w:rPr>
        <w:t>a.招标文件规定的方式：</w:t>
      </w:r>
      <w:r>
        <w:rPr>
          <w:color w:val="auto"/>
          <w:u w:val="single"/>
        </w:rPr>
        <w:t>无</w:t>
      </w:r>
      <w:r>
        <w:rPr>
          <w:rFonts w:hint="eastAsia" w:ascii="宋体" w:hAnsi="宋体" w:eastAsia="宋体" w:cs="宋体"/>
          <w:color w:val="auto"/>
        </w:rPr>
        <w:t>。</w:t>
      </w:r>
    </w:p>
    <w:p w14:paraId="4BC96E69">
      <w:pPr>
        <w:pStyle w:val="27"/>
        <w:widowControl/>
        <w:spacing w:before="75" w:beforeAutospacing="0" w:after="75" w:afterAutospacing="0"/>
        <w:ind w:firstLine="480"/>
        <w:rPr>
          <w:color w:val="auto"/>
        </w:rPr>
      </w:pPr>
      <w:r>
        <w:rPr>
          <w:rFonts w:hint="eastAsia" w:ascii="宋体" w:hAnsi="宋体" w:eastAsia="宋体" w:cs="宋体"/>
          <w:color w:val="auto"/>
        </w:rPr>
        <w:t>b.招标文件未规定的，采取随机抽取方式确定，其他</w:t>
      </w:r>
      <w:r>
        <w:rPr>
          <w:rStyle w:val="32"/>
          <w:rFonts w:hint="eastAsia" w:ascii="宋体" w:hAnsi="宋体" w:eastAsia="宋体" w:cs="宋体"/>
          <w:color w:val="auto"/>
        </w:rPr>
        <w:t>投标无效。</w:t>
      </w:r>
    </w:p>
    <w:p w14:paraId="300020B1">
      <w:pPr>
        <w:pStyle w:val="27"/>
        <w:widowControl/>
        <w:spacing w:before="75" w:beforeAutospacing="0" w:after="75" w:afterAutospacing="0"/>
        <w:ind w:firstLine="480"/>
        <w:rPr>
          <w:color w:val="auto"/>
        </w:rPr>
      </w:pPr>
      <w:r>
        <w:rPr>
          <w:rFonts w:hint="eastAsia" w:ascii="宋体" w:hAnsi="宋体" w:eastAsia="宋体" w:cs="宋体"/>
          <w:color w:val="auto"/>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5C7705F2">
      <w:pPr>
        <w:pStyle w:val="27"/>
        <w:widowControl/>
        <w:spacing w:before="75" w:beforeAutospacing="0" w:after="75" w:afterAutospacing="0"/>
        <w:ind w:firstLine="480"/>
        <w:rPr>
          <w:color w:val="auto"/>
        </w:rPr>
      </w:pPr>
      <w:r>
        <w:rPr>
          <w:rFonts w:hint="eastAsia" w:ascii="宋体" w:hAnsi="宋体" w:eastAsia="宋体" w:cs="宋体"/>
          <w:color w:val="auto"/>
        </w:rPr>
        <w:t>a.招标文件规定的方式：</w:t>
      </w:r>
      <w:r>
        <w:rPr>
          <w:color w:val="auto"/>
          <w:u w:val="single"/>
        </w:rPr>
        <w:t>无</w:t>
      </w:r>
      <w:r>
        <w:rPr>
          <w:rFonts w:hint="eastAsia" w:ascii="宋体" w:hAnsi="宋体" w:eastAsia="宋体" w:cs="宋体"/>
          <w:color w:val="auto"/>
        </w:rPr>
        <w:t>。</w:t>
      </w:r>
    </w:p>
    <w:p w14:paraId="69EC9F4C">
      <w:pPr>
        <w:pStyle w:val="27"/>
        <w:widowControl/>
        <w:spacing w:before="75" w:beforeAutospacing="0" w:after="75" w:afterAutospacing="0"/>
        <w:ind w:firstLine="480"/>
        <w:rPr>
          <w:color w:val="auto"/>
        </w:rPr>
      </w:pPr>
      <w:r>
        <w:rPr>
          <w:rFonts w:hint="eastAsia" w:ascii="宋体" w:hAnsi="宋体" w:eastAsia="宋体" w:cs="宋体"/>
          <w:color w:val="auto"/>
        </w:rPr>
        <w:t>b.招标文件未规定的，采取随机抽取方式确定，其他同品牌投标人不作为中标候选人。</w:t>
      </w:r>
    </w:p>
    <w:p w14:paraId="7ADAAE98">
      <w:pPr>
        <w:pStyle w:val="27"/>
        <w:widowControl/>
        <w:spacing w:before="75" w:beforeAutospacing="0" w:after="75" w:afterAutospacing="0"/>
        <w:ind w:firstLine="480"/>
        <w:rPr>
          <w:color w:val="auto"/>
        </w:rPr>
      </w:pPr>
      <w:r>
        <w:rPr>
          <w:rFonts w:hint="eastAsia" w:ascii="宋体" w:hAnsi="宋体" w:eastAsia="宋体" w:cs="宋体"/>
          <w:color w:val="auto"/>
        </w:rPr>
        <w:t>③非单一产品采购项目，多家投标人提供的核心产品品牌相同的，按照本章第</w:t>
      </w:r>
      <w:r>
        <w:rPr>
          <w:rFonts w:ascii="Calibri" w:hAnsi="Calibri" w:cs="Calibri"/>
          <w:color w:val="auto"/>
        </w:rPr>
        <w:t>6.4</w:t>
      </w:r>
      <w:r>
        <w:rPr>
          <w:rFonts w:hint="eastAsia" w:ascii="宋体" w:hAnsi="宋体" w:eastAsia="宋体" w:cs="宋体"/>
          <w:color w:val="auto"/>
        </w:rPr>
        <w:t>条第（</w:t>
      </w:r>
      <w:r>
        <w:rPr>
          <w:rFonts w:ascii="Calibri" w:hAnsi="Calibri" w:cs="Calibri"/>
          <w:color w:val="auto"/>
        </w:rPr>
        <w:t>2</w:t>
      </w:r>
      <w:r>
        <w:rPr>
          <w:rFonts w:hint="eastAsia" w:ascii="宋体" w:hAnsi="宋体" w:eastAsia="宋体" w:cs="宋体"/>
          <w:color w:val="auto"/>
        </w:rPr>
        <w:t>）款第①、②规定处理。</w:t>
      </w:r>
    </w:p>
    <w:p w14:paraId="4D5FEDE3">
      <w:pPr>
        <w:pStyle w:val="27"/>
        <w:widowControl/>
        <w:spacing w:before="75" w:beforeAutospacing="0" w:after="75" w:afterAutospacing="0"/>
        <w:ind w:firstLine="480"/>
        <w:rPr>
          <w:color w:val="auto"/>
        </w:rPr>
      </w:pPr>
      <w:r>
        <w:rPr>
          <w:rFonts w:hint="eastAsia" w:ascii="宋体" w:hAnsi="宋体" w:eastAsia="宋体" w:cs="宋体"/>
          <w:color w:val="auto"/>
        </w:rPr>
        <w:t>（3）漏（缺）项</w:t>
      </w:r>
    </w:p>
    <w:p w14:paraId="37FE5306">
      <w:pPr>
        <w:pStyle w:val="27"/>
        <w:widowControl/>
        <w:spacing w:before="75" w:beforeAutospacing="0" w:after="75" w:afterAutospacing="0"/>
        <w:ind w:firstLine="480"/>
        <w:rPr>
          <w:color w:val="auto"/>
        </w:rPr>
      </w:pPr>
      <w:r>
        <w:rPr>
          <w:rFonts w:hint="eastAsia" w:ascii="宋体" w:hAnsi="宋体" w:eastAsia="宋体" w:cs="宋体"/>
          <w:color w:val="auto"/>
        </w:rPr>
        <w:t>①招标文件中要求列入报价的费用（含配置、功能），漏（缺）项的报价视为已经包括在投标总价中。</w:t>
      </w:r>
    </w:p>
    <w:p w14:paraId="461C7580">
      <w:pPr>
        <w:pStyle w:val="27"/>
        <w:widowControl/>
        <w:spacing w:before="75" w:beforeAutospacing="0" w:after="75" w:afterAutospacing="0"/>
        <w:ind w:firstLine="480"/>
        <w:rPr>
          <w:color w:val="auto"/>
        </w:rPr>
      </w:pPr>
      <w:r>
        <w:rPr>
          <w:rFonts w:hint="eastAsia" w:ascii="宋体" w:hAnsi="宋体" w:eastAsia="宋体" w:cs="宋体"/>
          <w:color w:val="auto"/>
        </w:rPr>
        <w:t>②对多报项及赠送项的价格评标时不予核减，全部进入评标价评议。</w:t>
      </w:r>
    </w:p>
    <w:p w14:paraId="51D07C5B">
      <w:pPr>
        <w:pStyle w:val="27"/>
        <w:widowControl/>
        <w:spacing w:before="75" w:beforeAutospacing="0" w:after="75" w:afterAutospacing="0"/>
        <w:rPr>
          <w:color w:val="auto"/>
        </w:rPr>
      </w:pPr>
      <w:r>
        <w:rPr>
          <w:rFonts w:hint="eastAsia" w:ascii="宋体" w:hAnsi="宋体" w:eastAsia="宋体" w:cs="宋体"/>
          <w:color w:val="auto"/>
        </w:rPr>
        <w:t>6.5推荐中标候选人：详见本章第</w:t>
      </w:r>
      <w:r>
        <w:rPr>
          <w:rFonts w:ascii="Calibri" w:hAnsi="Calibri" w:cs="Calibri"/>
          <w:color w:val="auto"/>
        </w:rPr>
        <w:t>7.2</w:t>
      </w:r>
      <w:r>
        <w:rPr>
          <w:rFonts w:hint="eastAsia" w:ascii="宋体" w:hAnsi="宋体" w:eastAsia="宋体" w:cs="宋体"/>
          <w:color w:val="auto"/>
        </w:rPr>
        <w:t>条规定。</w:t>
      </w:r>
    </w:p>
    <w:p w14:paraId="0047BBCD">
      <w:pPr>
        <w:pStyle w:val="27"/>
        <w:widowControl/>
        <w:spacing w:before="75" w:beforeAutospacing="0" w:after="75" w:afterAutospacing="0"/>
        <w:rPr>
          <w:color w:val="auto"/>
        </w:rPr>
      </w:pPr>
      <w:r>
        <w:rPr>
          <w:rFonts w:hint="eastAsia" w:ascii="宋体" w:hAnsi="宋体" w:eastAsia="宋体" w:cs="宋体"/>
          <w:color w:val="auto"/>
        </w:rPr>
        <w:t>6.6编写评标报告</w:t>
      </w:r>
    </w:p>
    <w:p w14:paraId="1D48B5E3">
      <w:pPr>
        <w:pStyle w:val="27"/>
        <w:widowControl/>
        <w:spacing w:before="75" w:beforeAutospacing="0" w:after="75" w:afterAutospacing="0"/>
        <w:ind w:firstLine="480"/>
        <w:rPr>
          <w:color w:val="auto"/>
        </w:rPr>
      </w:pPr>
      <w:r>
        <w:rPr>
          <w:rFonts w:hint="eastAsia" w:ascii="宋体" w:hAnsi="宋体" w:eastAsia="宋体" w:cs="宋体"/>
          <w:color w:val="auto"/>
        </w:rPr>
        <w:t>（1）评标报告由评标委员会负责编写。</w:t>
      </w:r>
    </w:p>
    <w:p w14:paraId="0426D410">
      <w:pPr>
        <w:pStyle w:val="27"/>
        <w:widowControl/>
        <w:spacing w:before="75" w:beforeAutospacing="0" w:after="75" w:afterAutospacing="0"/>
        <w:ind w:firstLine="480"/>
        <w:rPr>
          <w:color w:val="auto"/>
        </w:rPr>
      </w:pPr>
      <w:r>
        <w:rPr>
          <w:rFonts w:hint="eastAsia" w:ascii="宋体" w:hAnsi="宋体" w:eastAsia="宋体" w:cs="宋体"/>
          <w:color w:val="auto"/>
        </w:rPr>
        <w:t>（2）评标报告应包括下列内容：</w:t>
      </w:r>
    </w:p>
    <w:p w14:paraId="5020E89D">
      <w:pPr>
        <w:pStyle w:val="27"/>
        <w:widowControl/>
        <w:spacing w:before="75" w:beforeAutospacing="0" w:after="75" w:afterAutospacing="0"/>
        <w:ind w:firstLine="480"/>
        <w:rPr>
          <w:color w:val="auto"/>
        </w:rPr>
      </w:pPr>
      <w:r>
        <w:rPr>
          <w:rFonts w:hint="eastAsia" w:ascii="宋体" w:hAnsi="宋体" w:eastAsia="宋体" w:cs="宋体"/>
          <w:color w:val="auto"/>
        </w:rPr>
        <w:t>①招标公告刊登的媒体名称、开标日期和地点；</w:t>
      </w:r>
    </w:p>
    <w:p w14:paraId="61BC65B2">
      <w:pPr>
        <w:pStyle w:val="27"/>
        <w:widowControl/>
        <w:spacing w:before="75" w:beforeAutospacing="0" w:after="75" w:afterAutospacing="0"/>
        <w:ind w:firstLine="480"/>
        <w:rPr>
          <w:color w:val="auto"/>
        </w:rPr>
      </w:pPr>
      <w:r>
        <w:rPr>
          <w:rFonts w:hint="eastAsia" w:ascii="宋体" w:hAnsi="宋体" w:eastAsia="宋体" w:cs="宋体"/>
          <w:color w:val="auto"/>
        </w:rPr>
        <w:t>②投标人名单和评标委员会成员名单；</w:t>
      </w:r>
    </w:p>
    <w:p w14:paraId="3B5EF793">
      <w:pPr>
        <w:pStyle w:val="27"/>
        <w:widowControl/>
        <w:spacing w:before="75" w:beforeAutospacing="0" w:after="75" w:afterAutospacing="0"/>
        <w:ind w:firstLine="480"/>
        <w:rPr>
          <w:color w:val="auto"/>
        </w:rPr>
      </w:pPr>
      <w:r>
        <w:rPr>
          <w:rFonts w:hint="eastAsia" w:ascii="宋体" w:hAnsi="宋体" w:eastAsia="宋体" w:cs="宋体"/>
          <w:color w:val="auto"/>
        </w:rPr>
        <w:t>③评标方法和标准；</w:t>
      </w:r>
    </w:p>
    <w:p w14:paraId="1B6201A5">
      <w:pPr>
        <w:pStyle w:val="27"/>
        <w:widowControl/>
        <w:spacing w:before="75" w:beforeAutospacing="0" w:after="75" w:afterAutospacing="0"/>
        <w:ind w:firstLine="480"/>
        <w:rPr>
          <w:color w:val="auto"/>
        </w:rPr>
      </w:pPr>
      <w:r>
        <w:rPr>
          <w:rFonts w:hint="eastAsia" w:ascii="宋体" w:hAnsi="宋体" w:eastAsia="宋体" w:cs="宋体"/>
          <w:color w:val="auto"/>
        </w:rPr>
        <w:t>④开标记录和评标情况及说明，包括无效投标人名单及原因；</w:t>
      </w:r>
    </w:p>
    <w:p w14:paraId="5135A8C1">
      <w:pPr>
        <w:pStyle w:val="27"/>
        <w:widowControl/>
        <w:spacing w:before="75" w:beforeAutospacing="0" w:after="75" w:afterAutospacing="0"/>
        <w:ind w:firstLine="480"/>
        <w:rPr>
          <w:color w:val="auto"/>
        </w:rPr>
      </w:pPr>
      <w:r>
        <w:rPr>
          <w:rFonts w:hint="eastAsia" w:ascii="宋体" w:hAnsi="宋体" w:eastAsia="宋体" w:cs="宋体"/>
          <w:color w:val="auto"/>
        </w:rPr>
        <w:t>⑤评标结果，包括中标候选人名单或确定的中标人；</w:t>
      </w:r>
    </w:p>
    <w:p w14:paraId="2D752804">
      <w:pPr>
        <w:pStyle w:val="27"/>
        <w:widowControl/>
        <w:spacing w:before="75" w:beforeAutospacing="0" w:after="75" w:afterAutospacing="0"/>
        <w:ind w:firstLine="480"/>
        <w:rPr>
          <w:color w:val="auto"/>
        </w:rPr>
      </w:pPr>
      <w:r>
        <w:rPr>
          <w:rFonts w:hint="eastAsia" w:ascii="宋体" w:hAnsi="宋体" w:eastAsia="宋体" w:cs="宋体"/>
          <w:color w:val="auto"/>
        </w:rPr>
        <w:t>⑥其他需要说明的情况，包括但不限于：评标过程中投标人的澄清、说明或补正，评委更换等。</w:t>
      </w:r>
    </w:p>
    <w:p w14:paraId="06FD765E">
      <w:pPr>
        <w:pStyle w:val="27"/>
        <w:widowControl/>
        <w:spacing w:before="75" w:beforeAutospacing="0" w:after="75" w:afterAutospacing="0"/>
        <w:rPr>
          <w:color w:val="auto"/>
        </w:rPr>
      </w:pPr>
      <w:r>
        <w:rPr>
          <w:rFonts w:hint="eastAsia" w:ascii="宋体" w:hAnsi="宋体" w:eastAsia="宋体" w:cs="宋体"/>
          <w:color w:val="auto"/>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Style w:val="32"/>
          <w:rFonts w:hint="eastAsia" w:ascii="宋体" w:hAnsi="宋体" w:eastAsia="宋体" w:cs="宋体"/>
          <w:color w:val="auto"/>
        </w:rPr>
        <w:t>投标无效</w:t>
      </w:r>
      <w:r>
        <w:rPr>
          <w:rFonts w:hint="eastAsia" w:ascii="宋体" w:hAnsi="宋体" w:eastAsia="宋体" w:cs="宋体"/>
          <w:color w:val="auto"/>
        </w:rPr>
        <w:t>处理。</w:t>
      </w:r>
    </w:p>
    <w:p w14:paraId="6FCD8D12">
      <w:pPr>
        <w:pStyle w:val="27"/>
        <w:widowControl/>
        <w:spacing w:before="75" w:beforeAutospacing="0" w:after="75" w:afterAutospacing="0"/>
        <w:rPr>
          <w:color w:val="auto"/>
        </w:rPr>
      </w:pPr>
      <w:r>
        <w:rPr>
          <w:rFonts w:hint="eastAsia" w:ascii="宋体" w:hAnsi="宋体" w:eastAsia="宋体" w:cs="宋体"/>
          <w:color w:val="auto"/>
        </w:rPr>
        <w:t>6.8评委对需要共同认定的事项存在争议的，应按照少数服从多数的原则进行认定。</w:t>
      </w:r>
      <w:r>
        <w:rPr>
          <w:rStyle w:val="32"/>
          <w:rFonts w:hint="eastAsia" w:ascii="宋体" w:hAnsi="宋体" w:eastAsia="宋体" w:cs="宋体"/>
          <w:color w:val="auto"/>
        </w:rPr>
        <w:t>持不同意见的评委应在评标报告上签署不同意见及理由，否则视为同意评标报告。</w:t>
      </w:r>
    </w:p>
    <w:p w14:paraId="44BDA0CA">
      <w:pPr>
        <w:pStyle w:val="27"/>
        <w:widowControl/>
        <w:spacing w:before="75" w:beforeAutospacing="0" w:after="75" w:afterAutospacing="0"/>
        <w:rPr>
          <w:color w:val="auto"/>
        </w:rPr>
      </w:pPr>
      <w:r>
        <w:rPr>
          <w:rFonts w:hint="eastAsia" w:ascii="宋体" w:hAnsi="宋体" w:eastAsia="宋体" w:cs="宋体"/>
          <w:color w:val="auto"/>
        </w:rPr>
        <w:t>6.9在评标过程中发现投标人有下列情形之一的，评标委员会应认定其</w:t>
      </w:r>
      <w:r>
        <w:rPr>
          <w:rStyle w:val="32"/>
          <w:rFonts w:hint="eastAsia" w:ascii="宋体" w:hAnsi="宋体" w:eastAsia="宋体" w:cs="宋体"/>
          <w:color w:val="auto"/>
        </w:rPr>
        <w:t>投标无效</w:t>
      </w:r>
      <w:r>
        <w:rPr>
          <w:rFonts w:hint="eastAsia" w:ascii="宋体" w:hAnsi="宋体" w:eastAsia="宋体" w:cs="宋体"/>
          <w:color w:val="auto"/>
        </w:rPr>
        <w:t>，并书面报告本项目监督管理部门：</w:t>
      </w:r>
    </w:p>
    <w:p w14:paraId="4BE7A121">
      <w:pPr>
        <w:pStyle w:val="27"/>
        <w:widowControl/>
        <w:spacing w:before="75" w:beforeAutospacing="0" w:after="75" w:afterAutospacing="0"/>
        <w:ind w:firstLine="480"/>
        <w:rPr>
          <w:color w:val="auto"/>
        </w:rPr>
      </w:pPr>
      <w:r>
        <w:rPr>
          <w:rFonts w:hint="eastAsia" w:ascii="宋体" w:hAnsi="宋体" w:eastAsia="宋体" w:cs="宋体"/>
          <w:color w:val="auto"/>
        </w:rPr>
        <w:t>（1）恶意串通（包括但不限于招标文件第三章第</w:t>
      </w:r>
      <w:r>
        <w:rPr>
          <w:rFonts w:ascii="Calibri" w:hAnsi="Calibri" w:cs="Calibri"/>
          <w:color w:val="auto"/>
        </w:rPr>
        <w:t>9.7</w:t>
      </w:r>
      <w:r>
        <w:rPr>
          <w:rFonts w:hint="eastAsia" w:ascii="宋体" w:hAnsi="宋体" w:eastAsia="宋体" w:cs="宋体"/>
          <w:color w:val="auto"/>
        </w:rPr>
        <w:t>条规定情形）；</w:t>
      </w:r>
    </w:p>
    <w:p w14:paraId="7AFCE1B8">
      <w:pPr>
        <w:pStyle w:val="27"/>
        <w:widowControl/>
        <w:spacing w:before="75" w:beforeAutospacing="0" w:after="75" w:afterAutospacing="0"/>
        <w:ind w:firstLine="480"/>
        <w:rPr>
          <w:color w:val="auto"/>
        </w:rPr>
      </w:pPr>
      <w:r>
        <w:rPr>
          <w:rFonts w:hint="eastAsia" w:ascii="宋体" w:hAnsi="宋体" w:eastAsia="宋体" w:cs="宋体"/>
          <w:color w:val="auto"/>
        </w:rPr>
        <w:t>（2）妨碍其他投标人的竞争行为；</w:t>
      </w:r>
    </w:p>
    <w:p w14:paraId="4D6BBA44">
      <w:pPr>
        <w:pStyle w:val="27"/>
        <w:widowControl/>
        <w:spacing w:before="75" w:beforeAutospacing="0" w:after="75" w:afterAutospacing="0"/>
        <w:ind w:firstLine="480"/>
        <w:rPr>
          <w:color w:val="auto"/>
        </w:rPr>
      </w:pPr>
      <w:r>
        <w:rPr>
          <w:rFonts w:hint="eastAsia" w:ascii="宋体" w:hAnsi="宋体" w:eastAsia="宋体" w:cs="宋体"/>
          <w:color w:val="auto"/>
        </w:rPr>
        <w:t>（3）损害采购人或其他投标人的合法权益。</w:t>
      </w:r>
    </w:p>
    <w:p w14:paraId="588F743B">
      <w:pPr>
        <w:pStyle w:val="27"/>
        <w:widowControl/>
        <w:spacing w:before="75" w:beforeAutospacing="0" w:after="75" w:afterAutospacing="0"/>
        <w:rPr>
          <w:color w:val="auto"/>
        </w:rPr>
      </w:pPr>
      <w:r>
        <w:rPr>
          <w:rFonts w:hint="eastAsia" w:ascii="宋体" w:hAnsi="宋体" w:eastAsia="宋体" w:cs="宋体"/>
          <w:color w:val="auto"/>
        </w:rPr>
        <w:t>6.10评标过程中，有下列情形之一的，应予废标：</w:t>
      </w:r>
    </w:p>
    <w:p w14:paraId="437FCD60">
      <w:pPr>
        <w:pStyle w:val="27"/>
        <w:widowControl/>
        <w:spacing w:before="75" w:beforeAutospacing="0" w:after="75" w:afterAutospacing="0"/>
        <w:ind w:firstLine="480"/>
        <w:rPr>
          <w:color w:val="auto"/>
        </w:rPr>
      </w:pPr>
      <w:r>
        <w:rPr>
          <w:rFonts w:hint="eastAsia" w:ascii="宋体" w:hAnsi="宋体" w:eastAsia="宋体" w:cs="宋体"/>
          <w:color w:val="auto"/>
        </w:rPr>
        <w:t>（1）符合性审查合格的投标人不足三家的；</w:t>
      </w:r>
    </w:p>
    <w:p w14:paraId="12350C67">
      <w:pPr>
        <w:pStyle w:val="27"/>
        <w:widowControl/>
        <w:spacing w:before="75" w:beforeAutospacing="0" w:after="75" w:afterAutospacing="0"/>
        <w:ind w:firstLine="480"/>
        <w:rPr>
          <w:color w:val="auto"/>
        </w:rPr>
      </w:pPr>
      <w:r>
        <w:rPr>
          <w:rFonts w:hint="eastAsia" w:ascii="宋体" w:hAnsi="宋体" w:eastAsia="宋体" w:cs="宋体"/>
          <w:color w:val="auto"/>
        </w:rPr>
        <w:t>（2）有关法律、法规和规章规定废标的情形。</w:t>
      </w:r>
    </w:p>
    <w:p w14:paraId="32D12C42">
      <w:pPr>
        <w:pStyle w:val="27"/>
        <w:widowControl/>
        <w:spacing w:before="75" w:beforeAutospacing="0" w:after="75" w:afterAutospacing="0"/>
        <w:ind w:firstLine="480"/>
        <w:rPr>
          <w:color w:val="auto"/>
        </w:rPr>
      </w:pPr>
      <w:r>
        <w:rPr>
          <w:rStyle w:val="32"/>
          <w:rFonts w:hint="eastAsia" w:ascii="宋体" w:hAnsi="宋体" w:eastAsia="宋体" w:cs="宋体"/>
          <w:color w:val="auto"/>
        </w:rPr>
        <w:t>※若废标，则本次采购活动结束，</w:t>
      </w:r>
      <w:r>
        <w:rPr>
          <w:rFonts w:hint="eastAsia" w:ascii="宋体" w:hAnsi="宋体" w:eastAsia="宋体" w:cs="宋体"/>
          <w:color w:val="auto"/>
          <w:u w:val="single"/>
        </w:rPr>
        <w:t>福建省招标中心有限责任公司</w:t>
      </w:r>
      <w:r>
        <w:rPr>
          <w:rStyle w:val="32"/>
          <w:rFonts w:hint="eastAsia" w:ascii="宋体" w:hAnsi="宋体" w:eastAsia="宋体" w:cs="宋体"/>
          <w:color w:val="auto"/>
        </w:rPr>
        <w:t>将依法组织后续采购活动（包括但不限于：重新招标、采用其他方式采购等）。</w:t>
      </w:r>
    </w:p>
    <w:p w14:paraId="4CA0C2E4">
      <w:pPr>
        <w:pStyle w:val="27"/>
        <w:widowControl/>
        <w:spacing w:before="75" w:beforeAutospacing="0" w:after="75" w:afterAutospacing="0"/>
        <w:rPr>
          <w:color w:val="auto"/>
        </w:rPr>
      </w:pPr>
      <w:r>
        <w:rPr>
          <w:rFonts w:hint="eastAsia" w:ascii="宋体" w:hAnsi="宋体" w:eastAsia="宋体" w:cs="宋体"/>
          <w:color w:val="auto"/>
        </w:rPr>
        <w:t>7、评标方法和标准</w:t>
      </w:r>
    </w:p>
    <w:p w14:paraId="526B8B26">
      <w:pPr>
        <w:pStyle w:val="27"/>
        <w:widowControl/>
        <w:spacing w:before="75" w:beforeAutospacing="0" w:after="75" w:afterAutospacing="0"/>
        <w:rPr>
          <w:color w:val="auto"/>
        </w:rPr>
      </w:pPr>
      <w:r>
        <w:rPr>
          <w:rFonts w:hint="eastAsia" w:ascii="宋体" w:hAnsi="宋体" w:eastAsia="宋体" w:cs="宋体"/>
          <w:color w:val="auto"/>
        </w:rPr>
        <w:t>7.1评标方法：</w:t>
      </w:r>
      <w:r>
        <w:rPr>
          <w:color w:val="auto"/>
        </w:rPr>
        <w:t> </w:t>
      </w:r>
      <w:r>
        <w:rPr>
          <w:rFonts w:hint="eastAsia"/>
          <w:color w:val="auto"/>
        </w:rPr>
        <w:t xml:space="preserve"> 合同包1,合同包2采用综合评分法。</w:t>
      </w:r>
    </w:p>
    <w:p w14:paraId="41DA4407">
      <w:pPr>
        <w:pStyle w:val="27"/>
        <w:widowControl/>
        <w:spacing w:before="75" w:beforeAutospacing="0" w:after="75" w:afterAutospacing="0"/>
        <w:rPr>
          <w:color w:val="auto"/>
        </w:rPr>
      </w:pPr>
      <w:r>
        <w:rPr>
          <w:rFonts w:hint="eastAsia" w:ascii="宋体" w:hAnsi="宋体" w:eastAsia="宋体" w:cs="宋体"/>
          <w:color w:val="auto"/>
        </w:rPr>
        <w:t>7.2评标标准</w:t>
      </w:r>
    </w:p>
    <w:p w14:paraId="5947F08B">
      <w:pPr>
        <w:pStyle w:val="27"/>
        <w:widowControl/>
        <w:spacing w:before="75" w:beforeAutospacing="0" w:after="75" w:afterAutospacing="0"/>
        <w:outlineLvl w:val="1"/>
        <w:rPr>
          <w:rFonts w:ascii="微软雅黑" w:hAnsi="微软雅黑" w:eastAsia="微软雅黑" w:cs="微软雅黑"/>
          <w:color w:val="auto"/>
          <w:sz w:val="19"/>
          <w:szCs w:val="19"/>
        </w:rPr>
      </w:pPr>
      <w:r>
        <w:rPr>
          <w:rFonts w:hint="eastAsia" w:ascii="宋体" w:hAnsi="宋体" w:eastAsia="宋体" w:cs="宋体"/>
          <w:color w:val="auto"/>
        </w:rPr>
        <w:t> </w:t>
      </w:r>
      <w:r>
        <w:rPr>
          <w:rStyle w:val="32"/>
          <w:rFonts w:hint="eastAsia" w:ascii="宋体" w:hAnsi="宋体" w:eastAsia="宋体" w:cs="宋体"/>
          <w:color w:val="auto"/>
          <w:shd w:val="clear" w:color="auto" w:fill="FFFFFF"/>
        </w:rPr>
        <w:t>合同包1采用综合评分法</w:t>
      </w:r>
      <w:r>
        <w:rPr>
          <w:rFonts w:hint="eastAsia" w:ascii="宋体" w:hAnsi="宋体" w:eastAsia="宋体" w:cs="宋体"/>
          <w:color w:val="auto"/>
          <w:shd w:val="clear" w:color="auto" w:fill="FFFFFF"/>
        </w:rPr>
        <w:t>：</w:t>
      </w:r>
    </w:p>
    <w:p w14:paraId="0FA9AEEE">
      <w:pPr>
        <w:pStyle w:val="27"/>
        <w:widowControl/>
        <w:ind w:firstLine="480"/>
        <w:rPr>
          <w:color w:val="auto"/>
        </w:rPr>
      </w:pPr>
      <w:r>
        <w:rPr>
          <w:rFonts w:ascii="宋体" w:hAnsi="宋体" w:eastAsia="宋体" w:cs="宋体"/>
          <w:color w:val="auto"/>
        </w:rPr>
        <w:t>（</w:t>
      </w:r>
      <w:r>
        <w:rPr>
          <w:rFonts w:hint="eastAsia" w:ascii="宋体" w:hAnsi="宋体" w:eastAsia="宋体" w:cs="宋体"/>
          <w:color w:val="auto"/>
        </w:rPr>
        <w:t>1）投标文件满足招标文件全部实质性要求，且按照评审因素的量化指标评审得分（即评标总得分）最高的投标人为中标候选人。</w:t>
      </w:r>
      <w:r>
        <w:rPr>
          <w:color w:val="auto"/>
        </w:rPr>
        <w:t xml:space="preserve"> </w:t>
      </w:r>
    </w:p>
    <w:p w14:paraId="44437030">
      <w:pPr>
        <w:pStyle w:val="27"/>
        <w:widowControl/>
        <w:ind w:firstLine="480"/>
        <w:rPr>
          <w:color w:val="auto"/>
        </w:rPr>
      </w:pPr>
      <w:r>
        <w:rPr>
          <w:rFonts w:hint="eastAsia" w:ascii="宋体" w:hAnsi="宋体" w:eastAsia="宋体" w:cs="宋体"/>
          <w:color w:val="auto"/>
        </w:rPr>
        <w:t>（2）每个投标人的评标总得分</w:t>
      </w:r>
      <w:r>
        <w:rPr>
          <w:rFonts w:ascii="Calibri" w:hAnsi="Calibri" w:eastAsia="宋体" w:cs="Calibri"/>
          <w:color w:val="auto"/>
        </w:rPr>
        <w:t>FA</w:t>
      </w:r>
      <w:r>
        <w:rPr>
          <w:rFonts w:hint="eastAsia" w:ascii="宋体" w:hAnsi="宋体" w:eastAsia="宋体" w:cs="宋体"/>
          <w:color w:val="auto"/>
        </w:rPr>
        <w:t>＝</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w:t>
      </w:r>
      <w:r>
        <w:rPr>
          <w:rFonts w:ascii="Calibri" w:hAnsi="Calibri" w:eastAsia="宋体" w:cs="Calibri"/>
          <w:color w:val="auto"/>
        </w:rPr>
        <w:t>F3</w:t>
      </w:r>
      <w:r>
        <w:rPr>
          <w:rFonts w:hint="eastAsia" w:ascii="宋体" w:hAnsi="宋体" w:eastAsia="宋体" w:cs="宋体"/>
          <w:color w:val="auto"/>
        </w:rPr>
        <w:t>×</w:t>
      </w:r>
      <w:r>
        <w:rPr>
          <w:rFonts w:ascii="Calibri" w:hAnsi="Calibri" w:eastAsia="宋体" w:cs="Calibri"/>
          <w:color w:val="auto"/>
        </w:rPr>
        <w:t>A3</w:t>
      </w:r>
      <w:r>
        <w:rPr>
          <w:rFonts w:hint="eastAsia" w:ascii="宋体" w:hAnsi="宋体" w:eastAsia="宋体" w:cs="宋体"/>
          <w:color w:val="auto"/>
        </w:rPr>
        <w:t>＋</w:t>
      </w:r>
      <w:r>
        <w:rPr>
          <w:rFonts w:ascii="Calibri" w:hAnsi="Calibri" w:eastAsia="宋体" w:cs="Calibri"/>
          <w:color w:val="auto"/>
        </w:rPr>
        <w:t>F4</w:t>
      </w:r>
      <w:r>
        <w:rPr>
          <w:rFonts w:hint="eastAsia" w:ascii="宋体" w:hAnsi="宋体" w:eastAsia="宋体" w:cs="宋体"/>
          <w:color w:val="auto"/>
        </w:rPr>
        <w:t>×</w:t>
      </w:r>
      <w:r>
        <w:rPr>
          <w:rFonts w:ascii="Calibri" w:hAnsi="Calibri" w:eastAsia="宋体" w:cs="Calibri"/>
          <w:color w:val="auto"/>
        </w:rPr>
        <w:t>A4</w:t>
      </w:r>
      <w:r>
        <w:rPr>
          <w:rFonts w:hint="eastAsia" w:ascii="宋体" w:hAnsi="宋体" w:eastAsia="宋体" w:cs="宋体"/>
          <w:color w:val="auto"/>
        </w:rPr>
        <w:t>（若有），其中：</w:t>
      </w:r>
      <w:r>
        <w:rPr>
          <w:rFonts w:ascii="Calibri" w:hAnsi="Calibri" w:eastAsia="宋体" w:cs="Calibri"/>
          <w:color w:val="auto"/>
        </w:rPr>
        <w:t>F1</w:t>
      </w:r>
      <w:r>
        <w:rPr>
          <w:rFonts w:hint="eastAsia" w:ascii="宋体" w:hAnsi="宋体" w:eastAsia="宋体" w:cs="宋体"/>
          <w:color w:val="auto"/>
        </w:rPr>
        <w:t>指价格项评审因素得分、</w:t>
      </w:r>
      <w:r>
        <w:rPr>
          <w:rFonts w:ascii="Calibri" w:hAnsi="Calibri" w:eastAsia="宋体" w:cs="Calibri"/>
          <w:color w:val="auto"/>
        </w:rPr>
        <w:t>F2</w:t>
      </w:r>
      <w:r>
        <w:rPr>
          <w:rFonts w:hint="eastAsia" w:ascii="宋体" w:hAnsi="宋体" w:eastAsia="宋体" w:cs="宋体"/>
          <w:color w:val="auto"/>
        </w:rPr>
        <w:t>指技术项评审因素得分、</w:t>
      </w:r>
      <w:r>
        <w:rPr>
          <w:rFonts w:ascii="Calibri" w:hAnsi="Calibri" w:eastAsia="宋体" w:cs="Calibri"/>
          <w:color w:val="auto"/>
        </w:rPr>
        <w:t>F3</w:t>
      </w:r>
      <w:r>
        <w:rPr>
          <w:rFonts w:hint="eastAsia" w:ascii="宋体" w:hAnsi="宋体" w:eastAsia="宋体" w:cs="宋体"/>
          <w:color w:val="auto"/>
        </w:rPr>
        <w:t>指商务项评审因素得分，</w:t>
      </w:r>
      <w:r>
        <w:rPr>
          <w:rFonts w:ascii="Calibri" w:hAnsi="Calibri" w:eastAsia="宋体" w:cs="Calibri"/>
          <w:color w:val="auto"/>
        </w:rPr>
        <w:t>A1</w:t>
      </w:r>
      <w:r>
        <w:rPr>
          <w:rFonts w:hint="eastAsia" w:ascii="宋体" w:hAnsi="宋体" w:eastAsia="宋体" w:cs="宋体"/>
          <w:color w:val="auto"/>
        </w:rPr>
        <w:t>指价格项评审因素所占的权重、</w:t>
      </w:r>
      <w:r>
        <w:rPr>
          <w:rFonts w:ascii="Calibri" w:hAnsi="Calibri" w:eastAsia="宋体" w:cs="Calibri"/>
          <w:color w:val="auto"/>
        </w:rPr>
        <w:t>A2</w:t>
      </w:r>
      <w:r>
        <w:rPr>
          <w:rFonts w:hint="eastAsia" w:ascii="宋体" w:hAnsi="宋体" w:eastAsia="宋体" w:cs="宋体"/>
          <w:color w:val="auto"/>
        </w:rPr>
        <w:t>指技术项评审因素所占的权重、</w:t>
      </w:r>
      <w:r>
        <w:rPr>
          <w:rFonts w:ascii="Calibri" w:hAnsi="Calibri" w:eastAsia="宋体" w:cs="Calibri"/>
          <w:color w:val="auto"/>
        </w:rPr>
        <w:t>A3</w:t>
      </w:r>
      <w:r>
        <w:rPr>
          <w:rFonts w:hint="eastAsia" w:ascii="宋体" w:hAnsi="宋体" w:eastAsia="宋体" w:cs="宋体"/>
          <w:color w:val="auto"/>
        </w:rPr>
        <w:t>指商务项评审因素所占的权重，</w:t>
      </w:r>
      <w:r>
        <w:rPr>
          <w:rFonts w:ascii="Calibri" w:hAnsi="Calibri" w:eastAsia="宋体" w:cs="Calibri"/>
          <w:color w:val="auto"/>
        </w:rPr>
        <w:t>A1+A2+A3=1</w:t>
      </w:r>
      <w:r>
        <w:rPr>
          <w:rFonts w:hint="eastAsia" w:ascii="宋体" w:hAnsi="宋体" w:eastAsia="宋体" w:cs="宋体"/>
          <w:color w:val="auto"/>
        </w:rPr>
        <w:t>、</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w:t>
      </w:r>
      <w:r>
        <w:rPr>
          <w:rFonts w:ascii="Calibri" w:hAnsi="Calibri" w:eastAsia="宋体" w:cs="Calibri"/>
          <w:color w:val="auto"/>
        </w:rPr>
        <w:t>F3</w:t>
      </w:r>
      <w:r>
        <w:rPr>
          <w:rFonts w:hint="eastAsia" w:ascii="宋体" w:hAnsi="宋体" w:eastAsia="宋体" w:cs="宋体"/>
          <w:color w:val="auto"/>
        </w:rPr>
        <w:t>×</w:t>
      </w:r>
      <w:r>
        <w:rPr>
          <w:rFonts w:ascii="Calibri" w:hAnsi="Calibri" w:eastAsia="宋体" w:cs="Calibri"/>
          <w:color w:val="auto"/>
        </w:rPr>
        <w:t>A3=100</w:t>
      </w:r>
      <w:r>
        <w:rPr>
          <w:rFonts w:hint="eastAsia" w:ascii="宋体" w:hAnsi="宋体" w:eastAsia="宋体" w:cs="宋体"/>
          <w:color w:val="auto"/>
        </w:rPr>
        <w:t>分（满分时），</w:t>
      </w:r>
      <w:r>
        <w:rPr>
          <w:rFonts w:ascii="Calibri" w:hAnsi="Calibri" w:eastAsia="宋体" w:cs="Calibri"/>
          <w:color w:val="auto"/>
        </w:rPr>
        <w:t>F4</w:t>
      </w:r>
      <w:r>
        <w:rPr>
          <w:rFonts w:hint="eastAsia" w:ascii="宋体" w:hAnsi="宋体" w:eastAsia="宋体" w:cs="宋体"/>
          <w:color w:val="auto"/>
        </w:rPr>
        <w:t>×</w:t>
      </w:r>
      <w:r>
        <w:rPr>
          <w:rFonts w:ascii="Calibri" w:hAnsi="Calibri" w:eastAsia="宋体" w:cs="Calibri"/>
          <w:color w:val="auto"/>
        </w:rPr>
        <w:t>A4</w:t>
      </w:r>
      <w:r>
        <w:rPr>
          <w:rFonts w:hint="eastAsia" w:ascii="宋体" w:hAnsi="宋体" w:eastAsia="宋体" w:cs="宋体"/>
          <w:color w:val="auto"/>
        </w:rPr>
        <w:t>为加分项（即优先类节能产品、环境标志产品在采购活动中可享有的加分优惠）。</w:t>
      </w:r>
      <w:r>
        <w:rPr>
          <w:color w:val="auto"/>
        </w:rPr>
        <w:t xml:space="preserve"> </w:t>
      </w:r>
    </w:p>
    <w:p w14:paraId="56EB6FA7">
      <w:pPr>
        <w:pStyle w:val="27"/>
        <w:widowControl/>
        <w:ind w:firstLine="480"/>
        <w:rPr>
          <w:color w:val="auto"/>
        </w:rPr>
      </w:pPr>
      <w:r>
        <w:rPr>
          <w:rFonts w:hint="eastAsia" w:ascii="宋体" w:hAnsi="宋体" w:eastAsia="宋体" w:cs="宋体"/>
          <w:color w:val="auto"/>
        </w:rPr>
        <w:t>（3）各项评审因素的设置如下：</w:t>
      </w:r>
      <w:r>
        <w:rPr>
          <w:color w:val="auto"/>
        </w:rPr>
        <w:t xml:space="preserve"> </w:t>
      </w:r>
    </w:p>
    <w:p w14:paraId="2CBF67CE">
      <w:pPr>
        <w:pStyle w:val="27"/>
        <w:widowControl/>
        <w:ind w:firstLine="480"/>
        <w:rPr>
          <w:color w:val="auto"/>
        </w:rPr>
      </w:pPr>
      <w:r>
        <w:rPr>
          <w:rFonts w:hint="eastAsia" w:ascii="宋体" w:hAnsi="宋体" w:eastAsia="宋体" w:cs="宋体"/>
          <w:color w:val="auto"/>
        </w:rPr>
        <w:t>①价格项（</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）满分为</w:t>
      </w:r>
      <w:r>
        <w:rPr>
          <w:rFonts w:hint="eastAsia" w:ascii="宋体" w:hAnsi="宋体" w:eastAsia="宋体" w:cs="宋体"/>
          <w:color w:val="auto"/>
          <w:u w:val="single"/>
        </w:rPr>
        <w:t>10</w:t>
      </w:r>
      <w:r>
        <w:rPr>
          <w:rFonts w:hint="eastAsia" w:ascii="宋体" w:hAnsi="宋体" w:eastAsia="宋体" w:cs="宋体"/>
          <w:color w:val="auto"/>
        </w:rPr>
        <w:t>分。</w:t>
      </w:r>
    </w:p>
    <w:p w14:paraId="0E0C7851">
      <w:pPr>
        <w:pStyle w:val="27"/>
        <w:widowControl/>
        <w:ind w:firstLine="480"/>
        <w:rPr>
          <w:color w:val="auto"/>
        </w:rPr>
      </w:pPr>
      <w:r>
        <w:rPr>
          <w:rFonts w:hint="eastAsia" w:ascii="宋体" w:hAnsi="宋体" w:eastAsia="宋体" w:cs="宋体"/>
          <w:color w:val="auto"/>
        </w:rPr>
        <w:t>a.价格分采用低价优先法计算，即满足招标文件要求且投标价格最低的投标报价为评标基准价，其价格分为满分。其他投标人的价格分统一按照下列公式计算：投标报价得分</w:t>
      </w:r>
      <w:r>
        <w:rPr>
          <w:rFonts w:ascii="Calibri" w:hAnsi="Calibri" w:eastAsia="宋体" w:cs="Calibri"/>
          <w:color w:val="auto"/>
        </w:rPr>
        <w:t>=</w:t>
      </w:r>
      <w:r>
        <w:rPr>
          <w:rFonts w:hint="eastAsia" w:ascii="宋体" w:hAnsi="宋体" w:eastAsia="宋体" w:cs="宋体"/>
          <w:color w:val="auto"/>
        </w:rPr>
        <w:t>（评标基准价／投标报价）×</w:t>
      </w:r>
      <w:r>
        <w:rPr>
          <w:rFonts w:ascii="Calibri" w:hAnsi="Calibri" w:eastAsia="宋体" w:cs="Calibri"/>
          <w:color w:val="auto"/>
        </w:rPr>
        <w:t>100</w:t>
      </w:r>
      <w:r>
        <w:rPr>
          <w:rFonts w:hint="eastAsia" w:ascii="宋体" w:hAnsi="宋体" w:eastAsia="宋体" w:cs="宋体"/>
          <w:color w:val="auto"/>
        </w:rPr>
        <w:t>。因落实政府采购政策需进行价格扣除的，以扣除后的价格计算评标基准价和投标报价。</w:t>
      </w:r>
      <w:r>
        <w:rPr>
          <w:color w:val="auto"/>
        </w:rPr>
        <w:t xml:space="preserve"> </w:t>
      </w:r>
    </w:p>
    <w:p w14:paraId="2EFA3104">
      <w:pPr>
        <w:pStyle w:val="27"/>
        <w:widowControl/>
        <w:ind w:firstLine="480"/>
        <w:rPr>
          <w:color w:val="auto"/>
        </w:rPr>
      </w:pPr>
      <w:r>
        <w:rPr>
          <w:rFonts w:ascii="Calibri" w:hAnsi="Calibri" w:cs="Calibri"/>
          <w:color w:val="auto"/>
        </w:rPr>
        <w:t>b.</w:t>
      </w:r>
      <w:r>
        <w:rPr>
          <w:rFonts w:hint="eastAsia" w:ascii="宋体" w:hAnsi="宋体" w:eastAsia="宋体" w:cs="宋体"/>
          <w:color w:val="auto"/>
        </w:rPr>
        <w:t>价格扣除的规则如下：</w:t>
      </w:r>
    </w:p>
    <w:tbl>
      <w:tblPr>
        <w:tblStyle w:val="30"/>
        <w:tblW w:w="831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097"/>
        <w:gridCol w:w="7218"/>
      </w:tblGrid>
      <w:tr w14:paraId="40E656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097" w:type="dxa"/>
            <w:shd w:val="clear" w:color="auto" w:fill="auto"/>
            <w:vAlign w:val="center"/>
          </w:tcPr>
          <w:p w14:paraId="0C2DF667">
            <w:pPr>
              <w:widowControl/>
              <w:jc w:val="left"/>
              <w:rPr>
                <w:color w:val="auto"/>
              </w:rPr>
            </w:pPr>
            <w:r>
              <w:rPr>
                <w:rFonts w:ascii="宋体" w:hAnsi="宋体" w:eastAsia="宋体" w:cs="宋体"/>
                <w:color w:val="auto"/>
                <w:kern w:val="0"/>
                <w:sz w:val="24"/>
                <w:lang w:bidi="ar"/>
              </w:rPr>
              <w:t>评标项目</w:t>
            </w:r>
          </w:p>
        </w:tc>
        <w:tc>
          <w:tcPr>
            <w:tcW w:w="7218" w:type="dxa"/>
            <w:shd w:val="clear" w:color="auto" w:fill="auto"/>
            <w:vAlign w:val="center"/>
          </w:tcPr>
          <w:p w14:paraId="5A61F4F1">
            <w:pPr>
              <w:widowControl/>
              <w:jc w:val="left"/>
              <w:rPr>
                <w:color w:val="auto"/>
              </w:rPr>
            </w:pPr>
            <w:r>
              <w:rPr>
                <w:rFonts w:ascii="宋体" w:hAnsi="宋体" w:eastAsia="宋体" w:cs="宋体"/>
                <w:color w:val="auto"/>
                <w:kern w:val="0"/>
                <w:sz w:val="24"/>
                <w:lang w:bidi="ar"/>
              </w:rPr>
              <w:t>评标方法</w:t>
            </w:r>
          </w:p>
        </w:tc>
      </w:tr>
      <w:tr w14:paraId="7DE2E3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097" w:type="dxa"/>
            <w:shd w:val="clear" w:color="auto" w:fill="auto"/>
            <w:vAlign w:val="center"/>
          </w:tcPr>
          <w:p w14:paraId="096977A9">
            <w:pPr>
              <w:widowControl/>
              <w:jc w:val="center"/>
              <w:rPr>
                <w:color w:val="auto"/>
              </w:rPr>
            </w:pPr>
            <w:r>
              <w:rPr>
                <w:rFonts w:ascii="宋体" w:hAnsi="宋体" w:eastAsia="宋体" w:cs="宋体"/>
                <w:color w:val="auto"/>
                <w:kern w:val="0"/>
                <w:sz w:val="24"/>
                <w:lang w:bidi="ar"/>
              </w:rPr>
              <w:t>小型、微型企业，监狱企业，残疾人</w:t>
            </w:r>
          </w:p>
        </w:tc>
        <w:tc>
          <w:tcPr>
            <w:tcW w:w="7218" w:type="dxa"/>
            <w:shd w:val="clear" w:color="auto" w:fill="auto"/>
            <w:vAlign w:val="center"/>
          </w:tcPr>
          <w:p w14:paraId="27B7BD6E">
            <w:pPr>
              <w:widowControl/>
              <w:jc w:val="left"/>
              <w:rPr>
                <w:color w:val="auto"/>
              </w:rPr>
            </w:pPr>
            <w:r>
              <w:rPr>
                <w:rStyle w:val="32"/>
                <w:rFonts w:ascii="宋体" w:hAnsi="宋体" w:eastAsia="宋体" w:cs="宋体"/>
                <w:color w:val="auto"/>
                <w:kern w:val="0"/>
                <w:sz w:val="24"/>
                <w:lang w:bidi="ar"/>
              </w:rPr>
              <w:t>经采购人确认，本合同包不属于专门面向中小企业预留份额的招标项目，因此根据《</w:t>
            </w:r>
            <w:r>
              <w:rPr>
                <w:rStyle w:val="32"/>
                <w:rFonts w:hint="eastAsia" w:ascii="宋体" w:hAnsi="宋体" w:eastAsia="宋体" w:cs="宋体"/>
                <w:color w:val="auto"/>
                <w:kern w:val="0"/>
                <w:sz w:val="24"/>
                <w:lang w:bidi="ar"/>
              </w:rPr>
              <w:t>政府采购促进中小企业发展管理办法</w:t>
            </w:r>
            <w:r>
              <w:rPr>
                <w:rStyle w:val="32"/>
                <w:rFonts w:ascii="宋体" w:hAnsi="宋体" w:eastAsia="宋体" w:cs="宋体"/>
                <w:color w:val="auto"/>
                <w:kern w:val="0"/>
                <w:sz w:val="24"/>
                <w:lang w:bidi="ar"/>
              </w:rPr>
              <w:t>》财库〔2020〕46号文的规定，符合以下规则条件的投标人将依法享受相应的价格扣除优惠政策，用扣除后的价格参加评审。参加本合同包的投标人，必须在响应文件中按照招标文件第七章所附格式如实填写《中小企业声明函》，投标人应当对其承诺和提供材料的真实性、合法性和准确性负责。未按招标文件要求提供《中小企业声明函》，视同为相应投标人不满足小微企业条件和标准，不享受价格扣除的优惠政策。 ①本合同包是服务类采购，根据《</w:t>
            </w:r>
            <w:r>
              <w:rPr>
                <w:rStyle w:val="32"/>
                <w:rFonts w:hint="eastAsia" w:ascii="宋体" w:hAnsi="宋体" w:eastAsia="宋体" w:cs="宋体"/>
                <w:color w:val="auto"/>
                <w:kern w:val="0"/>
                <w:sz w:val="24"/>
                <w:lang w:bidi="ar"/>
              </w:rPr>
              <w:t>政府采购促进中小企业发展管理办法</w:t>
            </w:r>
            <w:r>
              <w:rPr>
                <w:rStyle w:val="32"/>
                <w:rFonts w:ascii="宋体" w:hAnsi="宋体" w:eastAsia="宋体" w:cs="宋体"/>
                <w:color w:val="auto"/>
                <w:kern w:val="0"/>
                <w:sz w:val="24"/>
                <w:lang w:bidi="ar"/>
              </w:rPr>
              <w:t>》财库〔2020〕46号文的有关规定，服务采购项目中，服务由中小企业主体承接的，才能享受相应扶持政策。本合同包投标人自身承接全部服务内容，且投标人符合政府采购相关法规要求的小微企业划分标准，将依法享受价格扣除的优惠政策，对其报价给予10%的价格扣除，用扣除后的价格参加评审。投标人必须在响应文件中按照招标文件第七章所附格式如实填写《中小企业声明函》，投标人应当对其承诺和提供材料的真实性、合法性和准确性负责。未按招标文件要求提供《中小企业声明函》，视同为投标人不满足小微企业条件和标准，不享受价格扣除的优惠政策。 ②根据关于印发中小企业划型标准规定的通知(工信部联企业〔2011〕300号)有关规定，本项目采购标的对应的中小企业划分标准所属行业为软件和信息技术服务业。 ③根据财政部、司法部联合印发《关于政府采购支持监狱企业发展有关问题的通知》（财库【2014】68号）文以及财政部、民政部、中国残联联合发布关于促进残疾人就业政府采购政策的通知（财库[2017]141号）文的有关规定，监狱企业和残疾人福利性单位视同为小型、微型企业。监狱企业或残疾人福利性单位参加本合同包投标且全部服务内容均由其自身承接的，将依法享受价格扣除的优惠政策，对其报价给予10%的价格扣除，用扣除后的价格参加评审。但监狱企业必须提供由省级以上监狱管理局、戒毒管理局（含新疆生产建设兵团）出具的属于监狱企业的证明文件，否则评审时不享受价格扣除的优惠政策；残疾人福利性单位必须如实提供《残疾人福利性单位声明函》，否则评审时不享受价格扣除的优惠政策。上述规定与政府采购相关法律、法规、制度等有冲突的，以现行法律、法规、制度等执行。</w:t>
            </w:r>
          </w:p>
        </w:tc>
      </w:tr>
    </w:tbl>
    <w:p w14:paraId="669FFD9A">
      <w:pPr>
        <w:pStyle w:val="27"/>
        <w:widowControl/>
        <w:ind w:firstLine="480"/>
        <w:rPr>
          <w:color w:val="auto"/>
        </w:rPr>
      </w:pPr>
      <w:r>
        <w:rPr>
          <w:rFonts w:hint="eastAsia" w:ascii="宋体" w:hAnsi="宋体" w:eastAsia="宋体" w:cs="宋体"/>
          <w:color w:val="auto"/>
        </w:rPr>
        <w:t>②技术项（</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）满分为</w:t>
      </w:r>
      <w:r>
        <w:rPr>
          <w:rFonts w:hint="eastAsia" w:ascii="宋体" w:hAnsi="宋体" w:eastAsia="宋体" w:cs="宋体"/>
          <w:color w:val="auto"/>
          <w:u w:val="single"/>
        </w:rPr>
        <w:t>65</w:t>
      </w:r>
      <w:r>
        <w:rPr>
          <w:rFonts w:hint="eastAsia" w:ascii="宋体" w:hAnsi="宋体" w:eastAsia="宋体" w:cs="宋体"/>
          <w:color w:val="auto"/>
        </w:rPr>
        <w:t>分。</w:t>
      </w:r>
    </w:p>
    <w:tbl>
      <w:tblPr>
        <w:tblStyle w:val="30"/>
        <w:tblW w:w="8321"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21"/>
        <w:gridCol w:w="623"/>
        <w:gridCol w:w="6877"/>
      </w:tblGrid>
      <w:tr w14:paraId="6EA96A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821" w:type="dxa"/>
            <w:vAlign w:val="center"/>
          </w:tcPr>
          <w:p w14:paraId="719E7AE5">
            <w:pPr>
              <w:widowControl/>
              <w:jc w:val="center"/>
              <w:rPr>
                <w:rFonts w:ascii="宋体" w:hAnsi="宋体" w:cs="宋体"/>
                <w:color w:val="auto"/>
                <w:kern w:val="0"/>
                <w:sz w:val="24"/>
                <w:lang w:bidi="ar"/>
              </w:rPr>
            </w:pPr>
            <w:r>
              <w:rPr>
                <w:rFonts w:ascii="宋体" w:hAnsi="宋体" w:cs="宋体"/>
                <w:color w:val="auto"/>
                <w:kern w:val="0"/>
                <w:sz w:val="24"/>
                <w:lang w:bidi="ar"/>
              </w:rPr>
              <w:t>评标</w:t>
            </w:r>
          </w:p>
          <w:p w14:paraId="40DD3D58">
            <w:pPr>
              <w:widowControl/>
              <w:jc w:val="center"/>
              <w:rPr>
                <w:color w:val="auto"/>
                <w:sz w:val="24"/>
              </w:rPr>
            </w:pPr>
            <w:r>
              <w:rPr>
                <w:rFonts w:ascii="宋体" w:hAnsi="宋体" w:cs="宋体"/>
                <w:color w:val="auto"/>
                <w:kern w:val="0"/>
                <w:sz w:val="24"/>
                <w:lang w:bidi="ar"/>
              </w:rPr>
              <w:t>项目</w:t>
            </w:r>
          </w:p>
        </w:tc>
        <w:tc>
          <w:tcPr>
            <w:tcW w:w="623" w:type="dxa"/>
            <w:vAlign w:val="center"/>
          </w:tcPr>
          <w:p w14:paraId="2D898D64">
            <w:pPr>
              <w:widowControl/>
              <w:jc w:val="center"/>
              <w:rPr>
                <w:color w:val="auto"/>
                <w:sz w:val="24"/>
              </w:rPr>
            </w:pPr>
            <w:r>
              <w:rPr>
                <w:rFonts w:ascii="宋体" w:hAnsi="宋体" w:cs="宋体"/>
                <w:color w:val="auto"/>
                <w:kern w:val="0"/>
                <w:sz w:val="24"/>
                <w:lang w:bidi="ar"/>
              </w:rPr>
              <w:t>评标分值</w:t>
            </w:r>
          </w:p>
        </w:tc>
        <w:tc>
          <w:tcPr>
            <w:tcW w:w="6877" w:type="dxa"/>
            <w:vAlign w:val="center"/>
          </w:tcPr>
          <w:p w14:paraId="6A44AB26">
            <w:pPr>
              <w:widowControl/>
              <w:jc w:val="center"/>
              <w:rPr>
                <w:color w:val="auto"/>
                <w:sz w:val="24"/>
              </w:rPr>
            </w:pPr>
            <w:r>
              <w:rPr>
                <w:rFonts w:ascii="宋体" w:hAnsi="宋体" w:cs="宋体"/>
                <w:color w:val="auto"/>
                <w:kern w:val="0"/>
                <w:sz w:val="24"/>
                <w:lang w:bidi="ar"/>
              </w:rPr>
              <w:t>评标方法描述</w:t>
            </w:r>
          </w:p>
        </w:tc>
      </w:tr>
      <w:tr w14:paraId="09DE1F2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4CF81EBD">
            <w:pPr>
              <w:widowControl/>
              <w:jc w:val="left"/>
              <w:rPr>
                <w:color w:val="auto"/>
                <w:sz w:val="24"/>
              </w:rPr>
            </w:pPr>
            <w:r>
              <w:rPr>
                <w:rFonts w:ascii="宋体" w:hAnsi="宋体" w:cs="宋体"/>
                <w:color w:val="auto"/>
                <w:kern w:val="0"/>
                <w:sz w:val="24"/>
                <w:lang w:bidi="ar"/>
              </w:rPr>
              <w:t>1、响应内容对招标要求的响应程度情况</w:t>
            </w:r>
          </w:p>
        </w:tc>
        <w:tc>
          <w:tcPr>
            <w:tcW w:w="623" w:type="dxa"/>
            <w:vAlign w:val="center"/>
          </w:tcPr>
          <w:p w14:paraId="2F0F9A22">
            <w:pPr>
              <w:widowControl/>
              <w:jc w:val="center"/>
              <w:rPr>
                <w:color w:val="auto"/>
                <w:sz w:val="24"/>
              </w:rPr>
            </w:pPr>
            <w:r>
              <w:rPr>
                <w:rFonts w:hint="eastAsia"/>
                <w:color w:val="auto"/>
                <w:sz w:val="24"/>
              </w:rPr>
              <w:t>24</w:t>
            </w:r>
          </w:p>
        </w:tc>
        <w:tc>
          <w:tcPr>
            <w:tcW w:w="6877" w:type="dxa"/>
            <w:vAlign w:val="center"/>
          </w:tcPr>
          <w:p w14:paraId="05FBB029">
            <w:pPr>
              <w:widowControl/>
              <w:jc w:val="left"/>
              <w:rPr>
                <w:color w:val="auto"/>
                <w:sz w:val="24"/>
              </w:rPr>
            </w:pPr>
            <w:r>
              <w:rPr>
                <w:rFonts w:ascii="宋体" w:hAnsi="宋体" w:cs="宋体"/>
                <w:color w:val="auto"/>
                <w:sz w:val="24"/>
              </w:rPr>
              <w:t>投标人能够全部响应并满足招标文件“第五章招标内容及要求”第二条“技术和服务要求”合同包</w:t>
            </w:r>
            <w:r>
              <w:rPr>
                <w:rFonts w:hint="eastAsia" w:ascii="宋体" w:hAnsi="宋体" w:cs="宋体"/>
                <w:color w:val="auto"/>
                <w:sz w:val="24"/>
              </w:rPr>
              <w:t>1</w:t>
            </w:r>
            <w:r>
              <w:rPr>
                <w:rFonts w:ascii="宋体" w:hAnsi="宋体" w:cs="宋体"/>
                <w:color w:val="auto"/>
                <w:sz w:val="24"/>
              </w:rPr>
              <w:t>各项技术服务要求，没有任何负偏离，则响应程度得分为</w:t>
            </w:r>
            <w:r>
              <w:rPr>
                <w:rFonts w:hint="eastAsia" w:ascii="宋体" w:hAnsi="宋体" w:cs="宋体"/>
                <w:color w:val="auto"/>
                <w:sz w:val="24"/>
              </w:rPr>
              <w:t>24</w:t>
            </w:r>
            <w:r>
              <w:rPr>
                <w:rFonts w:ascii="宋体" w:hAnsi="宋体" w:cs="宋体"/>
                <w:color w:val="auto"/>
                <w:sz w:val="24"/>
              </w:rPr>
              <w:t>分。如果投标人对招标文件“第五章招标内容及要求”第二条“技术和服务要求”中合同包</w:t>
            </w:r>
            <w:r>
              <w:rPr>
                <w:rFonts w:hint="eastAsia" w:ascii="宋体" w:hAnsi="宋体" w:cs="宋体"/>
                <w:color w:val="auto"/>
                <w:sz w:val="24"/>
              </w:rPr>
              <w:t>1</w:t>
            </w:r>
            <w:r>
              <w:rPr>
                <w:rFonts w:ascii="宋体" w:hAnsi="宋体" w:cs="宋体"/>
                <w:color w:val="auto"/>
                <w:sz w:val="24"/>
              </w:rPr>
              <w:t>各项技术服务要求有负偏离，则按以下分类分档进行量化评分。（1）负偏离数量为1～3个，则响应程度为优良，并按照负偏离的实际数量从少到多的顺序，分别量化得分为</w:t>
            </w:r>
            <w:r>
              <w:rPr>
                <w:rFonts w:hint="eastAsia" w:ascii="宋体" w:hAnsi="宋体" w:cs="宋体"/>
                <w:color w:val="auto"/>
                <w:sz w:val="24"/>
              </w:rPr>
              <w:t>23</w:t>
            </w:r>
            <w:r>
              <w:rPr>
                <w:rFonts w:ascii="宋体" w:hAnsi="宋体" w:cs="宋体"/>
                <w:color w:val="auto"/>
                <w:sz w:val="24"/>
              </w:rPr>
              <w:t>分、</w:t>
            </w:r>
            <w:r>
              <w:rPr>
                <w:rFonts w:hint="eastAsia" w:ascii="宋体" w:hAnsi="宋体" w:cs="宋体"/>
                <w:color w:val="auto"/>
                <w:sz w:val="24"/>
              </w:rPr>
              <w:t>22</w:t>
            </w:r>
            <w:r>
              <w:rPr>
                <w:rFonts w:ascii="宋体" w:hAnsi="宋体" w:cs="宋体"/>
                <w:color w:val="auto"/>
                <w:sz w:val="24"/>
              </w:rPr>
              <w:t>分</w:t>
            </w:r>
            <w:r>
              <w:rPr>
                <w:rFonts w:hint="eastAsia" w:ascii="宋体" w:hAnsi="宋体" w:cs="宋体"/>
                <w:color w:val="auto"/>
                <w:sz w:val="24"/>
              </w:rPr>
              <w:t>、21</w:t>
            </w:r>
            <w:r>
              <w:rPr>
                <w:rFonts w:ascii="宋体" w:hAnsi="宋体" w:cs="宋体"/>
                <w:color w:val="auto"/>
                <w:sz w:val="24"/>
              </w:rPr>
              <w:t>分。（2）负偏离数量为4～6个，则响应程度为较好，并按照负偏离的实际数量从少到多的顺序，分别量化得分为</w:t>
            </w:r>
            <w:r>
              <w:rPr>
                <w:rFonts w:hint="eastAsia" w:ascii="宋体" w:hAnsi="宋体" w:cs="宋体"/>
                <w:color w:val="auto"/>
                <w:sz w:val="24"/>
              </w:rPr>
              <w:t>20</w:t>
            </w:r>
            <w:r>
              <w:rPr>
                <w:rFonts w:ascii="宋体" w:hAnsi="宋体" w:cs="宋体"/>
                <w:color w:val="auto"/>
                <w:sz w:val="24"/>
              </w:rPr>
              <w:t>分、</w:t>
            </w:r>
            <w:r>
              <w:rPr>
                <w:rFonts w:hint="eastAsia" w:ascii="宋体" w:hAnsi="宋体" w:cs="宋体"/>
                <w:color w:val="auto"/>
                <w:sz w:val="24"/>
              </w:rPr>
              <w:t>19</w:t>
            </w:r>
            <w:r>
              <w:rPr>
                <w:rFonts w:ascii="宋体" w:hAnsi="宋体" w:cs="宋体"/>
                <w:color w:val="auto"/>
                <w:sz w:val="24"/>
              </w:rPr>
              <w:t>分</w:t>
            </w:r>
            <w:r>
              <w:rPr>
                <w:rFonts w:hint="eastAsia" w:ascii="宋体" w:hAnsi="宋体" w:cs="宋体"/>
                <w:color w:val="auto"/>
                <w:sz w:val="24"/>
              </w:rPr>
              <w:t>、18</w:t>
            </w:r>
            <w:r>
              <w:rPr>
                <w:rFonts w:ascii="宋体" w:hAnsi="宋体" w:cs="宋体"/>
                <w:color w:val="auto"/>
                <w:sz w:val="24"/>
              </w:rPr>
              <w:t>分。（3）负偏离数量为7～9个，则响应程度为一般，并按照负偏离的实际数量从少到多的顺序，分别量化得分为</w:t>
            </w:r>
            <w:r>
              <w:rPr>
                <w:rFonts w:hint="eastAsia" w:ascii="宋体" w:hAnsi="宋体" w:cs="宋体"/>
                <w:color w:val="auto"/>
                <w:sz w:val="24"/>
              </w:rPr>
              <w:t>17</w:t>
            </w:r>
            <w:r>
              <w:rPr>
                <w:rFonts w:ascii="宋体" w:hAnsi="宋体" w:cs="宋体"/>
                <w:color w:val="auto"/>
                <w:sz w:val="24"/>
              </w:rPr>
              <w:t>分、</w:t>
            </w:r>
            <w:r>
              <w:rPr>
                <w:rFonts w:hint="eastAsia" w:ascii="宋体" w:hAnsi="宋体" w:cs="宋体"/>
                <w:color w:val="auto"/>
                <w:sz w:val="24"/>
              </w:rPr>
              <w:t>16</w:t>
            </w:r>
            <w:r>
              <w:rPr>
                <w:rFonts w:ascii="宋体" w:hAnsi="宋体" w:cs="宋体"/>
                <w:color w:val="auto"/>
                <w:sz w:val="24"/>
              </w:rPr>
              <w:t>分</w:t>
            </w:r>
            <w:r>
              <w:rPr>
                <w:rFonts w:hint="eastAsia" w:ascii="宋体" w:hAnsi="宋体" w:cs="宋体"/>
                <w:color w:val="auto"/>
                <w:sz w:val="24"/>
              </w:rPr>
              <w:t>、15</w:t>
            </w:r>
            <w:r>
              <w:rPr>
                <w:rFonts w:ascii="宋体" w:hAnsi="宋体" w:cs="宋体"/>
                <w:color w:val="auto"/>
                <w:sz w:val="24"/>
              </w:rPr>
              <w:t>分。（4）负偏离数量为10～12个，则响应程度为较差，并按照负偏离的实际数量从少到多的顺序，分别量化得分为</w:t>
            </w:r>
            <w:r>
              <w:rPr>
                <w:rFonts w:hint="eastAsia" w:ascii="宋体" w:hAnsi="宋体" w:cs="宋体"/>
                <w:color w:val="auto"/>
                <w:sz w:val="24"/>
              </w:rPr>
              <w:t>14</w:t>
            </w:r>
            <w:r>
              <w:rPr>
                <w:rFonts w:ascii="宋体" w:hAnsi="宋体" w:cs="宋体"/>
                <w:color w:val="auto"/>
                <w:sz w:val="24"/>
              </w:rPr>
              <w:t>分、</w:t>
            </w:r>
            <w:r>
              <w:rPr>
                <w:rFonts w:hint="eastAsia" w:ascii="宋体" w:hAnsi="宋体" w:cs="宋体"/>
                <w:color w:val="auto"/>
                <w:sz w:val="24"/>
              </w:rPr>
              <w:t>13</w:t>
            </w:r>
            <w:r>
              <w:rPr>
                <w:rFonts w:ascii="宋体" w:hAnsi="宋体" w:cs="宋体"/>
                <w:color w:val="auto"/>
                <w:sz w:val="24"/>
              </w:rPr>
              <w:t>分</w:t>
            </w:r>
            <w:r>
              <w:rPr>
                <w:rFonts w:hint="eastAsia" w:ascii="宋体" w:hAnsi="宋体" w:cs="宋体"/>
                <w:color w:val="auto"/>
                <w:sz w:val="24"/>
              </w:rPr>
              <w:t>、12分</w:t>
            </w:r>
            <w:r>
              <w:rPr>
                <w:rFonts w:ascii="宋体" w:hAnsi="宋体" w:cs="宋体"/>
                <w:color w:val="auto"/>
                <w:sz w:val="24"/>
              </w:rPr>
              <w:t>。负偏离数量超过12个，视为投标响应重大偏离招标文件要求，响应程度招标人无法接受，该投标人的投标文件将被否决。正偏离不加分。</w:t>
            </w:r>
          </w:p>
        </w:tc>
      </w:tr>
      <w:tr w14:paraId="4443CC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083724F6">
            <w:pPr>
              <w:widowControl/>
              <w:jc w:val="left"/>
              <w:rPr>
                <w:rFonts w:ascii="宋体" w:hAnsi="宋体" w:cs="宋体"/>
                <w:color w:val="auto"/>
                <w:kern w:val="0"/>
                <w:sz w:val="24"/>
                <w:lang w:bidi="ar"/>
              </w:rPr>
            </w:pPr>
            <w:r>
              <w:rPr>
                <w:rFonts w:ascii="宋体" w:hAnsi="宋体" w:cs="宋体"/>
                <w:color w:val="auto"/>
                <w:kern w:val="0"/>
                <w:sz w:val="24"/>
                <w:lang w:bidi="ar"/>
              </w:rPr>
              <w:t>2</w:t>
            </w:r>
            <w:r>
              <w:rPr>
                <w:rFonts w:hint="eastAsia" w:ascii="宋体" w:hAnsi="宋体" w:cs="宋体"/>
                <w:color w:val="auto"/>
                <w:kern w:val="0"/>
                <w:sz w:val="24"/>
                <w:lang w:bidi="ar"/>
              </w:rPr>
              <w:t>、对需求的分析和理解</w:t>
            </w:r>
          </w:p>
        </w:tc>
        <w:tc>
          <w:tcPr>
            <w:tcW w:w="623" w:type="dxa"/>
            <w:vAlign w:val="center"/>
          </w:tcPr>
          <w:p w14:paraId="3591C090">
            <w:pPr>
              <w:widowControl/>
              <w:jc w:val="center"/>
              <w:rPr>
                <w:color w:val="auto"/>
                <w:sz w:val="24"/>
              </w:rPr>
            </w:pPr>
            <w:r>
              <w:rPr>
                <w:color w:val="auto"/>
                <w:sz w:val="24"/>
              </w:rPr>
              <w:t>3</w:t>
            </w:r>
          </w:p>
        </w:tc>
        <w:tc>
          <w:tcPr>
            <w:tcW w:w="6877" w:type="dxa"/>
            <w:vAlign w:val="center"/>
          </w:tcPr>
          <w:p w14:paraId="0E2331F2">
            <w:pPr>
              <w:widowControl/>
              <w:jc w:val="left"/>
              <w:rPr>
                <w:rFonts w:ascii="宋体" w:hAnsi="宋体" w:cs="宋体"/>
                <w:color w:val="auto"/>
                <w:sz w:val="24"/>
              </w:rPr>
            </w:pPr>
            <w:r>
              <w:rPr>
                <w:rFonts w:hint="eastAsia" w:ascii="宋体" w:hAnsi="宋体" w:cs="宋体"/>
                <w:color w:val="auto"/>
                <w:sz w:val="24"/>
              </w:rPr>
              <w:t>投标人对本项目需求理解深刻、透彻，内容具体、全面，业务数据理解清晰，本项目需求理解深刻、透彻，内容具体、全面，业务数据理解清晰，抓住了本项目的重点得3分；对于项目需求理解较为完整，内容基本全面、分析内容基本符合项目目标得2分；对于项目需求理解有待进一步深入，分析不够透彻的</w:t>
            </w:r>
            <w:r>
              <w:rPr>
                <w:rFonts w:ascii="宋体" w:hAnsi="宋体" w:cs="宋体"/>
                <w:color w:val="auto"/>
                <w:sz w:val="24"/>
              </w:rPr>
              <w:t>1</w:t>
            </w:r>
            <w:r>
              <w:rPr>
                <w:rFonts w:hint="eastAsia" w:ascii="宋体" w:hAnsi="宋体" w:cs="宋体"/>
                <w:color w:val="auto"/>
                <w:sz w:val="24"/>
              </w:rPr>
              <w:t>分；未提供或理解存在较大偏差，内容有较大欠缺的得0分。</w:t>
            </w:r>
          </w:p>
        </w:tc>
      </w:tr>
      <w:tr w14:paraId="437B0E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2B629095">
            <w:pPr>
              <w:widowControl/>
              <w:jc w:val="left"/>
              <w:rPr>
                <w:rFonts w:ascii="宋体" w:hAnsi="宋体" w:cs="宋体"/>
                <w:color w:val="auto"/>
                <w:kern w:val="0"/>
                <w:sz w:val="24"/>
                <w:lang w:bidi="ar"/>
              </w:rPr>
            </w:pPr>
            <w:r>
              <w:rPr>
                <w:rFonts w:ascii="宋体" w:hAnsi="宋体" w:cs="宋体"/>
                <w:color w:val="auto"/>
                <w:kern w:val="0"/>
                <w:sz w:val="24"/>
                <w:lang w:bidi="ar"/>
              </w:rPr>
              <w:t>3</w:t>
            </w:r>
            <w:r>
              <w:rPr>
                <w:rFonts w:hint="eastAsia" w:ascii="宋体" w:hAnsi="宋体" w:cs="宋体"/>
                <w:color w:val="auto"/>
                <w:kern w:val="0"/>
                <w:sz w:val="24"/>
                <w:lang w:bidi="ar"/>
              </w:rPr>
              <w:t>、方案1</w:t>
            </w:r>
          </w:p>
        </w:tc>
        <w:tc>
          <w:tcPr>
            <w:tcW w:w="623" w:type="dxa"/>
            <w:vAlign w:val="center"/>
          </w:tcPr>
          <w:p w14:paraId="3EC0257B">
            <w:pPr>
              <w:widowControl/>
              <w:jc w:val="center"/>
              <w:rPr>
                <w:color w:val="auto"/>
                <w:sz w:val="24"/>
              </w:rPr>
            </w:pPr>
            <w:r>
              <w:rPr>
                <w:color w:val="auto"/>
                <w:sz w:val="24"/>
              </w:rPr>
              <w:t>3</w:t>
            </w:r>
          </w:p>
        </w:tc>
        <w:tc>
          <w:tcPr>
            <w:tcW w:w="6877" w:type="dxa"/>
            <w:vAlign w:val="center"/>
          </w:tcPr>
          <w:p w14:paraId="6AE0DFEF">
            <w:pPr>
              <w:widowControl/>
              <w:jc w:val="left"/>
              <w:rPr>
                <w:rFonts w:ascii="宋体" w:hAnsi="宋体" w:cs="宋体"/>
                <w:color w:val="auto"/>
                <w:sz w:val="24"/>
              </w:rPr>
            </w:pPr>
            <w:r>
              <w:rPr>
                <w:rFonts w:hint="eastAsia" w:ascii="宋体" w:hAnsi="宋体" w:cs="宋体"/>
                <w:color w:val="auto"/>
                <w:sz w:val="24"/>
              </w:rPr>
              <w:t>投标人根据初步设计方案的安全系统进行详细设计优化。设计方案包含了满足信息系统安全等级保护2</w:t>
            </w:r>
            <w:r>
              <w:rPr>
                <w:rFonts w:ascii="宋体" w:hAnsi="宋体" w:cs="宋体"/>
                <w:color w:val="auto"/>
                <w:sz w:val="24"/>
              </w:rPr>
              <w:t>.0</w:t>
            </w:r>
            <w:r>
              <w:rPr>
                <w:rFonts w:hint="eastAsia" w:ascii="宋体" w:hAnsi="宋体" w:cs="宋体"/>
                <w:color w:val="auto"/>
                <w:sz w:val="24"/>
              </w:rPr>
              <w:t>标准“三级”安全设计方案、密码应用方案、安全管理运维的得3分，每缺一项扣1分，未提供或不合理的不得分。</w:t>
            </w:r>
          </w:p>
        </w:tc>
      </w:tr>
      <w:tr w14:paraId="04275C1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0F9714FA">
            <w:pPr>
              <w:widowControl/>
              <w:jc w:val="left"/>
              <w:rPr>
                <w:rFonts w:ascii="宋体" w:hAnsi="宋体" w:cs="宋体"/>
                <w:color w:val="auto"/>
                <w:kern w:val="0"/>
                <w:sz w:val="24"/>
                <w:lang w:bidi="ar"/>
              </w:rPr>
            </w:pPr>
            <w:r>
              <w:rPr>
                <w:rFonts w:ascii="宋体" w:hAnsi="宋体" w:cs="宋体"/>
                <w:color w:val="auto"/>
                <w:kern w:val="0"/>
                <w:sz w:val="24"/>
                <w:lang w:bidi="ar"/>
              </w:rPr>
              <w:t>4</w:t>
            </w:r>
            <w:r>
              <w:rPr>
                <w:rFonts w:hint="eastAsia" w:ascii="宋体" w:hAnsi="宋体" w:cs="宋体"/>
                <w:color w:val="auto"/>
                <w:kern w:val="0"/>
                <w:sz w:val="24"/>
                <w:lang w:bidi="ar"/>
              </w:rPr>
              <w:t>、方案</w:t>
            </w:r>
            <w:r>
              <w:rPr>
                <w:rFonts w:ascii="宋体" w:hAnsi="宋体" w:cs="宋体"/>
                <w:color w:val="auto"/>
                <w:kern w:val="0"/>
                <w:sz w:val="24"/>
                <w:lang w:bidi="ar"/>
              </w:rPr>
              <w:t>2</w:t>
            </w:r>
          </w:p>
        </w:tc>
        <w:tc>
          <w:tcPr>
            <w:tcW w:w="623" w:type="dxa"/>
            <w:vAlign w:val="center"/>
          </w:tcPr>
          <w:p w14:paraId="234CD220">
            <w:pPr>
              <w:widowControl/>
              <w:jc w:val="center"/>
              <w:rPr>
                <w:color w:val="auto"/>
                <w:sz w:val="24"/>
              </w:rPr>
            </w:pPr>
            <w:r>
              <w:rPr>
                <w:color w:val="auto"/>
                <w:sz w:val="24"/>
              </w:rPr>
              <w:t>3</w:t>
            </w:r>
          </w:p>
        </w:tc>
        <w:tc>
          <w:tcPr>
            <w:tcW w:w="6877" w:type="dxa"/>
            <w:vAlign w:val="center"/>
          </w:tcPr>
          <w:p w14:paraId="63C61531">
            <w:pPr>
              <w:widowControl/>
              <w:jc w:val="left"/>
              <w:rPr>
                <w:rFonts w:ascii="宋体" w:hAnsi="宋体" w:cs="宋体"/>
                <w:color w:val="auto"/>
                <w:sz w:val="24"/>
              </w:rPr>
            </w:pPr>
            <w:r>
              <w:rPr>
                <w:rFonts w:hint="eastAsia" w:ascii="宋体" w:hAnsi="宋体" w:cs="宋体"/>
                <w:color w:val="auto"/>
                <w:sz w:val="24"/>
              </w:rPr>
              <w:t>根据投标人提供的项目风险分析及规避方案、项目建设实践进度控制方案等内容进行综合评价。方案风险点评估准确、完整，规避方案可操作性强、建设进度控制方案详实可行的得3分；方案阐述较详实，方案可操作性较可行的得2分；方案阐述内容简短，方案可操作性较差的得1分；未提供或重大偏离的不得分。</w:t>
            </w:r>
          </w:p>
        </w:tc>
      </w:tr>
      <w:tr w14:paraId="11523B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0952CDE1">
            <w:pPr>
              <w:widowControl/>
              <w:jc w:val="left"/>
              <w:rPr>
                <w:rFonts w:ascii="宋体" w:hAnsi="宋体" w:cs="宋体"/>
                <w:color w:val="auto"/>
                <w:kern w:val="0"/>
                <w:sz w:val="24"/>
                <w:lang w:bidi="ar"/>
              </w:rPr>
            </w:pPr>
            <w:r>
              <w:rPr>
                <w:rFonts w:ascii="宋体" w:hAnsi="宋体" w:cs="宋体"/>
                <w:color w:val="auto"/>
                <w:kern w:val="0"/>
                <w:sz w:val="24"/>
                <w:lang w:bidi="ar"/>
              </w:rPr>
              <w:t>5</w:t>
            </w:r>
            <w:r>
              <w:rPr>
                <w:rFonts w:hint="eastAsia" w:ascii="宋体" w:hAnsi="宋体" w:cs="宋体"/>
                <w:color w:val="auto"/>
                <w:kern w:val="0"/>
                <w:sz w:val="24"/>
                <w:lang w:bidi="ar"/>
              </w:rPr>
              <w:t>、方案3</w:t>
            </w:r>
          </w:p>
        </w:tc>
        <w:tc>
          <w:tcPr>
            <w:tcW w:w="623" w:type="dxa"/>
            <w:vAlign w:val="center"/>
          </w:tcPr>
          <w:p w14:paraId="24E18080">
            <w:pPr>
              <w:widowControl/>
              <w:jc w:val="center"/>
              <w:rPr>
                <w:rFonts w:ascii="宋体" w:hAnsi="宋体" w:cs="宋体"/>
                <w:color w:val="auto"/>
                <w:kern w:val="0"/>
                <w:sz w:val="24"/>
                <w:lang w:bidi="ar"/>
              </w:rPr>
            </w:pPr>
            <w:r>
              <w:rPr>
                <w:rFonts w:ascii="宋体" w:hAnsi="宋体" w:cs="宋体"/>
                <w:color w:val="auto"/>
                <w:kern w:val="0"/>
                <w:sz w:val="24"/>
                <w:lang w:bidi="ar"/>
              </w:rPr>
              <w:t>3</w:t>
            </w:r>
          </w:p>
        </w:tc>
        <w:tc>
          <w:tcPr>
            <w:tcW w:w="6877" w:type="dxa"/>
            <w:vAlign w:val="center"/>
          </w:tcPr>
          <w:p w14:paraId="5A861350">
            <w:pPr>
              <w:widowControl/>
              <w:jc w:val="left"/>
              <w:rPr>
                <w:rFonts w:ascii="宋体" w:hAnsi="宋体" w:cs="宋体"/>
                <w:color w:val="auto"/>
                <w:kern w:val="0"/>
                <w:sz w:val="24"/>
                <w:lang w:bidi="ar"/>
              </w:rPr>
            </w:pPr>
            <w:r>
              <w:rPr>
                <w:rFonts w:hint="eastAsia" w:ascii="宋体" w:hAnsi="宋体" w:cs="宋体"/>
                <w:color w:val="auto"/>
                <w:sz w:val="24"/>
              </w:rPr>
              <w:t xml:space="preserve">投标人依据本次所投产品提供正对本次项目所涉及的系统、网络保障内容进行详细设计。根据投标人提供的设计方案进行评分；结构编排合理、主题清晰、设计详细、整体论述完整准确，实施计划科学易行，技术标准高，前瞻性和可扩展性强，得3分；结构合理，主题清晰，设计较为详细，整体论述完整，实施计划可落地，得2分；主题及结构一般，设计较简单，论述完整一般，可事实但内容描述一般，得1分；未提供或重大偏离的不得分。                                                                                                                                                                                                                                                                                                                                                                                                                                                                                                                                                                                                                                                                                                                                                                                                                                                                                                                                                                                                                                                                                                                                                                                                                                                                                                                                                                                                                                                                   </w:t>
            </w:r>
          </w:p>
        </w:tc>
      </w:tr>
      <w:tr w14:paraId="5C6454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6C7D16B2">
            <w:pPr>
              <w:widowControl/>
              <w:jc w:val="left"/>
              <w:rPr>
                <w:rFonts w:ascii="宋体" w:hAnsi="宋体" w:cs="宋体"/>
                <w:color w:val="auto"/>
                <w:kern w:val="0"/>
                <w:sz w:val="24"/>
                <w:lang w:bidi="ar"/>
              </w:rPr>
            </w:pPr>
            <w:r>
              <w:rPr>
                <w:rFonts w:ascii="宋体" w:hAnsi="宋体" w:cs="宋体"/>
                <w:color w:val="auto"/>
                <w:kern w:val="0"/>
                <w:sz w:val="24"/>
                <w:lang w:bidi="ar"/>
              </w:rPr>
              <w:t>6</w:t>
            </w:r>
            <w:r>
              <w:rPr>
                <w:rFonts w:hint="eastAsia" w:ascii="宋体" w:hAnsi="宋体" w:cs="宋体"/>
                <w:color w:val="auto"/>
                <w:kern w:val="0"/>
                <w:sz w:val="24"/>
                <w:lang w:bidi="ar"/>
              </w:rPr>
              <w:t>、方案4</w:t>
            </w:r>
          </w:p>
        </w:tc>
        <w:tc>
          <w:tcPr>
            <w:tcW w:w="623" w:type="dxa"/>
            <w:vAlign w:val="center"/>
          </w:tcPr>
          <w:p w14:paraId="5D0CB93C">
            <w:pPr>
              <w:widowControl/>
              <w:jc w:val="center"/>
              <w:rPr>
                <w:color w:val="auto"/>
                <w:sz w:val="24"/>
              </w:rPr>
            </w:pPr>
            <w:r>
              <w:rPr>
                <w:color w:val="auto"/>
                <w:sz w:val="24"/>
              </w:rPr>
              <w:t>3</w:t>
            </w:r>
          </w:p>
        </w:tc>
        <w:tc>
          <w:tcPr>
            <w:tcW w:w="6877" w:type="dxa"/>
            <w:vAlign w:val="center"/>
          </w:tcPr>
          <w:p w14:paraId="79400339">
            <w:pPr>
              <w:widowControl/>
              <w:jc w:val="left"/>
              <w:rPr>
                <w:rFonts w:ascii="宋体" w:hAnsi="宋体" w:cs="宋体"/>
                <w:color w:val="auto"/>
                <w:sz w:val="24"/>
              </w:rPr>
            </w:pPr>
            <w:r>
              <w:rPr>
                <w:rFonts w:hint="eastAsia" w:ascii="宋体" w:hAnsi="宋体" w:cs="宋体"/>
                <w:color w:val="auto"/>
                <w:sz w:val="24"/>
              </w:rPr>
              <w:t>投标人依据本次所投产品提供针对本次项目所涉及的日常服务保障要求进行详细设计，对实时检测</w:t>
            </w:r>
            <w:r>
              <w:rPr>
                <w:rFonts w:ascii="宋体" w:hAnsi="宋体" w:cs="宋体"/>
                <w:color w:val="auto"/>
                <w:sz w:val="24"/>
              </w:rPr>
              <w:t>对实时监测、每周、每月、每季度和每年服务内容进行详细设计，对重要保障服务以及应急保障服务进行详细设计。根据投标人提供的设计方案进行评分：结构编排合理，主题清晰，设计详细，整体论述完整准确，实施计划科学易行，技术标准高，前瞻性和可扩展性强，得3分；主题及结构一般，设计较简单，论述较完整，可实施内容较好的得2 分；主题及结构一般，设计较简单，论述完整一般，可实施但内容描述一般，得1分；未提供或重大偏离的不得分。</w:t>
            </w:r>
          </w:p>
        </w:tc>
      </w:tr>
      <w:tr w14:paraId="238605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12130507">
            <w:pPr>
              <w:widowControl/>
              <w:jc w:val="left"/>
              <w:rPr>
                <w:rFonts w:ascii="宋体" w:hAnsi="宋体" w:cs="宋体"/>
                <w:color w:val="auto"/>
                <w:kern w:val="0"/>
                <w:sz w:val="24"/>
                <w:lang w:bidi="ar"/>
              </w:rPr>
            </w:pPr>
            <w:r>
              <w:rPr>
                <w:rFonts w:ascii="宋体" w:hAnsi="宋体" w:cs="宋体"/>
                <w:color w:val="auto"/>
                <w:kern w:val="0"/>
                <w:sz w:val="24"/>
                <w:lang w:bidi="ar"/>
              </w:rPr>
              <w:t>7</w:t>
            </w:r>
            <w:r>
              <w:rPr>
                <w:rFonts w:hint="eastAsia" w:ascii="宋体" w:hAnsi="宋体" w:cs="宋体"/>
                <w:color w:val="auto"/>
                <w:kern w:val="0"/>
                <w:sz w:val="24"/>
                <w:lang w:bidi="ar"/>
              </w:rPr>
              <w:t>、方案5</w:t>
            </w:r>
          </w:p>
        </w:tc>
        <w:tc>
          <w:tcPr>
            <w:tcW w:w="623" w:type="dxa"/>
            <w:vAlign w:val="center"/>
          </w:tcPr>
          <w:p w14:paraId="7E1BE726">
            <w:pPr>
              <w:widowControl/>
              <w:jc w:val="center"/>
              <w:rPr>
                <w:color w:val="auto"/>
                <w:sz w:val="24"/>
              </w:rPr>
            </w:pPr>
            <w:r>
              <w:rPr>
                <w:color w:val="auto"/>
                <w:sz w:val="24"/>
              </w:rPr>
              <w:t>3</w:t>
            </w:r>
          </w:p>
        </w:tc>
        <w:tc>
          <w:tcPr>
            <w:tcW w:w="6877" w:type="dxa"/>
            <w:vAlign w:val="center"/>
          </w:tcPr>
          <w:p w14:paraId="39931581">
            <w:pPr>
              <w:widowControl/>
              <w:jc w:val="left"/>
              <w:rPr>
                <w:rFonts w:ascii="宋体" w:hAnsi="宋体" w:cs="宋体"/>
                <w:color w:val="auto"/>
                <w:sz w:val="24"/>
              </w:rPr>
            </w:pPr>
            <w:r>
              <w:rPr>
                <w:rFonts w:hint="eastAsia" w:ascii="宋体" w:hAnsi="宋体" w:cs="宋体"/>
                <w:color w:val="auto"/>
                <w:sz w:val="24"/>
              </w:rPr>
              <w:t>根据投标人提</w:t>
            </w:r>
            <w:r>
              <w:rPr>
                <w:rFonts w:ascii="宋体" w:hAnsi="宋体" w:cs="宋体"/>
                <w:color w:val="auto"/>
                <w:sz w:val="24"/>
              </w:rPr>
              <w:t>供的突发事件反应预案情况进行评议，能针对多种可预见的突发情况，提供完整的应急预案，且应对方式合理的得3分</w:t>
            </w:r>
            <w:r>
              <w:rPr>
                <w:rFonts w:hint="eastAsia" w:ascii="宋体" w:hAnsi="宋体" w:cs="宋体"/>
                <w:color w:val="auto"/>
                <w:sz w:val="24"/>
              </w:rPr>
              <w:t>；</w:t>
            </w:r>
            <w:r>
              <w:rPr>
                <w:rFonts w:ascii="宋体" w:hAnsi="宋体" w:cs="宋体"/>
                <w:color w:val="auto"/>
                <w:sz w:val="24"/>
              </w:rPr>
              <w:t>能针对几种可预见的突发情况，提供较完整的应急预案，且应对方式基本合理的得2分</w:t>
            </w:r>
            <w:r>
              <w:rPr>
                <w:rFonts w:hint="eastAsia" w:ascii="宋体" w:hAnsi="宋体" w:cs="宋体"/>
                <w:color w:val="auto"/>
                <w:sz w:val="24"/>
              </w:rPr>
              <w:t>；</w:t>
            </w:r>
            <w:r>
              <w:rPr>
                <w:rFonts w:ascii="宋体" w:hAnsi="宋体" w:cs="宋体"/>
                <w:color w:val="auto"/>
                <w:sz w:val="24"/>
              </w:rPr>
              <w:t>能提供出应急预案，但表述欠佳，应对措施不太合理的得1分</w:t>
            </w:r>
            <w:r>
              <w:rPr>
                <w:rFonts w:hint="eastAsia" w:ascii="宋体" w:hAnsi="宋体" w:cs="宋体"/>
                <w:color w:val="auto"/>
                <w:sz w:val="24"/>
              </w:rPr>
              <w:t>；</w:t>
            </w:r>
            <w:r>
              <w:rPr>
                <w:rFonts w:ascii="宋体" w:hAnsi="宋体" w:cs="宋体"/>
                <w:color w:val="auto"/>
                <w:sz w:val="24"/>
              </w:rPr>
              <w:t>未提供应急预案或重大偏离的不得分。</w:t>
            </w:r>
          </w:p>
        </w:tc>
      </w:tr>
      <w:tr w14:paraId="563C8A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0ABB4AA3">
            <w:pPr>
              <w:widowControl/>
              <w:jc w:val="left"/>
              <w:rPr>
                <w:rFonts w:ascii="宋体" w:hAnsi="宋体" w:cs="宋体"/>
                <w:color w:val="auto"/>
                <w:kern w:val="0"/>
                <w:sz w:val="24"/>
                <w:lang w:bidi="ar"/>
              </w:rPr>
            </w:pPr>
            <w:r>
              <w:rPr>
                <w:rFonts w:hint="eastAsia" w:ascii="宋体" w:hAnsi="宋体" w:cs="宋体"/>
                <w:color w:val="auto"/>
                <w:kern w:val="0"/>
                <w:sz w:val="24"/>
                <w:lang w:bidi="ar"/>
              </w:rPr>
              <w:t>8、共性服务和支撑平台能力</w:t>
            </w:r>
          </w:p>
        </w:tc>
        <w:tc>
          <w:tcPr>
            <w:tcW w:w="623" w:type="dxa"/>
            <w:vAlign w:val="center"/>
          </w:tcPr>
          <w:p w14:paraId="681E395C">
            <w:pPr>
              <w:widowControl/>
              <w:jc w:val="center"/>
              <w:rPr>
                <w:color w:val="auto"/>
                <w:sz w:val="24"/>
              </w:rPr>
            </w:pPr>
            <w:r>
              <w:rPr>
                <w:color w:val="auto"/>
                <w:sz w:val="24"/>
              </w:rPr>
              <w:t>3</w:t>
            </w:r>
          </w:p>
        </w:tc>
        <w:tc>
          <w:tcPr>
            <w:tcW w:w="6877" w:type="dxa"/>
            <w:vAlign w:val="center"/>
          </w:tcPr>
          <w:p w14:paraId="0B352C05">
            <w:pPr>
              <w:widowControl/>
              <w:jc w:val="left"/>
              <w:rPr>
                <w:rFonts w:ascii="宋体" w:hAnsi="宋体" w:cs="宋体"/>
                <w:color w:val="auto"/>
                <w:sz w:val="24"/>
              </w:rPr>
            </w:pPr>
            <w:r>
              <w:rPr>
                <w:rFonts w:ascii="宋体" w:hAnsi="宋体" w:cs="宋体"/>
                <w:color w:val="auto"/>
                <w:sz w:val="24"/>
              </w:rPr>
              <w:t>投标人对</w:t>
            </w:r>
            <w:r>
              <w:rPr>
                <w:rFonts w:hint="eastAsia" w:ascii="宋体" w:hAnsi="宋体" w:cs="宋体"/>
                <w:color w:val="auto"/>
                <w:sz w:val="24"/>
              </w:rPr>
              <w:t>共性服务和支撑平台</w:t>
            </w:r>
            <w:r>
              <w:rPr>
                <w:rFonts w:ascii="宋体" w:hAnsi="宋体" w:cs="宋体"/>
                <w:color w:val="auto"/>
                <w:sz w:val="24"/>
              </w:rPr>
              <w:t>体系做详细设计，设计内容包括：体系架构规划、管理运维体系等。根据提供的方案由评委进行评分，满分</w:t>
            </w:r>
            <w:r>
              <w:rPr>
                <w:rFonts w:hint="eastAsia" w:ascii="宋体" w:hAnsi="宋体" w:cs="宋体"/>
                <w:color w:val="auto"/>
                <w:sz w:val="24"/>
              </w:rPr>
              <w:t>3</w:t>
            </w:r>
            <w:r>
              <w:rPr>
                <w:rFonts w:ascii="宋体" w:hAnsi="宋体" w:cs="宋体"/>
                <w:color w:val="auto"/>
                <w:sz w:val="24"/>
              </w:rPr>
              <w:t>分</w:t>
            </w:r>
            <w:r>
              <w:rPr>
                <w:rFonts w:hint="eastAsia" w:ascii="宋体" w:hAnsi="宋体" w:cs="宋体"/>
                <w:color w:val="auto"/>
                <w:sz w:val="24"/>
              </w:rPr>
              <w:t>；</w:t>
            </w:r>
            <w:r>
              <w:rPr>
                <w:rFonts w:ascii="宋体" w:hAnsi="宋体" w:cs="宋体"/>
                <w:color w:val="auto"/>
                <w:sz w:val="24"/>
              </w:rPr>
              <w:t>方案详细合理、符合实际需求、定位准确、可行性强、内容完整的得</w:t>
            </w:r>
            <w:r>
              <w:rPr>
                <w:rFonts w:hint="eastAsia" w:ascii="宋体" w:hAnsi="宋体" w:cs="宋体"/>
                <w:color w:val="auto"/>
                <w:sz w:val="24"/>
              </w:rPr>
              <w:t>1</w:t>
            </w:r>
            <w:r>
              <w:rPr>
                <w:rFonts w:ascii="宋体" w:hAnsi="宋体" w:cs="宋体"/>
                <w:color w:val="auto"/>
                <w:sz w:val="24"/>
              </w:rPr>
              <w:t>分；方案详细合理但与实际有偏差、定位不准确、可行性一般、内容不够完整的得</w:t>
            </w:r>
            <w:r>
              <w:rPr>
                <w:rFonts w:hint="eastAsia" w:ascii="宋体" w:hAnsi="宋体" w:cs="宋体"/>
                <w:color w:val="auto"/>
                <w:sz w:val="24"/>
              </w:rPr>
              <w:t>0</w:t>
            </w:r>
            <w:r>
              <w:rPr>
                <w:rFonts w:ascii="宋体" w:hAnsi="宋体" w:cs="宋体"/>
                <w:color w:val="auto"/>
                <w:sz w:val="24"/>
              </w:rPr>
              <w:t>.5分；方案不合理或未提供的不得分。</w:t>
            </w:r>
          </w:p>
        </w:tc>
      </w:tr>
      <w:tr w14:paraId="58A82A0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19F9CFE1">
            <w:pPr>
              <w:widowControl/>
              <w:jc w:val="left"/>
              <w:rPr>
                <w:rFonts w:ascii="宋体" w:hAnsi="宋体" w:cs="宋体"/>
                <w:color w:val="auto"/>
                <w:kern w:val="0"/>
                <w:sz w:val="24"/>
                <w:lang w:bidi="ar"/>
              </w:rPr>
            </w:pPr>
            <w:r>
              <w:rPr>
                <w:rFonts w:hint="eastAsia" w:ascii="宋体" w:hAnsi="宋体" w:cs="宋体"/>
                <w:color w:val="auto"/>
                <w:kern w:val="0"/>
                <w:sz w:val="24"/>
                <w:lang w:bidi="ar"/>
              </w:rPr>
              <w:t>9、容器微服务系统</w:t>
            </w:r>
          </w:p>
        </w:tc>
        <w:tc>
          <w:tcPr>
            <w:tcW w:w="623" w:type="dxa"/>
            <w:vAlign w:val="center"/>
          </w:tcPr>
          <w:p w14:paraId="22126B14">
            <w:pPr>
              <w:widowControl/>
              <w:jc w:val="center"/>
              <w:rPr>
                <w:color w:val="auto"/>
                <w:sz w:val="24"/>
              </w:rPr>
            </w:pPr>
            <w:r>
              <w:rPr>
                <w:color w:val="auto"/>
                <w:sz w:val="24"/>
              </w:rPr>
              <w:t>3</w:t>
            </w:r>
          </w:p>
        </w:tc>
        <w:tc>
          <w:tcPr>
            <w:tcW w:w="6877" w:type="dxa"/>
            <w:vAlign w:val="center"/>
          </w:tcPr>
          <w:p w14:paraId="24414571">
            <w:pPr>
              <w:widowControl/>
              <w:jc w:val="left"/>
              <w:rPr>
                <w:rFonts w:ascii="宋体" w:hAnsi="宋体" w:cs="宋体"/>
                <w:color w:val="auto"/>
                <w:sz w:val="24"/>
              </w:rPr>
            </w:pPr>
            <w:r>
              <w:rPr>
                <w:rFonts w:hint="eastAsia" w:ascii="宋体" w:hAnsi="宋体" w:cs="宋体"/>
                <w:color w:val="auto"/>
                <w:sz w:val="24"/>
              </w:rPr>
              <w:t>投标人对容器微服务系统体系做详细设计，设计内容包括：系统架构、功能实现、系统支撑等。根据提供的方案有评委进行评分，满分3分；方案详细合理、符合实际需求、定位准确、可行性强、内容完整的得1分；方案详细合理但与实际有偏差、定位不准确、可行性一般、内容不够完整的得0</w:t>
            </w:r>
            <w:r>
              <w:rPr>
                <w:rFonts w:ascii="宋体" w:hAnsi="宋体" w:cs="宋体"/>
                <w:color w:val="auto"/>
                <w:sz w:val="24"/>
              </w:rPr>
              <w:t>.5</w:t>
            </w:r>
            <w:r>
              <w:rPr>
                <w:rFonts w:hint="eastAsia" w:ascii="宋体" w:hAnsi="宋体" w:cs="宋体"/>
                <w:color w:val="auto"/>
                <w:sz w:val="24"/>
              </w:rPr>
              <w:t>分；方案不合理或未提供的不得分。</w:t>
            </w:r>
          </w:p>
        </w:tc>
      </w:tr>
      <w:tr w14:paraId="4F08AC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2D876497">
            <w:pPr>
              <w:widowControl/>
              <w:jc w:val="left"/>
              <w:rPr>
                <w:rFonts w:ascii="宋体" w:hAnsi="宋体" w:cs="宋体"/>
                <w:color w:val="auto"/>
                <w:kern w:val="0"/>
                <w:sz w:val="24"/>
                <w:lang w:bidi="ar"/>
              </w:rPr>
            </w:pPr>
            <w:r>
              <w:rPr>
                <w:rFonts w:ascii="宋体" w:hAnsi="宋体" w:cs="宋体"/>
                <w:color w:val="auto"/>
                <w:kern w:val="0"/>
                <w:sz w:val="24"/>
                <w:lang w:bidi="ar"/>
              </w:rPr>
              <w:t>1</w:t>
            </w:r>
            <w:r>
              <w:rPr>
                <w:rFonts w:hint="eastAsia" w:ascii="宋体" w:hAnsi="宋体" w:cs="宋体"/>
                <w:color w:val="auto"/>
                <w:kern w:val="0"/>
                <w:sz w:val="24"/>
                <w:lang w:bidi="ar"/>
              </w:rPr>
              <w:t>0、人工智能自动化系统</w:t>
            </w:r>
          </w:p>
        </w:tc>
        <w:tc>
          <w:tcPr>
            <w:tcW w:w="623" w:type="dxa"/>
            <w:vAlign w:val="center"/>
          </w:tcPr>
          <w:p w14:paraId="6764C8A5">
            <w:pPr>
              <w:widowControl/>
              <w:jc w:val="center"/>
              <w:rPr>
                <w:color w:val="auto"/>
                <w:sz w:val="24"/>
              </w:rPr>
            </w:pPr>
            <w:r>
              <w:rPr>
                <w:color w:val="auto"/>
                <w:sz w:val="24"/>
              </w:rPr>
              <w:t>3</w:t>
            </w:r>
          </w:p>
        </w:tc>
        <w:tc>
          <w:tcPr>
            <w:tcW w:w="6877" w:type="dxa"/>
            <w:vAlign w:val="center"/>
          </w:tcPr>
          <w:p w14:paraId="60FB5B10">
            <w:pPr>
              <w:widowControl/>
              <w:jc w:val="left"/>
              <w:rPr>
                <w:rFonts w:ascii="宋体" w:hAnsi="宋体" w:cs="宋体"/>
                <w:color w:val="auto"/>
                <w:sz w:val="24"/>
              </w:rPr>
            </w:pPr>
            <w:r>
              <w:rPr>
                <w:rFonts w:hint="eastAsia" w:ascii="宋体" w:hAnsi="宋体" w:cs="宋体"/>
                <w:color w:val="auto"/>
                <w:sz w:val="24"/>
              </w:rPr>
              <w:t>投标人对人工智能自动化系统体系做详细设计，设计内容包括：系统架构、功能实现、系统支撑等。根据提供的方案由评委进行评分，满分3分；方案详细合理、符合实际需求、定位准确、可行性强、内容完整的得1分；方案详细合理但与实际有偏差、定位不准确、可行性一般、内容不够完整的得0</w:t>
            </w:r>
            <w:r>
              <w:rPr>
                <w:rFonts w:ascii="宋体" w:hAnsi="宋体" w:cs="宋体"/>
                <w:color w:val="auto"/>
                <w:sz w:val="24"/>
              </w:rPr>
              <w:t>.5</w:t>
            </w:r>
            <w:r>
              <w:rPr>
                <w:rFonts w:hint="eastAsia" w:ascii="宋体" w:hAnsi="宋体" w:cs="宋体"/>
                <w:color w:val="auto"/>
                <w:sz w:val="24"/>
              </w:rPr>
              <w:t>分；方案不合理或未提供的不得分。</w:t>
            </w:r>
          </w:p>
        </w:tc>
      </w:tr>
      <w:tr w14:paraId="79B87C5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387E97EB">
            <w:pPr>
              <w:widowControl/>
              <w:jc w:val="left"/>
              <w:rPr>
                <w:rFonts w:ascii="宋体" w:hAnsi="宋体" w:cs="宋体"/>
                <w:color w:val="auto"/>
                <w:kern w:val="0"/>
                <w:sz w:val="24"/>
                <w:lang w:bidi="ar"/>
              </w:rPr>
            </w:pPr>
            <w:r>
              <w:rPr>
                <w:rFonts w:hint="eastAsia" w:ascii="宋体" w:hAnsi="宋体" w:cs="宋体"/>
                <w:color w:val="auto"/>
                <w:kern w:val="0"/>
                <w:sz w:val="24"/>
                <w:lang w:bidi="ar"/>
              </w:rPr>
              <w:t>11、知识图谱系统</w:t>
            </w:r>
          </w:p>
        </w:tc>
        <w:tc>
          <w:tcPr>
            <w:tcW w:w="623" w:type="dxa"/>
            <w:vAlign w:val="center"/>
          </w:tcPr>
          <w:p w14:paraId="5C6B871F">
            <w:pPr>
              <w:widowControl/>
              <w:jc w:val="center"/>
              <w:rPr>
                <w:color w:val="auto"/>
                <w:sz w:val="24"/>
              </w:rPr>
            </w:pPr>
            <w:r>
              <w:rPr>
                <w:rFonts w:hint="eastAsia"/>
                <w:color w:val="auto"/>
                <w:sz w:val="24"/>
              </w:rPr>
              <w:t>3</w:t>
            </w:r>
          </w:p>
        </w:tc>
        <w:tc>
          <w:tcPr>
            <w:tcW w:w="6877" w:type="dxa"/>
          </w:tcPr>
          <w:p w14:paraId="5B47E3D1">
            <w:pPr>
              <w:widowControl/>
              <w:jc w:val="left"/>
              <w:rPr>
                <w:rFonts w:ascii="宋体" w:hAnsi="宋体" w:cs="宋体"/>
                <w:color w:val="auto"/>
                <w:sz w:val="24"/>
              </w:rPr>
            </w:pPr>
            <w:r>
              <w:rPr>
                <w:rFonts w:hint="eastAsia" w:ascii="宋体" w:hAnsi="宋体" w:cs="宋体"/>
                <w:color w:val="auto"/>
                <w:sz w:val="24"/>
              </w:rPr>
              <w:t>投标人对知识图谱系统体系做详细设计，设计内容包括：系统架构、功能实现、系统支撑等。根据提供的方案由评委进行评分，满分3分；方案详细合理、符合实际需求、定位准确、可行性强、内容完整的得1分；方案详细合理但与实际有偏差、定位不准确、可行性一般、内容不够完整的得0</w:t>
            </w:r>
            <w:r>
              <w:rPr>
                <w:rFonts w:ascii="宋体" w:hAnsi="宋体" w:cs="宋体"/>
                <w:color w:val="auto"/>
                <w:sz w:val="24"/>
              </w:rPr>
              <w:t>.5</w:t>
            </w:r>
            <w:r>
              <w:rPr>
                <w:rFonts w:hint="eastAsia" w:ascii="宋体" w:hAnsi="宋体" w:cs="宋体"/>
                <w:color w:val="auto"/>
                <w:sz w:val="24"/>
              </w:rPr>
              <w:t>分；方案不合理或未提供的不得分。</w:t>
            </w:r>
          </w:p>
        </w:tc>
      </w:tr>
      <w:tr w14:paraId="45AAFB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74622A9D">
            <w:pPr>
              <w:widowControl/>
              <w:jc w:val="left"/>
              <w:rPr>
                <w:rFonts w:ascii="宋体" w:hAnsi="宋体" w:cs="宋体"/>
                <w:color w:val="auto"/>
                <w:kern w:val="0"/>
                <w:sz w:val="24"/>
                <w:lang w:bidi="ar"/>
              </w:rPr>
            </w:pPr>
            <w:r>
              <w:rPr>
                <w:rFonts w:hint="eastAsia" w:ascii="宋体" w:hAnsi="宋体" w:cs="宋体"/>
                <w:color w:val="auto"/>
                <w:kern w:val="0"/>
                <w:sz w:val="24"/>
                <w:lang w:bidi="ar"/>
              </w:rPr>
              <w:t>12</w:t>
            </w:r>
            <w:r>
              <w:rPr>
                <w:rFonts w:ascii="宋体" w:hAnsi="宋体" w:cs="宋体"/>
                <w:color w:val="auto"/>
                <w:kern w:val="0"/>
                <w:sz w:val="24"/>
                <w:lang w:bidi="ar"/>
              </w:rPr>
              <w:t>、</w:t>
            </w:r>
            <w:r>
              <w:rPr>
                <w:rFonts w:hint="eastAsia" w:ascii="宋体" w:hAnsi="宋体" w:cs="宋体"/>
                <w:color w:val="auto"/>
                <w:kern w:val="0"/>
                <w:sz w:val="24"/>
                <w:lang w:bidi="ar"/>
              </w:rPr>
              <w:t>数据交换与管理系统</w:t>
            </w:r>
          </w:p>
        </w:tc>
        <w:tc>
          <w:tcPr>
            <w:tcW w:w="623" w:type="dxa"/>
            <w:vAlign w:val="center"/>
          </w:tcPr>
          <w:p w14:paraId="5ABA5C6B">
            <w:pPr>
              <w:widowControl/>
              <w:jc w:val="center"/>
              <w:rPr>
                <w:color w:val="auto"/>
                <w:sz w:val="24"/>
              </w:rPr>
            </w:pPr>
            <w:r>
              <w:rPr>
                <w:rFonts w:hint="eastAsia" w:ascii="宋体" w:hAnsi="宋体" w:cs="宋体"/>
                <w:color w:val="auto"/>
                <w:kern w:val="0"/>
                <w:sz w:val="24"/>
                <w:lang w:bidi="ar"/>
              </w:rPr>
              <w:t>3</w:t>
            </w:r>
          </w:p>
        </w:tc>
        <w:tc>
          <w:tcPr>
            <w:tcW w:w="6877" w:type="dxa"/>
            <w:vAlign w:val="center"/>
          </w:tcPr>
          <w:p w14:paraId="7B908884">
            <w:pPr>
              <w:widowControl/>
              <w:jc w:val="left"/>
              <w:rPr>
                <w:rFonts w:ascii="宋体" w:hAnsi="宋体" w:cs="宋体"/>
                <w:color w:val="auto"/>
                <w:sz w:val="24"/>
              </w:rPr>
            </w:pPr>
            <w:r>
              <w:rPr>
                <w:rFonts w:ascii="宋体" w:hAnsi="宋体" w:cs="宋体"/>
                <w:color w:val="auto"/>
                <w:sz w:val="24"/>
              </w:rPr>
              <w:t>投标人</w:t>
            </w:r>
            <w:r>
              <w:rPr>
                <w:rFonts w:hint="eastAsia" w:ascii="宋体" w:hAnsi="宋体" w:cs="宋体"/>
                <w:color w:val="auto"/>
                <w:sz w:val="24"/>
              </w:rPr>
              <w:t>对数据交换与管理系统体系做</w:t>
            </w:r>
            <w:r>
              <w:rPr>
                <w:rFonts w:ascii="宋体" w:hAnsi="宋体" w:cs="宋体"/>
                <w:color w:val="auto"/>
                <w:sz w:val="24"/>
              </w:rPr>
              <w:t>出全面详细设计</w:t>
            </w:r>
            <w:r>
              <w:rPr>
                <w:rFonts w:hint="eastAsia" w:ascii="宋体" w:hAnsi="宋体" w:cs="宋体"/>
                <w:color w:val="auto"/>
                <w:sz w:val="24"/>
              </w:rPr>
              <w:t>，</w:t>
            </w:r>
            <w:r>
              <w:rPr>
                <w:rFonts w:ascii="宋体" w:hAnsi="宋体" w:cs="宋体"/>
                <w:color w:val="auto"/>
                <w:sz w:val="24"/>
              </w:rPr>
              <w:t>方案设计合理，技术可行性强，功能划分清晰，逻辑性强，得</w:t>
            </w:r>
            <w:r>
              <w:rPr>
                <w:rFonts w:hint="eastAsia" w:ascii="宋体" w:hAnsi="宋体" w:cs="宋体"/>
                <w:color w:val="auto"/>
                <w:sz w:val="24"/>
              </w:rPr>
              <w:t>3</w:t>
            </w:r>
            <w:r>
              <w:rPr>
                <w:rFonts w:ascii="宋体" w:hAnsi="宋体" w:cs="宋体"/>
                <w:color w:val="auto"/>
                <w:sz w:val="24"/>
              </w:rPr>
              <w:t>分；方案设计较合理，技术可行性，功能划分较清晰，逻辑性较强，得1分；方案设计简单，技术可行性一般，功能划分一般，逻辑性一般，得0.5分；方案设计可行性差、逻辑混乱或没有提供功能设计方案不得分。</w:t>
            </w:r>
          </w:p>
        </w:tc>
      </w:tr>
      <w:tr w14:paraId="6FACFC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4E6BDD4D">
            <w:pPr>
              <w:widowControl/>
              <w:jc w:val="left"/>
              <w:rPr>
                <w:rFonts w:ascii="宋体" w:hAnsi="宋体" w:cs="宋体"/>
                <w:color w:val="auto"/>
                <w:kern w:val="0"/>
                <w:sz w:val="24"/>
                <w:lang w:bidi="ar"/>
              </w:rPr>
            </w:pPr>
            <w:r>
              <w:rPr>
                <w:rFonts w:hint="eastAsia" w:ascii="宋体" w:hAnsi="宋体" w:cs="宋体"/>
                <w:color w:val="auto"/>
                <w:kern w:val="0"/>
                <w:sz w:val="24"/>
                <w:lang w:bidi="ar"/>
              </w:rPr>
              <w:t>13、执行团队安排</w:t>
            </w:r>
          </w:p>
        </w:tc>
        <w:tc>
          <w:tcPr>
            <w:tcW w:w="623" w:type="dxa"/>
            <w:vAlign w:val="center"/>
          </w:tcPr>
          <w:p w14:paraId="09CF759B">
            <w:pPr>
              <w:widowControl/>
              <w:jc w:val="center"/>
              <w:rPr>
                <w:color w:val="auto"/>
                <w:sz w:val="24"/>
              </w:rPr>
            </w:pPr>
            <w:r>
              <w:rPr>
                <w:rFonts w:hint="eastAsia"/>
                <w:color w:val="auto"/>
                <w:sz w:val="24"/>
              </w:rPr>
              <w:t>2</w:t>
            </w:r>
          </w:p>
        </w:tc>
        <w:tc>
          <w:tcPr>
            <w:tcW w:w="6877" w:type="dxa"/>
          </w:tcPr>
          <w:p w14:paraId="35D22B4E">
            <w:pPr>
              <w:widowControl/>
              <w:jc w:val="left"/>
              <w:rPr>
                <w:rFonts w:ascii="宋体" w:hAnsi="宋体" w:cs="宋体"/>
                <w:color w:val="auto"/>
                <w:sz w:val="24"/>
              </w:rPr>
            </w:pPr>
            <w:r>
              <w:rPr>
                <w:rFonts w:hint="eastAsia" w:ascii="宋体" w:hAnsi="宋体" w:cs="宋体"/>
                <w:color w:val="auto"/>
                <w:sz w:val="24"/>
              </w:rPr>
              <w:t>根据各投标人提供本项目执行团队及团队架构完善程度及人员进度安排是否合理有等情况进行评议，项目执行团队人员配备数量充足、合理的得2分；项目执行团队人员配备充足，基本合理的得1.5分；项目团队人员配合较充足，团队构架不太合理的得1分；项目团队人员配合不够，团队构架不合理的不得分。</w:t>
            </w:r>
          </w:p>
        </w:tc>
      </w:tr>
      <w:tr w14:paraId="1C492A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19500539">
            <w:pPr>
              <w:widowControl/>
              <w:jc w:val="left"/>
              <w:rPr>
                <w:rFonts w:ascii="宋体" w:hAnsi="宋体" w:cs="宋体"/>
                <w:color w:val="auto"/>
                <w:kern w:val="0"/>
                <w:sz w:val="24"/>
                <w:lang w:bidi="ar"/>
              </w:rPr>
            </w:pPr>
            <w:r>
              <w:rPr>
                <w:rFonts w:ascii="宋体" w:hAnsi="宋体" w:cs="宋体"/>
                <w:color w:val="auto"/>
                <w:kern w:val="0"/>
                <w:sz w:val="24"/>
                <w:lang w:bidi="ar"/>
              </w:rPr>
              <w:t>1</w:t>
            </w:r>
            <w:r>
              <w:rPr>
                <w:rFonts w:hint="eastAsia" w:ascii="宋体" w:hAnsi="宋体" w:cs="宋体"/>
                <w:color w:val="auto"/>
                <w:kern w:val="0"/>
                <w:sz w:val="24"/>
                <w:lang w:bidi="ar"/>
              </w:rPr>
              <w:t>4、人员1</w:t>
            </w:r>
          </w:p>
        </w:tc>
        <w:tc>
          <w:tcPr>
            <w:tcW w:w="623" w:type="dxa"/>
            <w:vAlign w:val="center"/>
          </w:tcPr>
          <w:p w14:paraId="75816AB4">
            <w:pPr>
              <w:widowControl/>
              <w:jc w:val="center"/>
              <w:rPr>
                <w:color w:val="auto"/>
                <w:sz w:val="24"/>
              </w:rPr>
            </w:pPr>
            <w:r>
              <w:rPr>
                <w:color w:val="auto"/>
                <w:sz w:val="24"/>
              </w:rPr>
              <w:t>2</w:t>
            </w:r>
          </w:p>
        </w:tc>
        <w:tc>
          <w:tcPr>
            <w:tcW w:w="6877" w:type="dxa"/>
            <w:vAlign w:val="center"/>
          </w:tcPr>
          <w:p w14:paraId="326E4995">
            <w:pPr>
              <w:widowControl/>
              <w:jc w:val="left"/>
              <w:rPr>
                <w:rFonts w:ascii="宋体" w:hAnsi="宋体" w:cs="宋体"/>
                <w:color w:val="auto"/>
                <w:sz w:val="24"/>
              </w:rPr>
            </w:pPr>
            <w:r>
              <w:rPr>
                <w:rFonts w:hint="eastAsia" w:ascii="宋体" w:hAnsi="宋体" w:cs="宋体"/>
                <w:color w:val="auto"/>
                <w:sz w:val="24"/>
              </w:rPr>
              <w:t>投标人提供1名项目经理，项目经理同时具有</w:t>
            </w:r>
            <w:r>
              <w:rPr>
                <w:rFonts w:hint="eastAsia" w:ascii="宋体" w:hAnsi="宋体" w:cs="宋体"/>
                <w:color w:val="auto"/>
                <w:sz w:val="24"/>
                <w:lang w:val="en-US" w:eastAsia="zh-CN"/>
              </w:rPr>
              <w:t>信息化</w:t>
            </w:r>
            <w:r>
              <w:rPr>
                <w:rFonts w:hint="eastAsia" w:ascii="宋体" w:hAnsi="宋体" w:cs="宋体"/>
                <w:color w:val="auto"/>
                <w:sz w:val="24"/>
              </w:rPr>
              <w:t>高级工程师证书和通信与广电工程专业一级注册建造师资质证书；同时满足得2分，不满足得0分。投标人须提供有效的证书复印件并加盖投标人公章以及项目经理投标截止时间前三个月（不含投标截止时间的当月）中任一月份的社会保险缴纳凭据复印件，否则不得分。</w:t>
            </w:r>
          </w:p>
        </w:tc>
      </w:tr>
      <w:tr w14:paraId="2E813B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03D7B8F3">
            <w:pPr>
              <w:widowControl/>
              <w:jc w:val="left"/>
              <w:rPr>
                <w:rFonts w:ascii="宋体" w:hAnsi="宋体" w:cs="宋体"/>
                <w:color w:val="auto"/>
                <w:kern w:val="0"/>
                <w:sz w:val="24"/>
                <w:lang w:bidi="ar"/>
              </w:rPr>
            </w:pPr>
            <w:r>
              <w:rPr>
                <w:rFonts w:hint="eastAsia" w:ascii="宋体" w:hAnsi="宋体" w:cs="宋体"/>
                <w:color w:val="auto"/>
                <w:kern w:val="0"/>
                <w:sz w:val="24"/>
                <w:lang w:bidi="ar"/>
              </w:rPr>
              <w:t>15、人员2</w:t>
            </w:r>
          </w:p>
        </w:tc>
        <w:tc>
          <w:tcPr>
            <w:tcW w:w="623" w:type="dxa"/>
            <w:vAlign w:val="center"/>
          </w:tcPr>
          <w:p w14:paraId="36BAAAC5">
            <w:pPr>
              <w:widowControl/>
              <w:jc w:val="center"/>
              <w:rPr>
                <w:color w:val="auto"/>
                <w:sz w:val="24"/>
              </w:rPr>
            </w:pPr>
            <w:r>
              <w:rPr>
                <w:rFonts w:hint="eastAsia"/>
                <w:color w:val="auto"/>
                <w:sz w:val="24"/>
              </w:rPr>
              <w:t>2</w:t>
            </w:r>
          </w:p>
        </w:tc>
        <w:tc>
          <w:tcPr>
            <w:tcW w:w="6877" w:type="dxa"/>
            <w:vAlign w:val="center"/>
          </w:tcPr>
          <w:p w14:paraId="27497B12">
            <w:pPr>
              <w:widowControl/>
              <w:jc w:val="left"/>
              <w:rPr>
                <w:rFonts w:ascii="宋体" w:hAnsi="宋体" w:cs="宋体"/>
                <w:color w:val="auto"/>
                <w:sz w:val="24"/>
              </w:rPr>
            </w:pPr>
            <w:r>
              <w:rPr>
                <w:rFonts w:hint="eastAsia" w:ascii="宋体" w:hAnsi="宋体" w:cs="宋体"/>
                <w:color w:val="auto"/>
                <w:sz w:val="24"/>
              </w:rPr>
              <w:t>投标人提供至少2名技术骨干人员，每名技术骨干人员具备有权部门颁发的信息化中级或中级以上职称证书的得2分。满足得2分，不满足得0分。投标人须提供有效的证书复印件并加盖投标人公章以及技术骨干人员投标截止时间前三个月（不含投标截止时间的当月）中任一月份的社会保险缴纳凭据复印件否则不得分。“人员1”与“人员2”人员不重复加分。</w:t>
            </w:r>
          </w:p>
        </w:tc>
      </w:tr>
      <w:tr w14:paraId="1423CC0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vAlign w:val="center"/>
          </w:tcPr>
          <w:p w14:paraId="137A6D8B">
            <w:pPr>
              <w:widowControl/>
              <w:jc w:val="left"/>
              <w:rPr>
                <w:rFonts w:ascii="宋体" w:hAnsi="宋体" w:cs="宋体"/>
                <w:color w:val="auto"/>
                <w:kern w:val="0"/>
                <w:sz w:val="24"/>
                <w:lang w:bidi="ar"/>
              </w:rPr>
            </w:pPr>
            <w:r>
              <w:rPr>
                <w:rFonts w:ascii="宋体" w:hAnsi="宋体" w:cs="宋体"/>
                <w:color w:val="auto"/>
                <w:kern w:val="0"/>
                <w:sz w:val="24"/>
                <w:lang w:bidi="ar"/>
              </w:rPr>
              <w:t>1</w:t>
            </w:r>
            <w:r>
              <w:rPr>
                <w:rFonts w:hint="eastAsia" w:ascii="宋体" w:hAnsi="宋体" w:cs="宋体"/>
                <w:color w:val="auto"/>
                <w:kern w:val="0"/>
                <w:sz w:val="24"/>
                <w:lang w:bidi="ar"/>
              </w:rPr>
              <w:t>6、技术培训</w:t>
            </w:r>
          </w:p>
        </w:tc>
        <w:tc>
          <w:tcPr>
            <w:tcW w:w="623" w:type="dxa"/>
            <w:vAlign w:val="center"/>
          </w:tcPr>
          <w:p w14:paraId="05C0F418">
            <w:pPr>
              <w:widowControl/>
              <w:jc w:val="center"/>
              <w:rPr>
                <w:color w:val="auto"/>
                <w:sz w:val="24"/>
              </w:rPr>
            </w:pPr>
            <w:r>
              <w:rPr>
                <w:color w:val="auto"/>
                <w:sz w:val="24"/>
              </w:rPr>
              <w:t>2</w:t>
            </w:r>
          </w:p>
        </w:tc>
        <w:tc>
          <w:tcPr>
            <w:tcW w:w="6877" w:type="dxa"/>
            <w:vAlign w:val="center"/>
          </w:tcPr>
          <w:p w14:paraId="7526DEC3">
            <w:pPr>
              <w:widowControl/>
              <w:jc w:val="left"/>
              <w:rPr>
                <w:rFonts w:ascii="宋体" w:hAnsi="宋体" w:cs="宋体"/>
                <w:color w:val="auto"/>
                <w:sz w:val="24"/>
              </w:rPr>
            </w:pPr>
            <w:r>
              <w:rPr>
                <w:rFonts w:ascii="宋体" w:hAnsi="宋体" w:cs="宋体"/>
                <w:color w:val="auto"/>
                <w:sz w:val="24"/>
              </w:rPr>
              <w:t>根据投标人的投标文件中对采购人的管理人员、操作人员及设备维护人员进行培训、学术支持等承诺情况，由评委进行评分：培训计划承诺内容符合实际、合理得2分</w:t>
            </w:r>
            <w:r>
              <w:rPr>
                <w:rFonts w:hint="eastAsia" w:ascii="宋体" w:hAnsi="宋体" w:cs="宋体"/>
                <w:color w:val="auto"/>
                <w:sz w:val="24"/>
              </w:rPr>
              <w:t>；</w:t>
            </w:r>
            <w:r>
              <w:rPr>
                <w:rFonts w:ascii="宋体" w:hAnsi="宋体" w:cs="宋体"/>
                <w:color w:val="auto"/>
                <w:sz w:val="24"/>
              </w:rPr>
              <w:t>培训计划承诺内容较符合实际、较合理得1分</w:t>
            </w:r>
            <w:r>
              <w:rPr>
                <w:rFonts w:hint="eastAsia" w:ascii="宋体" w:hAnsi="宋体" w:cs="宋体"/>
                <w:color w:val="auto"/>
                <w:sz w:val="24"/>
              </w:rPr>
              <w:t>；</w:t>
            </w:r>
            <w:r>
              <w:rPr>
                <w:rFonts w:ascii="宋体" w:hAnsi="宋体" w:cs="宋体"/>
                <w:color w:val="auto"/>
                <w:sz w:val="24"/>
              </w:rPr>
              <w:t>培训计划承诺内容一般得0.5分</w:t>
            </w:r>
            <w:r>
              <w:rPr>
                <w:rFonts w:hint="eastAsia" w:ascii="宋体" w:hAnsi="宋体" w:cs="宋体"/>
                <w:color w:val="auto"/>
                <w:sz w:val="24"/>
              </w:rPr>
              <w:t>；</w:t>
            </w:r>
            <w:r>
              <w:rPr>
                <w:rFonts w:ascii="宋体" w:hAnsi="宋体" w:cs="宋体"/>
                <w:color w:val="auto"/>
                <w:sz w:val="24"/>
              </w:rPr>
              <w:t>培训计划承诺内容不合理或未提供的不得分。</w:t>
            </w:r>
          </w:p>
        </w:tc>
      </w:tr>
    </w:tbl>
    <w:p w14:paraId="469FB6DB">
      <w:pPr>
        <w:pStyle w:val="27"/>
        <w:widowControl/>
        <w:ind w:firstLine="480"/>
        <w:rPr>
          <w:rFonts w:eastAsia="宋体"/>
          <w:color w:val="auto"/>
        </w:rPr>
      </w:pPr>
      <w:r>
        <w:rPr>
          <w:rFonts w:hint="eastAsia" w:ascii="宋体" w:hAnsi="宋体" w:eastAsia="宋体" w:cs="宋体"/>
          <w:color w:val="auto"/>
        </w:rPr>
        <w:t>③商务项（</w:t>
      </w:r>
      <w:r>
        <w:rPr>
          <w:rFonts w:ascii="Calibri" w:hAnsi="Calibri" w:eastAsia="宋体" w:cs="Calibri"/>
          <w:color w:val="auto"/>
        </w:rPr>
        <w:t>F3</w:t>
      </w:r>
      <w:r>
        <w:rPr>
          <w:rFonts w:hint="eastAsia" w:ascii="宋体" w:hAnsi="宋体" w:eastAsia="宋体" w:cs="宋体"/>
          <w:color w:val="auto"/>
        </w:rPr>
        <w:t>×</w:t>
      </w:r>
      <w:r>
        <w:rPr>
          <w:rFonts w:ascii="Calibri" w:hAnsi="Calibri" w:eastAsia="宋体" w:cs="Calibri"/>
          <w:color w:val="auto"/>
        </w:rPr>
        <w:t>A3</w:t>
      </w:r>
      <w:r>
        <w:rPr>
          <w:rFonts w:hint="eastAsia" w:ascii="宋体" w:hAnsi="宋体" w:eastAsia="宋体" w:cs="宋体"/>
          <w:color w:val="auto"/>
        </w:rPr>
        <w:t>）满分为</w:t>
      </w:r>
      <w:r>
        <w:rPr>
          <w:rFonts w:hint="eastAsia" w:ascii="宋体" w:hAnsi="宋体" w:eastAsia="宋体" w:cs="宋体"/>
          <w:color w:val="auto"/>
          <w:u w:val="single"/>
        </w:rPr>
        <w:t>25</w:t>
      </w:r>
      <w:r>
        <w:rPr>
          <w:rFonts w:hint="eastAsia" w:ascii="宋体" w:hAnsi="宋体" w:eastAsia="宋体" w:cs="宋体"/>
          <w:color w:val="auto"/>
        </w:rPr>
        <w:t>分。</w:t>
      </w:r>
    </w:p>
    <w:tbl>
      <w:tblPr>
        <w:tblStyle w:val="30"/>
        <w:tblW w:w="831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89"/>
        <w:gridCol w:w="622"/>
        <w:gridCol w:w="6804"/>
      </w:tblGrid>
      <w:tr w14:paraId="0C4F30B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889" w:type="dxa"/>
            <w:shd w:val="clear" w:color="auto" w:fill="auto"/>
            <w:vAlign w:val="center"/>
          </w:tcPr>
          <w:p w14:paraId="24107F73">
            <w:pPr>
              <w:widowControl/>
              <w:jc w:val="center"/>
              <w:rPr>
                <w:rFonts w:ascii="宋体" w:hAnsi="宋体" w:eastAsia="宋体" w:cs="宋体"/>
                <w:color w:val="auto"/>
                <w:kern w:val="0"/>
                <w:sz w:val="24"/>
                <w:lang w:bidi="ar"/>
              </w:rPr>
            </w:pPr>
            <w:r>
              <w:rPr>
                <w:rFonts w:ascii="宋体" w:hAnsi="宋体" w:eastAsia="宋体" w:cs="宋体"/>
                <w:color w:val="auto"/>
                <w:kern w:val="0"/>
                <w:sz w:val="24"/>
                <w:lang w:bidi="ar"/>
              </w:rPr>
              <w:t>评标</w:t>
            </w:r>
          </w:p>
          <w:p w14:paraId="6A8264C4">
            <w:pPr>
              <w:widowControl/>
              <w:jc w:val="center"/>
              <w:rPr>
                <w:color w:val="auto"/>
                <w:sz w:val="24"/>
              </w:rPr>
            </w:pPr>
            <w:r>
              <w:rPr>
                <w:rFonts w:ascii="宋体" w:hAnsi="宋体" w:eastAsia="宋体" w:cs="宋体"/>
                <w:color w:val="auto"/>
                <w:kern w:val="0"/>
                <w:sz w:val="24"/>
                <w:lang w:bidi="ar"/>
              </w:rPr>
              <w:t>项目</w:t>
            </w:r>
          </w:p>
        </w:tc>
        <w:tc>
          <w:tcPr>
            <w:tcW w:w="622" w:type="dxa"/>
            <w:shd w:val="clear" w:color="auto" w:fill="auto"/>
            <w:vAlign w:val="center"/>
          </w:tcPr>
          <w:p w14:paraId="114284EC">
            <w:pPr>
              <w:widowControl/>
              <w:jc w:val="center"/>
              <w:rPr>
                <w:color w:val="auto"/>
                <w:sz w:val="24"/>
              </w:rPr>
            </w:pPr>
            <w:r>
              <w:rPr>
                <w:rFonts w:ascii="宋体" w:hAnsi="宋体" w:eastAsia="宋体" w:cs="宋体"/>
                <w:color w:val="auto"/>
                <w:kern w:val="0"/>
                <w:sz w:val="24"/>
                <w:lang w:bidi="ar"/>
              </w:rPr>
              <w:t>评标分值</w:t>
            </w:r>
          </w:p>
        </w:tc>
        <w:tc>
          <w:tcPr>
            <w:tcW w:w="6804" w:type="dxa"/>
            <w:shd w:val="clear" w:color="auto" w:fill="auto"/>
            <w:vAlign w:val="center"/>
          </w:tcPr>
          <w:p w14:paraId="6CF6C2DF">
            <w:pPr>
              <w:widowControl/>
              <w:jc w:val="center"/>
              <w:rPr>
                <w:color w:val="auto"/>
                <w:sz w:val="24"/>
              </w:rPr>
            </w:pPr>
            <w:r>
              <w:rPr>
                <w:rFonts w:ascii="宋体" w:hAnsi="宋体" w:eastAsia="宋体" w:cs="宋体"/>
                <w:color w:val="auto"/>
                <w:kern w:val="0"/>
                <w:sz w:val="24"/>
                <w:lang w:bidi="ar"/>
              </w:rPr>
              <w:t>评标方法描述</w:t>
            </w:r>
          </w:p>
        </w:tc>
      </w:tr>
      <w:tr w14:paraId="7400F85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889" w:type="dxa"/>
            <w:shd w:val="clear" w:color="auto" w:fill="auto"/>
            <w:vAlign w:val="center"/>
          </w:tcPr>
          <w:p w14:paraId="0CD13012">
            <w:pPr>
              <w:widowControl/>
              <w:jc w:val="left"/>
              <w:rPr>
                <w:color w:val="auto"/>
                <w:sz w:val="24"/>
              </w:rPr>
            </w:pPr>
            <w:r>
              <w:rPr>
                <w:rFonts w:ascii="宋体" w:hAnsi="宋体" w:eastAsia="宋体" w:cs="宋体"/>
                <w:color w:val="auto"/>
                <w:kern w:val="0"/>
                <w:sz w:val="24"/>
                <w:lang w:bidi="ar"/>
              </w:rPr>
              <w:t>1、企业资质1</w:t>
            </w:r>
          </w:p>
        </w:tc>
        <w:tc>
          <w:tcPr>
            <w:tcW w:w="622" w:type="dxa"/>
            <w:shd w:val="clear" w:color="auto" w:fill="auto"/>
            <w:vAlign w:val="center"/>
          </w:tcPr>
          <w:p w14:paraId="1B80CF2A">
            <w:pPr>
              <w:widowControl/>
              <w:jc w:val="center"/>
              <w:rPr>
                <w:color w:val="auto"/>
                <w:sz w:val="24"/>
              </w:rPr>
            </w:pPr>
            <w:r>
              <w:rPr>
                <w:rFonts w:ascii="宋体" w:hAnsi="宋体" w:eastAsia="宋体" w:cs="宋体"/>
                <w:color w:val="auto"/>
                <w:kern w:val="0"/>
                <w:sz w:val="24"/>
                <w:lang w:bidi="ar"/>
              </w:rPr>
              <w:t>1</w:t>
            </w:r>
          </w:p>
        </w:tc>
        <w:tc>
          <w:tcPr>
            <w:tcW w:w="6804" w:type="dxa"/>
            <w:shd w:val="clear" w:color="auto" w:fill="auto"/>
            <w:vAlign w:val="center"/>
          </w:tcPr>
          <w:p w14:paraId="1203AD40">
            <w:pPr>
              <w:widowControl/>
              <w:jc w:val="left"/>
              <w:rPr>
                <w:color w:val="auto"/>
                <w:sz w:val="24"/>
              </w:rPr>
            </w:pPr>
            <w:r>
              <w:rPr>
                <w:rFonts w:ascii="宋体" w:hAnsi="宋体" w:eastAsia="宋体" w:cs="宋体"/>
                <w:color w:val="auto"/>
                <w:kern w:val="0"/>
                <w:sz w:val="24"/>
                <w:lang w:bidi="ar"/>
              </w:rPr>
              <w:t>投标人具备有效期内的质量管理体系认证ISO9001证书的，得1分。（投标人需提供证书复印件</w:t>
            </w:r>
            <w:r>
              <w:rPr>
                <w:rFonts w:hint="eastAsia" w:ascii="宋体" w:hAnsi="宋体" w:eastAsia="宋体" w:cs="宋体"/>
                <w:color w:val="auto"/>
                <w:kern w:val="0"/>
                <w:sz w:val="24"/>
                <w:lang w:bidi="ar"/>
              </w:rPr>
              <w:t>。</w:t>
            </w:r>
            <w:r>
              <w:rPr>
                <w:rFonts w:ascii="宋体" w:hAnsi="宋体" w:eastAsia="宋体" w:cs="宋体"/>
                <w:color w:val="auto"/>
                <w:kern w:val="0"/>
                <w:sz w:val="24"/>
                <w:lang w:bidi="ar"/>
              </w:rPr>
              <w:t>)</w:t>
            </w:r>
          </w:p>
        </w:tc>
      </w:tr>
      <w:tr w14:paraId="5B5F1B1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889" w:type="dxa"/>
            <w:shd w:val="clear" w:color="auto" w:fill="auto"/>
            <w:vAlign w:val="center"/>
          </w:tcPr>
          <w:p w14:paraId="2815F0A3">
            <w:pPr>
              <w:widowControl/>
              <w:jc w:val="left"/>
              <w:rPr>
                <w:color w:val="auto"/>
                <w:sz w:val="24"/>
              </w:rPr>
            </w:pPr>
            <w:r>
              <w:rPr>
                <w:rFonts w:hint="eastAsia" w:ascii="宋体" w:hAnsi="宋体" w:eastAsia="宋体" w:cs="宋体"/>
                <w:color w:val="auto"/>
                <w:kern w:val="0"/>
                <w:sz w:val="24"/>
                <w:lang w:bidi="ar"/>
              </w:rPr>
              <w:t>2</w:t>
            </w:r>
            <w:r>
              <w:rPr>
                <w:rFonts w:ascii="宋体" w:hAnsi="宋体" w:eastAsia="宋体" w:cs="宋体"/>
                <w:color w:val="auto"/>
                <w:kern w:val="0"/>
                <w:sz w:val="24"/>
                <w:lang w:bidi="ar"/>
              </w:rPr>
              <w:t>、企业资质2</w:t>
            </w:r>
          </w:p>
        </w:tc>
        <w:tc>
          <w:tcPr>
            <w:tcW w:w="622" w:type="dxa"/>
            <w:shd w:val="clear" w:color="auto" w:fill="auto"/>
            <w:vAlign w:val="center"/>
          </w:tcPr>
          <w:p w14:paraId="7DAEDEE6">
            <w:pPr>
              <w:widowControl/>
              <w:jc w:val="center"/>
              <w:rPr>
                <w:color w:val="auto"/>
                <w:sz w:val="24"/>
              </w:rPr>
            </w:pPr>
            <w:r>
              <w:rPr>
                <w:rFonts w:ascii="宋体" w:hAnsi="宋体" w:eastAsia="宋体" w:cs="宋体"/>
                <w:color w:val="auto"/>
                <w:kern w:val="0"/>
                <w:sz w:val="24"/>
                <w:lang w:bidi="ar"/>
              </w:rPr>
              <w:t>1</w:t>
            </w:r>
          </w:p>
        </w:tc>
        <w:tc>
          <w:tcPr>
            <w:tcW w:w="6804" w:type="dxa"/>
            <w:shd w:val="clear" w:color="auto" w:fill="auto"/>
            <w:vAlign w:val="center"/>
          </w:tcPr>
          <w:p w14:paraId="1A297C2D">
            <w:pPr>
              <w:widowControl/>
              <w:jc w:val="left"/>
              <w:rPr>
                <w:color w:val="auto"/>
                <w:sz w:val="24"/>
              </w:rPr>
            </w:pPr>
            <w:r>
              <w:rPr>
                <w:rFonts w:ascii="宋体" w:hAnsi="宋体" w:eastAsia="宋体" w:cs="宋体"/>
                <w:color w:val="auto"/>
                <w:kern w:val="0"/>
                <w:sz w:val="24"/>
                <w:lang w:bidi="ar"/>
              </w:rPr>
              <w:t>投标人具备有效期内的“职业健康安全管理体系ISO45001”或“职业健康安全管理体系OHSAS18001”证书的，得1分。（投标人需提供证书复印件</w:t>
            </w:r>
            <w:r>
              <w:rPr>
                <w:rFonts w:hint="eastAsia" w:ascii="宋体" w:hAnsi="宋体" w:eastAsia="宋体" w:cs="宋体"/>
                <w:color w:val="auto"/>
                <w:kern w:val="0"/>
                <w:sz w:val="24"/>
                <w:lang w:bidi="ar"/>
              </w:rPr>
              <w:t>。</w:t>
            </w:r>
            <w:r>
              <w:rPr>
                <w:rFonts w:ascii="宋体" w:hAnsi="宋体" w:eastAsia="宋体" w:cs="宋体"/>
                <w:color w:val="auto"/>
                <w:kern w:val="0"/>
                <w:sz w:val="24"/>
                <w:lang w:bidi="ar"/>
              </w:rPr>
              <w:t>)</w:t>
            </w:r>
          </w:p>
        </w:tc>
      </w:tr>
      <w:tr w14:paraId="606DDCF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3D8A44E7">
            <w:pPr>
              <w:widowControl/>
              <w:jc w:val="left"/>
              <w:rPr>
                <w:color w:val="auto"/>
                <w:sz w:val="24"/>
              </w:rPr>
            </w:pPr>
            <w:r>
              <w:rPr>
                <w:rFonts w:hint="eastAsia" w:ascii="宋体" w:hAnsi="宋体" w:eastAsia="宋体" w:cs="宋体"/>
                <w:color w:val="auto"/>
                <w:kern w:val="0"/>
                <w:sz w:val="24"/>
                <w:lang w:bidi="ar"/>
              </w:rPr>
              <w:t>3</w:t>
            </w:r>
            <w:r>
              <w:rPr>
                <w:rFonts w:ascii="宋体" w:hAnsi="宋体" w:eastAsia="宋体" w:cs="宋体"/>
                <w:color w:val="auto"/>
                <w:kern w:val="0"/>
                <w:sz w:val="24"/>
                <w:lang w:bidi="ar"/>
              </w:rPr>
              <w:t>、企业资质3</w:t>
            </w:r>
          </w:p>
        </w:tc>
        <w:tc>
          <w:tcPr>
            <w:tcW w:w="622" w:type="dxa"/>
            <w:shd w:val="clear" w:color="auto" w:fill="auto"/>
            <w:vAlign w:val="center"/>
          </w:tcPr>
          <w:p w14:paraId="599FD91D">
            <w:pPr>
              <w:widowControl/>
              <w:jc w:val="center"/>
              <w:rPr>
                <w:color w:val="auto"/>
                <w:sz w:val="24"/>
              </w:rPr>
            </w:pPr>
            <w:r>
              <w:rPr>
                <w:rFonts w:ascii="宋体" w:hAnsi="宋体" w:eastAsia="宋体" w:cs="宋体"/>
                <w:color w:val="auto"/>
                <w:kern w:val="0"/>
                <w:sz w:val="24"/>
                <w:lang w:bidi="ar"/>
              </w:rPr>
              <w:t>1</w:t>
            </w:r>
          </w:p>
        </w:tc>
        <w:tc>
          <w:tcPr>
            <w:tcW w:w="6804" w:type="dxa"/>
            <w:shd w:val="clear" w:color="auto" w:fill="auto"/>
            <w:vAlign w:val="center"/>
          </w:tcPr>
          <w:p w14:paraId="388E20BF">
            <w:pPr>
              <w:widowControl/>
              <w:jc w:val="left"/>
              <w:rPr>
                <w:color w:val="auto"/>
                <w:sz w:val="24"/>
              </w:rPr>
            </w:pPr>
            <w:r>
              <w:rPr>
                <w:rFonts w:ascii="宋体" w:hAnsi="宋体" w:eastAsia="宋体" w:cs="宋体"/>
                <w:color w:val="auto"/>
                <w:kern w:val="0"/>
                <w:sz w:val="24"/>
                <w:lang w:bidi="ar"/>
              </w:rPr>
              <w:t>投标人具备有效期内的环境管理体系认证ISO14001证书的，得1分。（投标人需提供证书复印件。)</w:t>
            </w:r>
          </w:p>
        </w:tc>
      </w:tr>
      <w:tr w14:paraId="4E7392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1E6AD76A">
            <w:pPr>
              <w:widowControl/>
              <w:jc w:val="left"/>
              <w:rPr>
                <w:color w:val="auto"/>
                <w:sz w:val="24"/>
              </w:rPr>
            </w:pPr>
            <w:r>
              <w:rPr>
                <w:rFonts w:hint="eastAsia" w:ascii="宋体" w:hAnsi="宋体" w:eastAsia="宋体" w:cs="宋体"/>
                <w:color w:val="auto"/>
                <w:kern w:val="0"/>
                <w:sz w:val="24"/>
                <w:lang w:bidi="ar"/>
              </w:rPr>
              <w:t>4</w:t>
            </w:r>
            <w:r>
              <w:rPr>
                <w:rFonts w:ascii="宋体" w:hAnsi="宋体" w:eastAsia="宋体" w:cs="宋体"/>
                <w:color w:val="auto"/>
                <w:kern w:val="0"/>
                <w:sz w:val="24"/>
                <w:lang w:bidi="ar"/>
              </w:rPr>
              <w:t>、企业资质4</w:t>
            </w:r>
          </w:p>
        </w:tc>
        <w:tc>
          <w:tcPr>
            <w:tcW w:w="622" w:type="dxa"/>
            <w:shd w:val="clear" w:color="auto" w:fill="auto"/>
            <w:vAlign w:val="center"/>
          </w:tcPr>
          <w:p w14:paraId="1072F42B">
            <w:pPr>
              <w:widowControl/>
              <w:jc w:val="center"/>
              <w:rPr>
                <w:color w:val="auto"/>
                <w:sz w:val="24"/>
              </w:rPr>
            </w:pPr>
            <w:r>
              <w:rPr>
                <w:rFonts w:hint="eastAsia" w:ascii="宋体" w:hAnsi="宋体" w:eastAsia="宋体" w:cs="宋体"/>
                <w:color w:val="auto"/>
                <w:kern w:val="0"/>
                <w:sz w:val="24"/>
                <w:lang w:bidi="ar"/>
              </w:rPr>
              <w:t>1</w:t>
            </w:r>
          </w:p>
        </w:tc>
        <w:tc>
          <w:tcPr>
            <w:tcW w:w="6804" w:type="dxa"/>
            <w:shd w:val="clear" w:color="auto" w:fill="auto"/>
            <w:vAlign w:val="center"/>
          </w:tcPr>
          <w:p w14:paraId="148FD21B">
            <w:pPr>
              <w:widowControl/>
              <w:jc w:val="left"/>
              <w:rPr>
                <w:color w:val="auto"/>
                <w:sz w:val="24"/>
              </w:rPr>
            </w:pPr>
            <w:r>
              <w:rPr>
                <w:rFonts w:ascii="宋体" w:hAnsi="宋体" w:eastAsia="宋体" w:cs="宋体"/>
                <w:color w:val="auto"/>
                <w:kern w:val="0"/>
                <w:sz w:val="24"/>
                <w:lang w:bidi="ar"/>
              </w:rPr>
              <w:t>投标人具备有效期内的“信息技术服务管理体系认证证书ISO/IEC 20000证书”的，</w:t>
            </w:r>
            <w:r>
              <w:rPr>
                <w:rFonts w:hint="eastAsia" w:ascii="宋体" w:hAnsi="宋体" w:eastAsia="宋体" w:cs="宋体"/>
                <w:color w:val="auto"/>
                <w:kern w:val="0"/>
                <w:sz w:val="24"/>
                <w:lang w:bidi="ar"/>
              </w:rPr>
              <w:t>得1分</w:t>
            </w:r>
            <w:r>
              <w:rPr>
                <w:rFonts w:ascii="宋体" w:hAnsi="宋体" w:eastAsia="宋体" w:cs="宋体"/>
                <w:color w:val="auto"/>
                <w:kern w:val="0"/>
                <w:sz w:val="24"/>
                <w:lang w:bidi="ar"/>
              </w:rPr>
              <w:t>。 （投标人需提供证书复印件。)</w:t>
            </w:r>
          </w:p>
        </w:tc>
      </w:tr>
      <w:tr w14:paraId="23E459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152535B9">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5</w:t>
            </w:r>
            <w:r>
              <w:rPr>
                <w:rFonts w:ascii="宋体" w:hAnsi="宋体" w:eastAsia="宋体" w:cs="宋体"/>
                <w:color w:val="auto"/>
                <w:kern w:val="0"/>
                <w:sz w:val="24"/>
                <w:lang w:bidi="ar"/>
              </w:rPr>
              <w:t>、企业资质</w:t>
            </w:r>
            <w:r>
              <w:rPr>
                <w:rFonts w:hint="eastAsia" w:ascii="宋体" w:hAnsi="宋体" w:eastAsia="宋体" w:cs="宋体"/>
                <w:color w:val="auto"/>
                <w:kern w:val="0"/>
                <w:sz w:val="24"/>
                <w:lang w:bidi="ar"/>
              </w:rPr>
              <w:t>5</w:t>
            </w:r>
          </w:p>
        </w:tc>
        <w:tc>
          <w:tcPr>
            <w:tcW w:w="622" w:type="dxa"/>
            <w:shd w:val="clear" w:color="auto" w:fill="auto"/>
            <w:vAlign w:val="center"/>
          </w:tcPr>
          <w:p w14:paraId="088CBE7A">
            <w:pPr>
              <w:widowControl/>
              <w:jc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1</w:t>
            </w:r>
          </w:p>
        </w:tc>
        <w:tc>
          <w:tcPr>
            <w:tcW w:w="6804" w:type="dxa"/>
            <w:shd w:val="clear" w:color="auto" w:fill="auto"/>
            <w:vAlign w:val="center"/>
          </w:tcPr>
          <w:p w14:paraId="53C1BBDE">
            <w:pPr>
              <w:widowControl/>
              <w:jc w:val="left"/>
              <w:rPr>
                <w:rFonts w:ascii="宋体" w:hAnsi="宋体" w:eastAsia="宋体" w:cs="宋体"/>
                <w:color w:val="auto"/>
                <w:kern w:val="0"/>
                <w:sz w:val="24"/>
                <w:lang w:bidi="ar"/>
              </w:rPr>
            </w:pPr>
            <w:r>
              <w:rPr>
                <w:rFonts w:ascii="宋体" w:hAnsi="宋体" w:eastAsia="宋体" w:cs="宋体"/>
                <w:color w:val="auto"/>
                <w:kern w:val="0"/>
                <w:sz w:val="24"/>
                <w:lang w:bidi="ar"/>
              </w:rPr>
              <w:t>投标人具备有效期内的“ITSS信息技术服务运行维护标准符合性证书”的，</w:t>
            </w:r>
            <w:r>
              <w:rPr>
                <w:rFonts w:hint="eastAsia" w:ascii="宋体" w:hAnsi="宋体" w:eastAsia="宋体" w:cs="宋体"/>
                <w:color w:val="auto"/>
                <w:kern w:val="0"/>
                <w:sz w:val="24"/>
                <w:lang w:bidi="ar"/>
              </w:rPr>
              <w:t>得1分</w:t>
            </w:r>
            <w:r>
              <w:rPr>
                <w:rFonts w:ascii="宋体" w:hAnsi="宋体" w:eastAsia="宋体" w:cs="宋体"/>
                <w:color w:val="auto"/>
                <w:kern w:val="0"/>
                <w:sz w:val="24"/>
                <w:lang w:bidi="ar"/>
              </w:rPr>
              <w:t>。 （投标人需提供证书复印件。)</w:t>
            </w:r>
          </w:p>
        </w:tc>
      </w:tr>
      <w:tr w14:paraId="1F75F97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889" w:type="dxa"/>
            <w:shd w:val="clear" w:color="auto" w:fill="auto"/>
            <w:vAlign w:val="center"/>
          </w:tcPr>
          <w:p w14:paraId="5D175E00">
            <w:pPr>
              <w:widowControl/>
              <w:jc w:val="left"/>
              <w:rPr>
                <w:color w:val="auto"/>
                <w:sz w:val="24"/>
              </w:rPr>
            </w:pPr>
            <w:r>
              <w:rPr>
                <w:rFonts w:hint="eastAsia" w:ascii="宋体" w:hAnsi="宋体" w:eastAsia="宋体" w:cs="宋体"/>
                <w:color w:val="auto"/>
                <w:kern w:val="0"/>
                <w:sz w:val="24"/>
                <w:lang w:bidi="ar"/>
              </w:rPr>
              <w:t>6</w:t>
            </w:r>
            <w:r>
              <w:rPr>
                <w:rFonts w:ascii="宋体" w:hAnsi="宋体" w:eastAsia="宋体" w:cs="宋体"/>
                <w:color w:val="auto"/>
                <w:kern w:val="0"/>
                <w:sz w:val="24"/>
                <w:lang w:bidi="ar"/>
              </w:rPr>
              <w:t>、企业资质</w:t>
            </w:r>
            <w:r>
              <w:rPr>
                <w:rFonts w:hint="eastAsia" w:ascii="宋体" w:hAnsi="宋体" w:eastAsia="宋体" w:cs="宋体"/>
                <w:color w:val="auto"/>
                <w:kern w:val="0"/>
                <w:sz w:val="24"/>
                <w:lang w:bidi="ar"/>
              </w:rPr>
              <w:t>6</w:t>
            </w:r>
          </w:p>
        </w:tc>
        <w:tc>
          <w:tcPr>
            <w:tcW w:w="622" w:type="dxa"/>
            <w:shd w:val="clear" w:color="auto" w:fill="auto"/>
            <w:vAlign w:val="center"/>
          </w:tcPr>
          <w:p w14:paraId="29ABF4CD">
            <w:pPr>
              <w:widowControl/>
              <w:jc w:val="center"/>
              <w:rPr>
                <w:color w:val="auto"/>
                <w:sz w:val="24"/>
              </w:rPr>
            </w:pPr>
            <w:r>
              <w:rPr>
                <w:rFonts w:hint="eastAsia" w:ascii="宋体" w:hAnsi="宋体" w:eastAsia="宋体" w:cs="宋体"/>
                <w:color w:val="auto"/>
                <w:kern w:val="0"/>
                <w:sz w:val="24"/>
                <w:lang w:bidi="ar"/>
              </w:rPr>
              <w:t>1</w:t>
            </w:r>
          </w:p>
        </w:tc>
        <w:tc>
          <w:tcPr>
            <w:tcW w:w="6804" w:type="dxa"/>
            <w:shd w:val="clear" w:color="auto" w:fill="auto"/>
            <w:vAlign w:val="center"/>
          </w:tcPr>
          <w:p w14:paraId="08E71E90">
            <w:pPr>
              <w:widowControl/>
              <w:jc w:val="left"/>
              <w:rPr>
                <w:color w:val="auto"/>
                <w:sz w:val="24"/>
              </w:rPr>
            </w:pPr>
            <w:r>
              <w:rPr>
                <w:rFonts w:ascii="宋体" w:hAnsi="宋体" w:eastAsia="宋体" w:cs="宋体"/>
                <w:color w:val="auto"/>
                <w:kern w:val="0"/>
                <w:sz w:val="24"/>
                <w:lang w:bidi="ar"/>
              </w:rPr>
              <w:t>投标人具备有效期内的信息安全管理体系认证证书GB/T22080—2016/ISO/IEC27001:2013的，得</w:t>
            </w:r>
            <w:r>
              <w:rPr>
                <w:rFonts w:hint="eastAsia" w:ascii="宋体" w:hAnsi="宋体" w:eastAsia="宋体" w:cs="宋体"/>
                <w:color w:val="auto"/>
                <w:kern w:val="0"/>
                <w:sz w:val="24"/>
                <w:lang w:bidi="ar"/>
              </w:rPr>
              <w:t>1</w:t>
            </w:r>
            <w:r>
              <w:rPr>
                <w:rFonts w:ascii="宋体" w:hAnsi="宋体" w:eastAsia="宋体" w:cs="宋体"/>
                <w:color w:val="auto"/>
                <w:kern w:val="0"/>
                <w:sz w:val="24"/>
                <w:lang w:bidi="ar"/>
              </w:rPr>
              <w:t>分。 （投标人需提供证书复印件。)</w:t>
            </w:r>
          </w:p>
        </w:tc>
      </w:tr>
      <w:tr w14:paraId="3C212E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263862C3">
            <w:pPr>
              <w:widowControl/>
              <w:jc w:val="left"/>
              <w:rPr>
                <w:color w:val="auto"/>
                <w:sz w:val="24"/>
              </w:rPr>
            </w:pPr>
            <w:r>
              <w:rPr>
                <w:rFonts w:hint="eastAsia" w:ascii="宋体" w:hAnsi="宋体" w:eastAsia="宋体" w:cs="宋体"/>
                <w:color w:val="auto"/>
                <w:kern w:val="0"/>
                <w:sz w:val="24"/>
                <w:lang w:bidi="ar"/>
              </w:rPr>
              <w:t>7</w:t>
            </w:r>
            <w:r>
              <w:rPr>
                <w:rFonts w:ascii="宋体" w:hAnsi="宋体" w:eastAsia="宋体" w:cs="宋体"/>
                <w:color w:val="auto"/>
                <w:kern w:val="0"/>
                <w:sz w:val="24"/>
                <w:lang w:bidi="ar"/>
              </w:rPr>
              <w:t>、企业资质</w:t>
            </w:r>
            <w:r>
              <w:rPr>
                <w:rFonts w:hint="eastAsia" w:ascii="宋体" w:hAnsi="宋体" w:eastAsia="宋体" w:cs="宋体"/>
                <w:color w:val="auto"/>
                <w:kern w:val="0"/>
                <w:sz w:val="24"/>
                <w:lang w:bidi="ar"/>
              </w:rPr>
              <w:t>7</w:t>
            </w:r>
          </w:p>
        </w:tc>
        <w:tc>
          <w:tcPr>
            <w:tcW w:w="622" w:type="dxa"/>
            <w:shd w:val="clear" w:color="auto" w:fill="auto"/>
            <w:vAlign w:val="center"/>
          </w:tcPr>
          <w:p w14:paraId="120879F5">
            <w:pPr>
              <w:widowControl/>
              <w:jc w:val="center"/>
              <w:rPr>
                <w:color w:val="auto"/>
                <w:sz w:val="24"/>
              </w:rPr>
            </w:pPr>
            <w:r>
              <w:rPr>
                <w:rFonts w:hint="eastAsia" w:ascii="宋体" w:hAnsi="宋体" w:eastAsia="宋体" w:cs="宋体"/>
                <w:color w:val="auto"/>
                <w:kern w:val="0"/>
                <w:sz w:val="24"/>
                <w:lang w:bidi="ar"/>
              </w:rPr>
              <w:t>1</w:t>
            </w:r>
          </w:p>
        </w:tc>
        <w:tc>
          <w:tcPr>
            <w:tcW w:w="6804" w:type="dxa"/>
            <w:shd w:val="clear" w:color="auto" w:fill="auto"/>
            <w:vAlign w:val="center"/>
          </w:tcPr>
          <w:p w14:paraId="35288B4A">
            <w:pPr>
              <w:widowControl/>
              <w:jc w:val="left"/>
              <w:rPr>
                <w:color w:val="auto"/>
                <w:sz w:val="24"/>
              </w:rPr>
            </w:pPr>
            <w:r>
              <w:rPr>
                <w:rFonts w:hint="eastAsia" w:ascii="宋体" w:hAnsi="宋体" w:eastAsia="宋体" w:cs="宋体"/>
                <w:color w:val="auto"/>
                <w:kern w:val="0"/>
                <w:sz w:val="24"/>
                <w:lang w:bidi="ar"/>
              </w:rPr>
              <w:t>投标人具有涉密信息系统集成资质证书，业务种类为系统集成或软件开发甲级得的1分。需提供清晰、有效的证书复印件并加盖投标人公章，否则不得分。</w:t>
            </w:r>
          </w:p>
        </w:tc>
      </w:tr>
      <w:tr w14:paraId="3B0A53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641CB927">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8、企业资质8</w:t>
            </w:r>
          </w:p>
        </w:tc>
        <w:tc>
          <w:tcPr>
            <w:tcW w:w="622" w:type="dxa"/>
            <w:shd w:val="clear" w:color="auto" w:fill="auto"/>
            <w:vAlign w:val="center"/>
          </w:tcPr>
          <w:p w14:paraId="42DBBA71">
            <w:pPr>
              <w:widowControl/>
              <w:jc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1</w:t>
            </w:r>
          </w:p>
        </w:tc>
        <w:tc>
          <w:tcPr>
            <w:tcW w:w="6804" w:type="dxa"/>
            <w:shd w:val="clear" w:color="auto" w:fill="auto"/>
            <w:vAlign w:val="center"/>
          </w:tcPr>
          <w:p w14:paraId="63B4E389">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投标人具有电子与智能化工程专业承包壹级证书得1分，具有电子与智能化工程专业承包贰级得0.5分，需提供有效期内证书复印件，未提供不得分。</w:t>
            </w:r>
            <w:r>
              <w:rPr>
                <w:rFonts w:ascii="宋体" w:hAnsi="宋体" w:eastAsia="宋体" w:cs="宋体"/>
                <w:color w:val="auto"/>
                <w:kern w:val="0"/>
                <w:sz w:val="24"/>
                <w:lang w:bidi="ar"/>
              </w:rPr>
              <w:t>（投标人需提供证书复印件。)</w:t>
            </w:r>
          </w:p>
        </w:tc>
      </w:tr>
      <w:tr w14:paraId="5C915C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1EA151AF">
            <w:pPr>
              <w:widowControl/>
              <w:jc w:val="left"/>
              <w:rPr>
                <w:color w:val="auto"/>
                <w:sz w:val="24"/>
              </w:rPr>
            </w:pPr>
            <w:r>
              <w:rPr>
                <w:rFonts w:hint="eastAsia" w:ascii="宋体" w:hAnsi="宋体" w:eastAsia="宋体" w:cs="宋体"/>
                <w:color w:val="auto"/>
                <w:kern w:val="0"/>
                <w:sz w:val="24"/>
                <w:lang w:bidi="ar"/>
              </w:rPr>
              <w:t>9</w:t>
            </w:r>
            <w:r>
              <w:rPr>
                <w:rFonts w:ascii="宋体" w:hAnsi="宋体" w:eastAsia="宋体" w:cs="宋体"/>
                <w:color w:val="auto"/>
                <w:kern w:val="0"/>
                <w:sz w:val="24"/>
                <w:lang w:bidi="ar"/>
              </w:rPr>
              <w:t>、企业实力</w:t>
            </w:r>
            <w:r>
              <w:rPr>
                <w:rFonts w:hint="eastAsia" w:ascii="宋体" w:hAnsi="宋体" w:eastAsia="宋体" w:cs="宋体"/>
                <w:color w:val="auto"/>
                <w:kern w:val="0"/>
                <w:sz w:val="24"/>
                <w:lang w:bidi="ar"/>
              </w:rPr>
              <w:t>1</w:t>
            </w:r>
          </w:p>
        </w:tc>
        <w:tc>
          <w:tcPr>
            <w:tcW w:w="622" w:type="dxa"/>
            <w:shd w:val="clear" w:color="auto" w:fill="auto"/>
            <w:vAlign w:val="center"/>
          </w:tcPr>
          <w:p w14:paraId="4B34FC6D">
            <w:pPr>
              <w:widowControl/>
              <w:jc w:val="center"/>
              <w:rPr>
                <w:color w:val="auto"/>
                <w:sz w:val="24"/>
              </w:rPr>
            </w:pPr>
            <w:r>
              <w:rPr>
                <w:rFonts w:hint="eastAsia" w:ascii="宋体" w:hAnsi="宋体" w:eastAsia="宋体" w:cs="宋体"/>
                <w:color w:val="auto"/>
                <w:kern w:val="0"/>
                <w:sz w:val="24"/>
                <w:lang w:bidi="ar"/>
              </w:rPr>
              <w:t>2</w:t>
            </w:r>
          </w:p>
        </w:tc>
        <w:tc>
          <w:tcPr>
            <w:tcW w:w="6804" w:type="dxa"/>
            <w:shd w:val="clear" w:color="auto" w:fill="auto"/>
            <w:vAlign w:val="center"/>
          </w:tcPr>
          <w:p w14:paraId="36E7E788">
            <w:pPr>
              <w:widowControl/>
              <w:jc w:val="left"/>
              <w:rPr>
                <w:color w:val="auto"/>
                <w:sz w:val="24"/>
              </w:rPr>
            </w:pPr>
            <w:r>
              <w:rPr>
                <w:rFonts w:hint="eastAsia" w:ascii="宋体" w:hAnsi="宋体" w:eastAsia="宋体" w:cs="宋体"/>
                <w:color w:val="auto"/>
                <w:kern w:val="0"/>
                <w:sz w:val="24"/>
                <w:lang w:bidi="ar"/>
              </w:rPr>
              <w:t>投标人获得软件企业认证和国家高新技术企业认证的，每个得1分，最高2分。（投标人需提供有效证书复印件。)</w:t>
            </w:r>
          </w:p>
        </w:tc>
      </w:tr>
      <w:tr w14:paraId="440BCD3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051E78C4">
            <w:pPr>
              <w:widowControl/>
              <w:jc w:val="left"/>
              <w:rPr>
                <w:color w:val="auto"/>
                <w:sz w:val="24"/>
              </w:rPr>
            </w:pPr>
            <w:r>
              <w:rPr>
                <w:rFonts w:hint="eastAsia" w:ascii="宋体" w:hAnsi="宋体" w:eastAsia="宋体" w:cs="宋体"/>
                <w:color w:val="auto"/>
                <w:kern w:val="0"/>
                <w:sz w:val="24"/>
                <w:lang w:bidi="ar"/>
              </w:rPr>
              <w:t>10</w:t>
            </w:r>
            <w:r>
              <w:rPr>
                <w:rFonts w:ascii="宋体" w:hAnsi="宋体" w:eastAsia="宋体" w:cs="宋体"/>
                <w:color w:val="auto"/>
                <w:kern w:val="0"/>
                <w:sz w:val="24"/>
                <w:lang w:bidi="ar"/>
              </w:rPr>
              <w:t>、企业实力</w:t>
            </w:r>
            <w:r>
              <w:rPr>
                <w:rFonts w:hint="eastAsia" w:ascii="宋体" w:hAnsi="宋体" w:eastAsia="宋体" w:cs="宋体"/>
                <w:color w:val="auto"/>
                <w:kern w:val="0"/>
                <w:sz w:val="24"/>
                <w:lang w:bidi="ar"/>
              </w:rPr>
              <w:t>2</w:t>
            </w:r>
          </w:p>
        </w:tc>
        <w:tc>
          <w:tcPr>
            <w:tcW w:w="622" w:type="dxa"/>
            <w:shd w:val="clear" w:color="auto" w:fill="auto"/>
            <w:vAlign w:val="center"/>
          </w:tcPr>
          <w:p w14:paraId="0EF60B0A">
            <w:pPr>
              <w:widowControl/>
              <w:jc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3</w:t>
            </w:r>
          </w:p>
        </w:tc>
        <w:tc>
          <w:tcPr>
            <w:tcW w:w="6804" w:type="dxa"/>
            <w:shd w:val="clear" w:color="auto" w:fill="auto"/>
            <w:vAlign w:val="center"/>
          </w:tcPr>
          <w:p w14:paraId="494FA9CA">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根据投标人提供与城市综合管理服务平台项目相关的软件著作证书情况进行评议，每提供一份得1分，满分3分。须提供有效的证明材料，否则不得分。</w:t>
            </w:r>
          </w:p>
        </w:tc>
      </w:tr>
      <w:tr w14:paraId="5B7186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62711F20">
            <w:pPr>
              <w:widowControl/>
              <w:jc w:val="left"/>
              <w:rPr>
                <w:color w:val="auto"/>
                <w:sz w:val="24"/>
              </w:rPr>
            </w:pPr>
            <w:r>
              <w:rPr>
                <w:rFonts w:hint="eastAsia" w:ascii="宋体" w:hAnsi="宋体" w:eastAsia="宋体" w:cs="宋体"/>
                <w:color w:val="auto"/>
                <w:kern w:val="0"/>
                <w:sz w:val="24"/>
                <w:lang w:bidi="ar"/>
              </w:rPr>
              <w:t>11</w:t>
            </w:r>
            <w:r>
              <w:rPr>
                <w:rFonts w:ascii="宋体" w:hAnsi="宋体" w:eastAsia="宋体" w:cs="宋体"/>
                <w:color w:val="auto"/>
                <w:kern w:val="0"/>
                <w:sz w:val="24"/>
                <w:lang w:bidi="ar"/>
              </w:rPr>
              <w:t>、企业实力</w:t>
            </w:r>
            <w:r>
              <w:rPr>
                <w:rFonts w:hint="eastAsia" w:ascii="宋体" w:hAnsi="宋体" w:eastAsia="宋体" w:cs="宋体"/>
                <w:color w:val="auto"/>
                <w:kern w:val="0"/>
                <w:sz w:val="24"/>
                <w:lang w:bidi="ar"/>
              </w:rPr>
              <w:t>3</w:t>
            </w:r>
          </w:p>
        </w:tc>
        <w:tc>
          <w:tcPr>
            <w:tcW w:w="622" w:type="dxa"/>
            <w:shd w:val="clear" w:color="auto" w:fill="auto"/>
            <w:vAlign w:val="center"/>
          </w:tcPr>
          <w:p w14:paraId="7183A782">
            <w:pPr>
              <w:widowControl/>
              <w:jc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2</w:t>
            </w:r>
          </w:p>
        </w:tc>
        <w:tc>
          <w:tcPr>
            <w:tcW w:w="6804" w:type="dxa"/>
            <w:shd w:val="clear" w:color="auto" w:fill="auto"/>
            <w:vAlign w:val="center"/>
          </w:tcPr>
          <w:p w14:paraId="0AB01BF4">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投标人提供2019年度至本次投标截止时间止客户单位为给予的满意度情况，每提供一份满意度表的得1分，满分2分。需提供业主满意度表（满意度表须加盖业主单位公章）。须提供复印件。同一单位出具的满意度证明材料不重复得分。</w:t>
            </w:r>
          </w:p>
        </w:tc>
      </w:tr>
      <w:tr w14:paraId="311D50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17073695">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12</w:t>
            </w:r>
            <w:r>
              <w:rPr>
                <w:rFonts w:ascii="宋体" w:hAnsi="宋体" w:eastAsia="宋体" w:cs="宋体"/>
                <w:color w:val="auto"/>
                <w:kern w:val="0"/>
                <w:sz w:val="24"/>
                <w:lang w:bidi="ar"/>
              </w:rPr>
              <w:t>、企业实力</w:t>
            </w:r>
            <w:r>
              <w:rPr>
                <w:rFonts w:hint="eastAsia" w:ascii="宋体" w:hAnsi="宋体" w:eastAsia="宋体" w:cs="宋体"/>
                <w:color w:val="auto"/>
                <w:kern w:val="0"/>
                <w:sz w:val="24"/>
                <w:lang w:bidi="ar"/>
              </w:rPr>
              <w:t>4</w:t>
            </w:r>
          </w:p>
        </w:tc>
        <w:tc>
          <w:tcPr>
            <w:tcW w:w="622" w:type="dxa"/>
            <w:shd w:val="clear" w:color="auto" w:fill="auto"/>
            <w:vAlign w:val="center"/>
          </w:tcPr>
          <w:p w14:paraId="35D40E5A">
            <w:pPr>
              <w:widowControl/>
              <w:jc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1</w:t>
            </w:r>
          </w:p>
        </w:tc>
        <w:tc>
          <w:tcPr>
            <w:tcW w:w="6804" w:type="dxa"/>
            <w:shd w:val="clear" w:color="auto" w:fill="auto"/>
            <w:vAlign w:val="center"/>
          </w:tcPr>
          <w:p w14:paraId="7053F13C">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投标人具有有效的软件能力成熟度集成模型五级（CMMI5）资质证书的得</w:t>
            </w:r>
            <w:r>
              <w:rPr>
                <w:rFonts w:ascii="宋体" w:hAnsi="宋体" w:eastAsia="宋体" w:cs="宋体"/>
                <w:color w:val="auto"/>
                <w:kern w:val="0"/>
                <w:sz w:val="24"/>
                <w:lang w:bidi="ar"/>
              </w:rPr>
              <w:t>1</w:t>
            </w:r>
            <w:r>
              <w:rPr>
                <w:rFonts w:hint="eastAsia" w:ascii="宋体" w:hAnsi="宋体" w:eastAsia="宋体" w:cs="宋体"/>
                <w:color w:val="auto"/>
                <w:kern w:val="0"/>
                <w:sz w:val="24"/>
                <w:lang w:bidi="ar"/>
              </w:rPr>
              <w:t>分，否则不予得分。（投标人需提供证书复印件）</w:t>
            </w:r>
          </w:p>
        </w:tc>
      </w:tr>
      <w:tr w14:paraId="7F9EA7C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48095334">
            <w:pPr>
              <w:widowControl/>
              <w:jc w:val="left"/>
              <w:rPr>
                <w:color w:val="auto"/>
                <w:sz w:val="24"/>
              </w:rPr>
            </w:pPr>
            <w:r>
              <w:rPr>
                <w:rFonts w:hint="eastAsia" w:ascii="宋体" w:hAnsi="宋体" w:eastAsia="宋体" w:cs="宋体"/>
                <w:color w:val="auto"/>
                <w:kern w:val="0"/>
                <w:sz w:val="24"/>
                <w:lang w:bidi="ar"/>
              </w:rPr>
              <w:t>13</w:t>
            </w:r>
            <w:r>
              <w:rPr>
                <w:rFonts w:ascii="宋体" w:hAnsi="宋体" w:eastAsia="宋体" w:cs="宋体"/>
                <w:color w:val="auto"/>
                <w:kern w:val="0"/>
                <w:sz w:val="24"/>
                <w:lang w:bidi="ar"/>
              </w:rPr>
              <w:t>、业绩案例</w:t>
            </w:r>
          </w:p>
        </w:tc>
        <w:tc>
          <w:tcPr>
            <w:tcW w:w="622" w:type="dxa"/>
            <w:shd w:val="clear" w:color="auto" w:fill="auto"/>
            <w:vAlign w:val="center"/>
          </w:tcPr>
          <w:p w14:paraId="5AAF7A01">
            <w:pPr>
              <w:widowControl/>
              <w:jc w:val="center"/>
              <w:rPr>
                <w:color w:val="auto"/>
                <w:sz w:val="24"/>
              </w:rPr>
            </w:pPr>
            <w:r>
              <w:rPr>
                <w:rFonts w:ascii="宋体" w:hAnsi="宋体" w:eastAsia="宋体" w:cs="宋体"/>
                <w:color w:val="auto"/>
                <w:kern w:val="0"/>
                <w:sz w:val="24"/>
                <w:lang w:bidi="ar"/>
              </w:rPr>
              <w:t>3</w:t>
            </w:r>
          </w:p>
        </w:tc>
        <w:tc>
          <w:tcPr>
            <w:tcW w:w="6804" w:type="dxa"/>
            <w:shd w:val="clear" w:color="auto" w:fill="auto"/>
            <w:vAlign w:val="center"/>
          </w:tcPr>
          <w:p w14:paraId="6A230BD9">
            <w:pPr>
              <w:widowControl/>
              <w:jc w:val="left"/>
              <w:rPr>
                <w:color w:val="auto"/>
                <w:sz w:val="24"/>
              </w:rPr>
            </w:pPr>
            <w:r>
              <w:rPr>
                <w:rFonts w:ascii="宋体" w:hAnsi="宋体" w:eastAsia="宋体" w:cs="宋体"/>
                <w:color w:val="auto"/>
                <w:kern w:val="0"/>
                <w:sz w:val="24"/>
                <w:lang w:bidi="ar"/>
              </w:rPr>
              <w:t>投标人提供（</w:t>
            </w:r>
            <w:r>
              <w:rPr>
                <w:rFonts w:hint="eastAsia" w:ascii="宋体" w:hAnsi="宋体" w:eastAsia="宋体" w:cs="宋体"/>
                <w:color w:val="auto"/>
                <w:kern w:val="0"/>
                <w:sz w:val="24"/>
                <w:lang w:bidi="ar"/>
              </w:rPr>
              <w:t>2019</w:t>
            </w:r>
            <w:r>
              <w:rPr>
                <w:rFonts w:ascii="宋体" w:hAnsi="宋体" w:eastAsia="宋体" w:cs="宋体"/>
                <w:color w:val="auto"/>
                <w:kern w:val="0"/>
                <w:sz w:val="24"/>
                <w:lang w:bidi="ar"/>
              </w:rPr>
              <w:t>年</w:t>
            </w:r>
            <w:r>
              <w:rPr>
                <w:rFonts w:hint="eastAsia" w:ascii="宋体" w:hAnsi="宋体" w:eastAsia="宋体" w:cs="宋体"/>
                <w:color w:val="auto"/>
                <w:kern w:val="0"/>
                <w:sz w:val="24"/>
                <w:lang w:bidi="ar"/>
              </w:rPr>
              <w:t>1</w:t>
            </w:r>
            <w:r>
              <w:rPr>
                <w:rFonts w:ascii="宋体" w:hAnsi="宋体" w:eastAsia="宋体" w:cs="宋体"/>
                <w:color w:val="auto"/>
                <w:kern w:val="0"/>
                <w:sz w:val="24"/>
                <w:lang w:bidi="ar"/>
              </w:rPr>
              <w:t>月1日起至今，以合同落款时间为准）</w:t>
            </w:r>
            <w:r>
              <w:rPr>
                <w:rFonts w:hint="eastAsia" w:ascii="宋体" w:hAnsi="宋体" w:eastAsia="宋体" w:cs="宋体"/>
                <w:color w:val="auto"/>
                <w:kern w:val="0"/>
                <w:sz w:val="24"/>
                <w:lang w:bidi="ar"/>
              </w:rPr>
              <w:t>独立完成竣工的信息化</w:t>
            </w:r>
            <w:r>
              <w:rPr>
                <w:rFonts w:ascii="宋体" w:hAnsi="宋体" w:eastAsia="宋体" w:cs="宋体"/>
                <w:color w:val="auto"/>
                <w:kern w:val="0"/>
                <w:sz w:val="24"/>
                <w:lang w:bidi="ar"/>
              </w:rPr>
              <w:t>业绩案例。每提供一个业绩案例得1分</w:t>
            </w:r>
            <w:r>
              <w:rPr>
                <w:rFonts w:hint="eastAsia" w:ascii="宋体" w:hAnsi="宋体" w:eastAsia="宋体" w:cs="宋体"/>
                <w:color w:val="auto"/>
                <w:kern w:val="0"/>
                <w:sz w:val="24"/>
                <w:lang w:bidi="ar"/>
              </w:rPr>
              <w:t>，</w:t>
            </w:r>
            <w:r>
              <w:rPr>
                <w:rFonts w:ascii="宋体" w:hAnsi="宋体" w:eastAsia="宋体" w:cs="宋体"/>
                <w:color w:val="auto"/>
                <w:kern w:val="0"/>
                <w:sz w:val="24"/>
                <w:lang w:bidi="ar"/>
              </w:rPr>
              <w:t>满分3分。（投标人需提供项目相关证明材料复印件并加盖公章。证明材料包含但不限于：</w:t>
            </w:r>
            <w:r>
              <w:rPr>
                <w:rFonts w:hint="eastAsia" w:ascii="宋体" w:hAnsi="宋体" w:eastAsia="宋体" w:cs="宋体"/>
                <w:color w:val="auto"/>
                <w:kern w:val="0"/>
                <w:sz w:val="24"/>
                <w:lang w:bidi="ar"/>
              </w:rPr>
              <w:t>中标公告（提供相关网站中标公告的下载网页并注明网址）</w:t>
            </w:r>
            <w:r>
              <w:rPr>
                <w:rFonts w:ascii="宋体" w:hAnsi="宋体" w:eastAsia="宋体" w:cs="宋体"/>
                <w:color w:val="auto"/>
                <w:kern w:val="0"/>
                <w:sz w:val="24"/>
                <w:lang w:bidi="ar"/>
              </w:rPr>
              <w:t>、中标通知书、采购合同、验收证明及建设内容涵盖说明。提供证明材料不齐全的不得分</w:t>
            </w:r>
            <w:r>
              <w:rPr>
                <w:rFonts w:hint="eastAsia" w:ascii="宋体" w:hAnsi="宋体" w:eastAsia="宋体" w:cs="宋体"/>
                <w:color w:val="auto"/>
                <w:kern w:val="0"/>
                <w:sz w:val="24"/>
                <w:lang w:bidi="ar"/>
              </w:rPr>
              <w:t>。</w:t>
            </w:r>
            <w:r>
              <w:rPr>
                <w:rFonts w:ascii="宋体" w:hAnsi="宋体" w:eastAsia="宋体" w:cs="宋体"/>
                <w:color w:val="auto"/>
                <w:kern w:val="0"/>
                <w:sz w:val="24"/>
                <w:lang w:bidi="ar"/>
              </w:rPr>
              <w:t>）</w:t>
            </w:r>
          </w:p>
        </w:tc>
      </w:tr>
      <w:tr w14:paraId="6E2EF5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7991217B">
            <w:pPr>
              <w:widowControl/>
              <w:jc w:val="center"/>
              <w:rPr>
                <w:color w:val="auto"/>
                <w:sz w:val="24"/>
              </w:rPr>
            </w:pPr>
            <w:r>
              <w:rPr>
                <w:rFonts w:hint="eastAsia" w:ascii="宋体" w:hAnsi="宋体" w:eastAsia="宋体" w:cs="宋体"/>
                <w:color w:val="auto"/>
                <w:kern w:val="0"/>
                <w:sz w:val="24"/>
                <w:lang w:bidi="ar"/>
              </w:rPr>
              <w:t>14</w:t>
            </w:r>
            <w:r>
              <w:rPr>
                <w:rFonts w:ascii="宋体" w:hAnsi="宋体" w:eastAsia="宋体" w:cs="宋体"/>
                <w:color w:val="auto"/>
                <w:kern w:val="0"/>
                <w:sz w:val="24"/>
                <w:lang w:bidi="ar"/>
              </w:rPr>
              <w:t>、</w:t>
            </w:r>
            <w:r>
              <w:rPr>
                <w:rFonts w:hint="eastAsia" w:ascii="宋体" w:hAnsi="宋体" w:eastAsia="宋体" w:cs="宋体"/>
                <w:color w:val="auto"/>
                <w:kern w:val="0"/>
                <w:sz w:val="24"/>
                <w:lang w:bidi="ar"/>
              </w:rPr>
              <w:t>售后服务1</w:t>
            </w:r>
          </w:p>
        </w:tc>
        <w:tc>
          <w:tcPr>
            <w:tcW w:w="622" w:type="dxa"/>
            <w:shd w:val="clear" w:color="auto" w:fill="auto"/>
            <w:vAlign w:val="center"/>
          </w:tcPr>
          <w:p w14:paraId="11E997A1">
            <w:pPr>
              <w:widowControl/>
              <w:jc w:val="center"/>
              <w:rPr>
                <w:color w:val="auto"/>
                <w:sz w:val="24"/>
              </w:rPr>
            </w:pPr>
            <w:r>
              <w:rPr>
                <w:rFonts w:ascii="宋体" w:hAnsi="宋体" w:eastAsia="宋体" w:cs="宋体"/>
                <w:color w:val="auto"/>
                <w:kern w:val="0"/>
                <w:sz w:val="24"/>
                <w:lang w:bidi="ar"/>
              </w:rPr>
              <w:t>3</w:t>
            </w:r>
          </w:p>
        </w:tc>
        <w:tc>
          <w:tcPr>
            <w:tcW w:w="6804" w:type="dxa"/>
            <w:shd w:val="clear" w:color="auto" w:fill="auto"/>
            <w:vAlign w:val="center"/>
          </w:tcPr>
          <w:p w14:paraId="374CF30A">
            <w:pPr>
              <w:widowControl/>
              <w:jc w:val="left"/>
              <w:rPr>
                <w:color w:val="auto"/>
                <w:sz w:val="24"/>
              </w:rPr>
            </w:pPr>
            <w:r>
              <w:rPr>
                <w:rFonts w:hint="eastAsia" w:ascii="宋体" w:hAnsi="宋体" w:eastAsia="宋体" w:cs="宋体"/>
                <w:color w:val="auto"/>
                <w:kern w:val="0"/>
                <w:sz w:val="24"/>
                <w:lang w:bidi="ar"/>
              </w:rPr>
              <w:t>根据各投标人的售后服务方案、维修响应计划情况（至少包括具体的售后内容、响应方式等方面）由评委进行评议：方案完整且最大限度满足采购需求的得3分；方案较完整且基本满足采购需求的得2分；方案一般但基本满足采购需求的得1分；其余不得分。</w:t>
            </w:r>
          </w:p>
        </w:tc>
      </w:tr>
      <w:tr w14:paraId="62637E7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77E2C6D0">
            <w:pPr>
              <w:widowControl/>
              <w:jc w:val="center"/>
              <w:rPr>
                <w:color w:val="auto"/>
                <w:sz w:val="24"/>
              </w:rPr>
            </w:pPr>
            <w:r>
              <w:rPr>
                <w:rFonts w:hint="eastAsia" w:ascii="宋体" w:hAnsi="宋体" w:eastAsia="宋体" w:cs="宋体"/>
                <w:color w:val="auto"/>
                <w:kern w:val="0"/>
                <w:sz w:val="24"/>
                <w:lang w:bidi="ar"/>
              </w:rPr>
              <w:t>15</w:t>
            </w:r>
            <w:r>
              <w:rPr>
                <w:rFonts w:ascii="宋体" w:hAnsi="宋体" w:eastAsia="宋体" w:cs="宋体"/>
                <w:color w:val="auto"/>
                <w:kern w:val="0"/>
                <w:sz w:val="24"/>
                <w:lang w:bidi="ar"/>
              </w:rPr>
              <w:t>、</w:t>
            </w:r>
            <w:r>
              <w:rPr>
                <w:rFonts w:hint="eastAsia" w:ascii="宋体" w:hAnsi="宋体" w:eastAsia="宋体" w:cs="宋体"/>
                <w:color w:val="auto"/>
                <w:kern w:val="0"/>
                <w:sz w:val="24"/>
                <w:lang w:bidi="ar"/>
              </w:rPr>
              <w:t>售后服务2</w:t>
            </w:r>
          </w:p>
        </w:tc>
        <w:tc>
          <w:tcPr>
            <w:tcW w:w="622" w:type="dxa"/>
            <w:shd w:val="clear" w:color="auto" w:fill="auto"/>
            <w:vAlign w:val="center"/>
          </w:tcPr>
          <w:p w14:paraId="1A1BACB3">
            <w:pPr>
              <w:widowControl/>
              <w:jc w:val="center"/>
              <w:rPr>
                <w:color w:val="auto"/>
                <w:sz w:val="24"/>
              </w:rPr>
            </w:pPr>
            <w:r>
              <w:rPr>
                <w:rFonts w:hint="eastAsia" w:ascii="宋体" w:hAnsi="宋体" w:eastAsia="宋体" w:cs="宋体"/>
                <w:color w:val="auto"/>
                <w:kern w:val="0"/>
                <w:sz w:val="24"/>
                <w:lang w:bidi="ar"/>
              </w:rPr>
              <w:t>3</w:t>
            </w:r>
          </w:p>
        </w:tc>
        <w:tc>
          <w:tcPr>
            <w:tcW w:w="6804" w:type="dxa"/>
            <w:shd w:val="clear" w:color="auto" w:fill="auto"/>
            <w:vAlign w:val="center"/>
          </w:tcPr>
          <w:p w14:paraId="6F34C9F5">
            <w:pPr>
              <w:widowControl/>
              <w:jc w:val="left"/>
              <w:rPr>
                <w:color w:val="auto"/>
                <w:sz w:val="24"/>
              </w:rPr>
            </w:pPr>
            <w:r>
              <w:rPr>
                <w:rFonts w:hint="eastAsia" w:ascii="宋体" w:hAnsi="宋体" w:eastAsia="宋体" w:cs="宋体"/>
                <w:color w:val="auto"/>
                <w:kern w:val="0"/>
                <w:sz w:val="24"/>
                <w:lang w:bidi="ar"/>
              </w:rPr>
              <w:t>投标人承诺自接到招标人服务通知时，故障处理响应时间承诺为：响应时间≤4小时，得3分；4小时＜响应时间=5小时，得1.5分；承诺自接到招标人服务通知响应时间超过5小时，本项得0分。提供相应内容承诺函，未提供承诺函者不得分。</w:t>
            </w:r>
          </w:p>
        </w:tc>
      </w:tr>
    </w:tbl>
    <w:p w14:paraId="25DE73F9">
      <w:pPr>
        <w:pStyle w:val="27"/>
        <w:widowControl/>
        <w:ind w:firstLine="480"/>
        <w:rPr>
          <w:color w:val="auto"/>
        </w:rPr>
      </w:pPr>
      <w:r>
        <w:rPr>
          <w:rFonts w:hint="eastAsia" w:ascii="宋体" w:hAnsi="宋体" w:eastAsia="宋体" w:cs="宋体"/>
          <w:color w:val="auto"/>
        </w:rPr>
        <w:t>④加分项（</w:t>
      </w:r>
      <w:r>
        <w:rPr>
          <w:rFonts w:ascii="Calibri" w:hAnsi="Calibri" w:eastAsia="宋体" w:cs="Calibri"/>
          <w:color w:val="auto"/>
        </w:rPr>
        <w:t>F4</w:t>
      </w:r>
      <w:r>
        <w:rPr>
          <w:rFonts w:hint="eastAsia" w:ascii="宋体" w:hAnsi="宋体" w:eastAsia="宋体" w:cs="宋体"/>
          <w:color w:val="auto"/>
        </w:rPr>
        <w:t>×</w:t>
      </w:r>
      <w:r>
        <w:rPr>
          <w:rFonts w:ascii="Calibri" w:hAnsi="Calibri" w:eastAsia="宋体" w:cs="Calibri"/>
          <w:color w:val="auto"/>
        </w:rPr>
        <w:t>A4</w:t>
      </w:r>
      <w:r>
        <w:rPr>
          <w:rFonts w:hint="eastAsia" w:ascii="宋体" w:hAnsi="宋体" w:eastAsia="宋体" w:cs="宋体"/>
          <w:color w:val="auto"/>
        </w:rPr>
        <w:t>）</w:t>
      </w:r>
    </w:p>
    <w:p w14:paraId="67D54A27">
      <w:pPr>
        <w:pStyle w:val="27"/>
        <w:widowControl/>
        <w:ind w:firstLine="480"/>
        <w:rPr>
          <w:color w:val="auto"/>
        </w:rPr>
      </w:pPr>
      <w:r>
        <w:rPr>
          <w:rFonts w:hint="eastAsia" w:ascii="宋体" w:hAnsi="宋体" w:eastAsia="宋体" w:cs="宋体"/>
          <w:color w:val="auto"/>
        </w:rPr>
        <w:t>a.优先类节能产品、环境标志产品：</w:t>
      </w:r>
    </w:p>
    <w:p w14:paraId="5EAEBF2E">
      <w:pPr>
        <w:pStyle w:val="27"/>
        <w:widowControl/>
        <w:ind w:firstLine="480"/>
        <w:rPr>
          <w:color w:val="auto"/>
        </w:rPr>
      </w:pPr>
      <w:r>
        <w:rPr>
          <w:rFonts w:hint="eastAsia" w:ascii="宋体" w:hAnsi="宋体" w:eastAsia="宋体" w:cs="宋体"/>
          <w:color w:val="auto"/>
        </w:rPr>
        <w:t>a1若同一合同包内节能、环境标志产品报价总金额低于该合同包报价总金额</w:t>
      </w:r>
      <w:r>
        <w:rPr>
          <w:rFonts w:ascii="Calibri" w:hAnsi="Calibri" w:eastAsia="宋体" w:cs="Calibri"/>
          <w:color w:val="auto"/>
        </w:rPr>
        <w:t>20%</w:t>
      </w:r>
      <w:r>
        <w:rPr>
          <w:rFonts w:hint="eastAsia" w:ascii="宋体" w:hAnsi="宋体" w:eastAsia="宋体" w:cs="宋体"/>
          <w:color w:val="auto"/>
        </w:rPr>
        <w:t>（含</w:t>
      </w:r>
      <w:r>
        <w:rPr>
          <w:rFonts w:ascii="Calibri" w:hAnsi="Calibri" w:eastAsia="宋体" w:cs="Calibri"/>
          <w:color w:val="auto"/>
        </w:rPr>
        <w:t>20%</w:t>
      </w:r>
      <w:r>
        <w:rPr>
          <w:rFonts w:hint="eastAsia" w:ascii="宋体" w:hAnsi="宋体" w:eastAsia="宋体" w:cs="宋体"/>
          <w:color w:val="auto"/>
        </w:rPr>
        <w:t>）以下，将分别给予节能、环境标志产品价格项（</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，按照满分计）和技术项（</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，按照满分计）</w:t>
      </w:r>
      <w:r>
        <w:rPr>
          <w:rFonts w:ascii="Calibri" w:hAnsi="Calibri" w:eastAsia="宋体" w:cs="Calibri"/>
          <w:color w:val="auto"/>
        </w:rPr>
        <w:t>4%</w:t>
      </w:r>
      <w:r>
        <w:rPr>
          <w:rFonts w:hint="eastAsia" w:ascii="宋体" w:hAnsi="宋体" w:eastAsia="宋体" w:cs="宋体"/>
          <w:color w:val="auto"/>
        </w:rPr>
        <w:t>的加分；若同一合同包内节能、环境标志产品报价总金额占该合同包报价总金额</w:t>
      </w:r>
      <w:r>
        <w:rPr>
          <w:rFonts w:ascii="Calibri" w:hAnsi="Calibri" w:eastAsia="宋体" w:cs="Calibri"/>
          <w:color w:val="auto"/>
        </w:rPr>
        <w:t>20%-50%</w:t>
      </w:r>
      <w:r>
        <w:rPr>
          <w:rFonts w:hint="eastAsia" w:ascii="宋体" w:hAnsi="宋体" w:eastAsia="宋体" w:cs="宋体"/>
          <w:color w:val="auto"/>
        </w:rPr>
        <w:t>（含</w:t>
      </w:r>
      <w:r>
        <w:rPr>
          <w:rFonts w:ascii="Calibri" w:hAnsi="Calibri" w:eastAsia="宋体" w:cs="Calibri"/>
          <w:color w:val="auto"/>
        </w:rPr>
        <w:t>50%</w:t>
      </w:r>
      <w:r>
        <w:rPr>
          <w:rFonts w:hint="eastAsia" w:ascii="宋体" w:hAnsi="宋体" w:eastAsia="宋体" w:cs="宋体"/>
          <w:color w:val="auto"/>
        </w:rPr>
        <w:t>），将分别给予节能、环境标志产品价格项（</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，按照满分计）和技术项（</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，按照满分计）</w:t>
      </w:r>
      <w:r>
        <w:rPr>
          <w:rFonts w:ascii="Calibri" w:hAnsi="Calibri" w:eastAsia="宋体" w:cs="Calibri"/>
          <w:color w:val="auto"/>
        </w:rPr>
        <w:t>6%</w:t>
      </w:r>
      <w:r>
        <w:rPr>
          <w:rFonts w:hint="eastAsia" w:ascii="宋体" w:hAnsi="宋体" w:eastAsia="宋体" w:cs="宋体"/>
          <w:color w:val="auto"/>
        </w:rPr>
        <w:t>的加分；若同一合同包内节能、环境标志产品报价总金额占该合同包报价总金额</w:t>
      </w:r>
      <w:r>
        <w:rPr>
          <w:rFonts w:ascii="Calibri" w:hAnsi="Calibri" w:eastAsia="宋体" w:cs="Calibri"/>
          <w:color w:val="auto"/>
        </w:rPr>
        <w:t>50%</w:t>
      </w:r>
      <w:r>
        <w:rPr>
          <w:rFonts w:hint="eastAsia" w:ascii="宋体" w:hAnsi="宋体" w:eastAsia="宋体" w:cs="宋体"/>
          <w:color w:val="auto"/>
        </w:rPr>
        <w:t>以上的，将分别给予节能、环境标志产品价格项（</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，按照满分计）和技术项（</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，按照满分计）</w:t>
      </w:r>
      <w:r>
        <w:rPr>
          <w:rFonts w:ascii="Calibri" w:hAnsi="Calibri" w:eastAsia="宋体" w:cs="Calibri"/>
          <w:color w:val="auto"/>
        </w:rPr>
        <w:t>8%</w:t>
      </w:r>
      <w:r>
        <w:rPr>
          <w:rFonts w:hint="eastAsia" w:ascii="宋体" w:hAnsi="宋体" w:eastAsia="宋体" w:cs="宋体"/>
          <w:color w:val="auto"/>
        </w:rPr>
        <w:t>的加分。</w:t>
      </w:r>
    </w:p>
    <w:p w14:paraId="7E341C16">
      <w:pPr>
        <w:pStyle w:val="27"/>
        <w:widowControl/>
        <w:ind w:firstLine="480"/>
        <w:rPr>
          <w:color w:val="auto"/>
        </w:rPr>
      </w:pPr>
      <w:r>
        <w:rPr>
          <w:rFonts w:hint="eastAsia" w:ascii="宋体" w:hAnsi="宋体" w:eastAsia="宋体" w:cs="宋体"/>
          <w:color w:val="auto"/>
        </w:rPr>
        <w:t>a2若节能、环境标志产品仅是构成投标产品的部件、组件或零件，则该投标产品不享受鼓励优惠政策。同一品目中各认证证书不重复计算加分。强制类节能产品不享受加分。</w:t>
      </w:r>
      <w:r>
        <w:rPr>
          <w:color w:val="auto"/>
        </w:rPr>
        <w:t xml:space="preserve"> </w:t>
      </w:r>
    </w:p>
    <w:p w14:paraId="6B1EACB6">
      <w:pPr>
        <w:pStyle w:val="27"/>
        <w:widowControl/>
        <w:ind w:firstLine="480"/>
        <w:rPr>
          <w:color w:val="auto"/>
        </w:rPr>
      </w:pPr>
      <w:r>
        <w:rPr>
          <w:rStyle w:val="32"/>
          <w:color w:val="auto"/>
        </w:rPr>
        <w:t>         无</w:t>
      </w:r>
    </w:p>
    <w:p w14:paraId="0BD21FCF">
      <w:pPr>
        <w:pStyle w:val="27"/>
        <w:widowControl/>
        <w:ind w:firstLine="480"/>
        <w:rPr>
          <w:color w:val="auto"/>
        </w:rPr>
      </w:pPr>
      <w:r>
        <w:rPr>
          <w:rFonts w:hint="eastAsia" w:ascii="宋体" w:hAnsi="宋体" w:eastAsia="宋体" w:cs="宋体"/>
          <w:color w:val="auto"/>
        </w:rPr>
        <w:t>（4）中标候选人排列规则顺序如下：</w:t>
      </w:r>
      <w:r>
        <w:rPr>
          <w:color w:val="auto"/>
        </w:rPr>
        <w:t xml:space="preserve"> </w:t>
      </w:r>
    </w:p>
    <w:p w14:paraId="50E4D7FD">
      <w:pPr>
        <w:pStyle w:val="27"/>
        <w:widowControl/>
        <w:ind w:firstLine="480"/>
        <w:rPr>
          <w:color w:val="auto"/>
        </w:rPr>
      </w:pPr>
      <w:r>
        <w:rPr>
          <w:rFonts w:hint="eastAsia" w:ascii="宋体" w:hAnsi="宋体" w:eastAsia="宋体" w:cs="宋体"/>
          <w:color w:val="auto"/>
        </w:rPr>
        <w:t>a.按照评标总得分（</w:t>
      </w:r>
      <w:r>
        <w:rPr>
          <w:rFonts w:ascii="Calibri" w:hAnsi="Calibri" w:eastAsia="宋体" w:cs="Calibri"/>
          <w:color w:val="auto"/>
        </w:rPr>
        <w:t>FA</w:t>
      </w:r>
      <w:r>
        <w:rPr>
          <w:rFonts w:hint="eastAsia" w:ascii="宋体" w:hAnsi="宋体" w:eastAsia="宋体" w:cs="宋体"/>
          <w:color w:val="auto"/>
        </w:rPr>
        <w:t>）由高到低顺序排列。</w:t>
      </w:r>
    </w:p>
    <w:p w14:paraId="7A48AF02">
      <w:pPr>
        <w:pStyle w:val="27"/>
        <w:widowControl/>
        <w:ind w:firstLine="480"/>
        <w:rPr>
          <w:color w:val="auto"/>
        </w:rPr>
      </w:pPr>
      <w:r>
        <w:rPr>
          <w:rFonts w:hint="eastAsia" w:ascii="宋体" w:hAnsi="宋体" w:eastAsia="宋体" w:cs="宋体"/>
          <w:color w:val="auto"/>
        </w:rPr>
        <w:t>b.评标总得分（</w:t>
      </w:r>
      <w:r>
        <w:rPr>
          <w:rFonts w:ascii="Calibri" w:hAnsi="Calibri" w:eastAsia="宋体" w:cs="Calibri"/>
          <w:color w:val="auto"/>
        </w:rPr>
        <w:t>FA</w:t>
      </w:r>
      <w:r>
        <w:rPr>
          <w:rFonts w:hint="eastAsia" w:ascii="宋体" w:hAnsi="宋体" w:eastAsia="宋体" w:cs="宋体"/>
          <w:color w:val="auto"/>
        </w:rPr>
        <w:t>）相同的，按照评标价（即价格扣除后的投标报价）由低到高顺序排列。</w:t>
      </w:r>
      <w:r>
        <w:rPr>
          <w:color w:val="auto"/>
        </w:rPr>
        <w:t xml:space="preserve"> </w:t>
      </w:r>
    </w:p>
    <w:p w14:paraId="4F41574E">
      <w:pPr>
        <w:pStyle w:val="27"/>
        <w:widowControl/>
        <w:ind w:firstLine="480"/>
        <w:rPr>
          <w:color w:val="auto"/>
        </w:rPr>
      </w:pPr>
      <w:r>
        <w:rPr>
          <w:rFonts w:hint="eastAsia" w:ascii="宋体" w:hAnsi="宋体" w:eastAsia="宋体" w:cs="宋体"/>
          <w:color w:val="auto"/>
        </w:rPr>
        <w:t>c.评标总得分（</w:t>
      </w:r>
      <w:r>
        <w:rPr>
          <w:rFonts w:ascii="Calibri" w:hAnsi="Calibri" w:eastAsia="宋体" w:cs="Calibri"/>
          <w:color w:val="auto"/>
        </w:rPr>
        <w:t>FA</w:t>
      </w:r>
      <w:r>
        <w:rPr>
          <w:rFonts w:hint="eastAsia" w:ascii="宋体" w:hAnsi="宋体" w:eastAsia="宋体" w:cs="宋体"/>
          <w:color w:val="auto"/>
        </w:rPr>
        <w:t>）且评标价（即价格扣除后的投标报价）相同的并列。</w:t>
      </w:r>
      <w:r>
        <w:rPr>
          <w:color w:val="auto"/>
        </w:rPr>
        <w:t xml:space="preserve"> </w:t>
      </w:r>
    </w:p>
    <w:p w14:paraId="447AED68">
      <w:pPr>
        <w:pStyle w:val="27"/>
        <w:widowControl/>
        <w:spacing w:before="75" w:beforeAutospacing="0" w:after="75" w:afterAutospacing="0"/>
        <w:rPr>
          <w:rFonts w:ascii="宋体" w:hAnsi="宋体" w:eastAsia="宋体" w:cs="宋体"/>
          <w:color w:val="auto"/>
        </w:rPr>
      </w:pPr>
    </w:p>
    <w:p w14:paraId="09BFB63C">
      <w:pPr>
        <w:pStyle w:val="27"/>
        <w:widowControl/>
        <w:spacing w:before="75" w:beforeAutospacing="0" w:after="75" w:afterAutospacing="0"/>
        <w:outlineLvl w:val="1"/>
        <w:rPr>
          <w:rFonts w:ascii="微软雅黑" w:hAnsi="微软雅黑" w:eastAsia="微软雅黑" w:cs="微软雅黑"/>
          <w:color w:val="auto"/>
          <w:sz w:val="19"/>
          <w:szCs w:val="19"/>
        </w:rPr>
      </w:pPr>
      <w:r>
        <w:rPr>
          <w:rFonts w:hint="eastAsia" w:ascii="宋体" w:hAnsi="宋体" w:eastAsia="宋体" w:cs="宋体"/>
          <w:color w:val="auto"/>
        </w:rPr>
        <w:t> </w:t>
      </w:r>
      <w:r>
        <w:rPr>
          <w:rStyle w:val="32"/>
          <w:rFonts w:hint="eastAsia" w:ascii="宋体" w:hAnsi="宋体" w:eastAsia="宋体" w:cs="宋体"/>
          <w:color w:val="auto"/>
          <w:shd w:val="clear" w:color="auto" w:fill="FFFFFF"/>
        </w:rPr>
        <w:t>合同包2采用综合评分法</w:t>
      </w:r>
      <w:r>
        <w:rPr>
          <w:rFonts w:hint="eastAsia" w:ascii="宋体" w:hAnsi="宋体" w:eastAsia="宋体" w:cs="宋体"/>
          <w:color w:val="auto"/>
          <w:shd w:val="clear" w:color="auto" w:fill="FFFFFF"/>
        </w:rPr>
        <w:t>：</w:t>
      </w:r>
    </w:p>
    <w:p w14:paraId="75E9FAF5">
      <w:pPr>
        <w:pStyle w:val="27"/>
        <w:widowControl/>
        <w:ind w:firstLine="480"/>
        <w:rPr>
          <w:color w:val="auto"/>
        </w:rPr>
      </w:pPr>
      <w:r>
        <w:rPr>
          <w:rFonts w:ascii="宋体" w:hAnsi="宋体" w:eastAsia="宋体" w:cs="宋体"/>
          <w:color w:val="auto"/>
        </w:rPr>
        <w:t>（</w:t>
      </w:r>
      <w:r>
        <w:rPr>
          <w:rFonts w:hint="eastAsia" w:ascii="宋体" w:hAnsi="宋体" w:eastAsia="宋体" w:cs="宋体"/>
          <w:color w:val="auto"/>
        </w:rPr>
        <w:t>1）投标文件满足招标文件全部实质性要求，且按照评审因素的量化指标评审得分（即评标总得分）最高的投标人为中标候选人。</w:t>
      </w:r>
      <w:r>
        <w:rPr>
          <w:color w:val="auto"/>
        </w:rPr>
        <w:t xml:space="preserve"> </w:t>
      </w:r>
    </w:p>
    <w:p w14:paraId="17BD8BE7">
      <w:pPr>
        <w:pStyle w:val="27"/>
        <w:widowControl/>
        <w:ind w:firstLine="480"/>
        <w:rPr>
          <w:color w:val="auto"/>
        </w:rPr>
      </w:pPr>
      <w:r>
        <w:rPr>
          <w:rFonts w:hint="eastAsia" w:ascii="宋体" w:hAnsi="宋体" w:eastAsia="宋体" w:cs="宋体"/>
          <w:color w:val="auto"/>
        </w:rPr>
        <w:t>（2）每个投标人的评标总得分</w:t>
      </w:r>
      <w:r>
        <w:rPr>
          <w:rFonts w:ascii="Calibri" w:hAnsi="Calibri" w:eastAsia="宋体" w:cs="Calibri"/>
          <w:color w:val="auto"/>
        </w:rPr>
        <w:t>FA</w:t>
      </w:r>
      <w:r>
        <w:rPr>
          <w:rFonts w:hint="eastAsia" w:ascii="宋体" w:hAnsi="宋体" w:eastAsia="宋体" w:cs="宋体"/>
          <w:color w:val="auto"/>
        </w:rPr>
        <w:t>＝</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w:t>
      </w:r>
      <w:r>
        <w:rPr>
          <w:rFonts w:ascii="Calibri" w:hAnsi="Calibri" w:eastAsia="宋体" w:cs="Calibri"/>
          <w:color w:val="auto"/>
        </w:rPr>
        <w:t>F3</w:t>
      </w:r>
      <w:r>
        <w:rPr>
          <w:rFonts w:hint="eastAsia" w:ascii="宋体" w:hAnsi="宋体" w:eastAsia="宋体" w:cs="宋体"/>
          <w:color w:val="auto"/>
        </w:rPr>
        <w:t>×</w:t>
      </w:r>
      <w:r>
        <w:rPr>
          <w:rFonts w:ascii="Calibri" w:hAnsi="Calibri" w:eastAsia="宋体" w:cs="Calibri"/>
          <w:color w:val="auto"/>
        </w:rPr>
        <w:t>A3</w:t>
      </w:r>
      <w:r>
        <w:rPr>
          <w:rFonts w:hint="eastAsia" w:ascii="宋体" w:hAnsi="宋体" w:eastAsia="宋体" w:cs="宋体"/>
          <w:color w:val="auto"/>
        </w:rPr>
        <w:t>＋</w:t>
      </w:r>
      <w:r>
        <w:rPr>
          <w:rFonts w:ascii="Calibri" w:hAnsi="Calibri" w:eastAsia="宋体" w:cs="Calibri"/>
          <w:color w:val="auto"/>
        </w:rPr>
        <w:t>F4</w:t>
      </w:r>
      <w:r>
        <w:rPr>
          <w:rFonts w:hint="eastAsia" w:ascii="宋体" w:hAnsi="宋体" w:eastAsia="宋体" w:cs="宋体"/>
          <w:color w:val="auto"/>
        </w:rPr>
        <w:t>×</w:t>
      </w:r>
      <w:r>
        <w:rPr>
          <w:rFonts w:ascii="Calibri" w:hAnsi="Calibri" w:eastAsia="宋体" w:cs="Calibri"/>
          <w:color w:val="auto"/>
        </w:rPr>
        <w:t>A4</w:t>
      </w:r>
      <w:r>
        <w:rPr>
          <w:rFonts w:hint="eastAsia" w:ascii="宋体" w:hAnsi="宋体" w:eastAsia="宋体" w:cs="宋体"/>
          <w:color w:val="auto"/>
        </w:rPr>
        <w:t>（若有），其中：</w:t>
      </w:r>
      <w:r>
        <w:rPr>
          <w:rFonts w:ascii="Calibri" w:hAnsi="Calibri" w:eastAsia="宋体" w:cs="Calibri"/>
          <w:color w:val="auto"/>
        </w:rPr>
        <w:t>F1</w:t>
      </w:r>
      <w:r>
        <w:rPr>
          <w:rFonts w:hint="eastAsia" w:ascii="宋体" w:hAnsi="宋体" w:eastAsia="宋体" w:cs="宋体"/>
          <w:color w:val="auto"/>
        </w:rPr>
        <w:t>指价格项评审因素得分、</w:t>
      </w:r>
      <w:r>
        <w:rPr>
          <w:rFonts w:ascii="Calibri" w:hAnsi="Calibri" w:eastAsia="宋体" w:cs="Calibri"/>
          <w:color w:val="auto"/>
        </w:rPr>
        <w:t>F2</w:t>
      </w:r>
      <w:r>
        <w:rPr>
          <w:rFonts w:hint="eastAsia" w:ascii="宋体" w:hAnsi="宋体" w:eastAsia="宋体" w:cs="宋体"/>
          <w:color w:val="auto"/>
        </w:rPr>
        <w:t>指技术项评审因素得分、</w:t>
      </w:r>
      <w:r>
        <w:rPr>
          <w:rFonts w:ascii="Calibri" w:hAnsi="Calibri" w:eastAsia="宋体" w:cs="Calibri"/>
          <w:color w:val="auto"/>
        </w:rPr>
        <w:t>F3</w:t>
      </w:r>
      <w:r>
        <w:rPr>
          <w:rFonts w:hint="eastAsia" w:ascii="宋体" w:hAnsi="宋体" w:eastAsia="宋体" w:cs="宋体"/>
          <w:color w:val="auto"/>
        </w:rPr>
        <w:t>指商务项评审因素得分，</w:t>
      </w:r>
      <w:r>
        <w:rPr>
          <w:rFonts w:ascii="Calibri" w:hAnsi="Calibri" w:eastAsia="宋体" w:cs="Calibri"/>
          <w:color w:val="auto"/>
        </w:rPr>
        <w:t>A1</w:t>
      </w:r>
      <w:r>
        <w:rPr>
          <w:rFonts w:hint="eastAsia" w:ascii="宋体" w:hAnsi="宋体" w:eastAsia="宋体" w:cs="宋体"/>
          <w:color w:val="auto"/>
        </w:rPr>
        <w:t>指价格项评审因素所占的权重、</w:t>
      </w:r>
      <w:r>
        <w:rPr>
          <w:rFonts w:ascii="Calibri" w:hAnsi="Calibri" w:eastAsia="宋体" w:cs="Calibri"/>
          <w:color w:val="auto"/>
        </w:rPr>
        <w:t>A2</w:t>
      </w:r>
      <w:r>
        <w:rPr>
          <w:rFonts w:hint="eastAsia" w:ascii="宋体" w:hAnsi="宋体" w:eastAsia="宋体" w:cs="宋体"/>
          <w:color w:val="auto"/>
        </w:rPr>
        <w:t>指技术项评审因素所占的权重、</w:t>
      </w:r>
      <w:r>
        <w:rPr>
          <w:rFonts w:ascii="Calibri" w:hAnsi="Calibri" w:eastAsia="宋体" w:cs="Calibri"/>
          <w:color w:val="auto"/>
        </w:rPr>
        <w:t>A3</w:t>
      </w:r>
      <w:r>
        <w:rPr>
          <w:rFonts w:hint="eastAsia" w:ascii="宋体" w:hAnsi="宋体" w:eastAsia="宋体" w:cs="宋体"/>
          <w:color w:val="auto"/>
        </w:rPr>
        <w:t>指商务项评审因素所占的权重，</w:t>
      </w:r>
      <w:r>
        <w:rPr>
          <w:rFonts w:ascii="Calibri" w:hAnsi="Calibri" w:eastAsia="宋体" w:cs="Calibri"/>
          <w:color w:val="auto"/>
        </w:rPr>
        <w:t>A1+A2+A3=1</w:t>
      </w:r>
      <w:r>
        <w:rPr>
          <w:rFonts w:hint="eastAsia" w:ascii="宋体" w:hAnsi="宋体" w:eastAsia="宋体" w:cs="宋体"/>
          <w:color w:val="auto"/>
        </w:rPr>
        <w:t>、</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w:t>
      </w:r>
      <w:r>
        <w:rPr>
          <w:rFonts w:ascii="Calibri" w:hAnsi="Calibri" w:eastAsia="宋体" w:cs="Calibri"/>
          <w:color w:val="auto"/>
        </w:rPr>
        <w:t>F3</w:t>
      </w:r>
      <w:r>
        <w:rPr>
          <w:rFonts w:hint="eastAsia" w:ascii="宋体" w:hAnsi="宋体" w:eastAsia="宋体" w:cs="宋体"/>
          <w:color w:val="auto"/>
        </w:rPr>
        <w:t>×</w:t>
      </w:r>
      <w:r>
        <w:rPr>
          <w:rFonts w:ascii="Calibri" w:hAnsi="Calibri" w:eastAsia="宋体" w:cs="Calibri"/>
          <w:color w:val="auto"/>
        </w:rPr>
        <w:t>A3=100</w:t>
      </w:r>
      <w:r>
        <w:rPr>
          <w:rFonts w:hint="eastAsia" w:ascii="宋体" w:hAnsi="宋体" w:eastAsia="宋体" w:cs="宋体"/>
          <w:color w:val="auto"/>
        </w:rPr>
        <w:t>分（满分时），</w:t>
      </w:r>
      <w:r>
        <w:rPr>
          <w:rFonts w:ascii="Calibri" w:hAnsi="Calibri" w:eastAsia="宋体" w:cs="Calibri"/>
          <w:color w:val="auto"/>
        </w:rPr>
        <w:t>F4</w:t>
      </w:r>
      <w:r>
        <w:rPr>
          <w:rFonts w:hint="eastAsia" w:ascii="宋体" w:hAnsi="宋体" w:eastAsia="宋体" w:cs="宋体"/>
          <w:color w:val="auto"/>
        </w:rPr>
        <w:t>×</w:t>
      </w:r>
      <w:r>
        <w:rPr>
          <w:rFonts w:ascii="Calibri" w:hAnsi="Calibri" w:eastAsia="宋体" w:cs="Calibri"/>
          <w:color w:val="auto"/>
        </w:rPr>
        <w:t>A4</w:t>
      </w:r>
      <w:r>
        <w:rPr>
          <w:rFonts w:hint="eastAsia" w:ascii="宋体" w:hAnsi="宋体" w:eastAsia="宋体" w:cs="宋体"/>
          <w:color w:val="auto"/>
        </w:rPr>
        <w:t>为加分项（即优先类节能产品、环境标志产品在采购活动中可享有的加分优惠）。</w:t>
      </w:r>
      <w:r>
        <w:rPr>
          <w:color w:val="auto"/>
        </w:rPr>
        <w:t xml:space="preserve"> </w:t>
      </w:r>
    </w:p>
    <w:p w14:paraId="1EF520C7">
      <w:pPr>
        <w:pStyle w:val="27"/>
        <w:widowControl/>
        <w:ind w:firstLine="480"/>
        <w:rPr>
          <w:color w:val="auto"/>
        </w:rPr>
      </w:pPr>
      <w:r>
        <w:rPr>
          <w:rFonts w:hint="eastAsia" w:ascii="宋体" w:hAnsi="宋体" w:eastAsia="宋体" w:cs="宋体"/>
          <w:color w:val="auto"/>
        </w:rPr>
        <w:t>（3）各项评审因素的设置如下：</w:t>
      </w:r>
      <w:r>
        <w:rPr>
          <w:color w:val="auto"/>
        </w:rPr>
        <w:t xml:space="preserve"> </w:t>
      </w:r>
    </w:p>
    <w:p w14:paraId="304C7A7A">
      <w:pPr>
        <w:pStyle w:val="27"/>
        <w:widowControl/>
        <w:ind w:firstLine="480"/>
        <w:rPr>
          <w:color w:val="auto"/>
        </w:rPr>
      </w:pPr>
      <w:r>
        <w:rPr>
          <w:rFonts w:hint="eastAsia" w:ascii="宋体" w:hAnsi="宋体" w:eastAsia="宋体" w:cs="宋体"/>
          <w:color w:val="auto"/>
        </w:rPr>
        <w:t>①价格项（</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）满分为</w:t>
      </w:r>
      <w:r>
        <w:rPr>
          <w:rFonts w:hint="eastAsia" w:ascii="宋体" w:hAnsi="宋体" w:eastAsia="宋体" w:cs="宋体"/>
          <w:color w:val="auto"/>
          <w:u w:val="single"/>
        </w:rPr>
        <w:t>10</w:t>
      </w:r>
      <w:r>
        <w:rPr>
          <w:rFonts w:hint="eastAsia" w:ascii="宋体" w:hAnsi="宋体" w:eastAsia="宋体" w:cs="宋体"/>
          <w:color w:val="auto"/>
        </w:rPr>
        <w:t>分。</w:t>
      </w:r>
    </w:p>
    <w:p w14:paraId="33CA22F1">
      <w:pPr>
        <w:pStyle w:val="27"/>
        <w:widowControl/>
        <w:ind w:firstLine="480"/>
        <w:rPr>
          <w:color w:val="auto"/>
        </w:rPr>
      </w:pPr>
      <w:r>
        <w:rPr>
          <w:rFonts w:hint="eastAsia" w:ascii="宋体" w:hAnsi="宋体" w:eastAsia="宋体" w:cs="宋体"/>
          <w:color w:val="auto"/>
        </w:rPr>
        <w:t>a.价格分采用低价优先法计算，即满足招标文件要求且投标价格最低的投标报价为评标基准价，其价格分为满分。其他投标人的价格分统一按照下列公式计算：投标报价得分</w:t>
      </w:r>
      <w:r>
        <w:rPr>
          <w:rFonts w:ascii="Calibri" w:hAnsi="Calibri" w:eastAsia="宋体" w:cs="Calibri"/>
          <w:color w:val="auto"/>
        </w:rPr>
        <w:t>=</w:t>
      </w:r>
      <w:r>
        <w:rPr>
          <w:rFonts w:hint="eastAsia" w:ascii="宋体" w:hAnsi="宋体" w:eastAsia="宋体" w:cs="宋体"/>
          <w:color w:val="auto"/>
        </w:rPr>
        <w:t>（评标基准价／投标报价）×</w:t>
      </w:r>
      <w:r>
        <w:rPr>
          <w:rFonts w:ascii="Calibri" w:hAnsi="Calibri" w:eastAsia="宋体" w:cs="Calibri"/>
          <w:color w:val="auto"/>
        </w:rPr>
        <w:t>100</w:t>
      </w:r>
      <w:r>
        <w:rPr>
          <w:rFonts w:hint="eastAsia" w:ascii="宋体" w:hAnsi="宋体" w:eastAsia="宋体" w:cs="宋体"/>
          <w:color w:val="auto"/>
        </w:rPr>
        <w:t>。因落实政府采购政策需进行价格扣除的，以扣除后的价格计算评标基准价和投标报价。</w:t>
      </w:r>
      <w:r>
        <w:rPr>
          <w:color w:val="auto"/>
        </w:rPr>
        <w:t xml:space="preserve"> </w:t>
      </w:r>
    </w:p>
    <w:p w14:paraId="77A90B65">
      <w:pPr>
        <w:pStyle w:val="27"/>
        <w:widowControl/>
        <w:ind w:firstLine="480"/>
        <w:rPr>
          <w:color w:val="auto"/>
        </w:rPr>
      </w:pPr>
      <w:r>
        <w:rPr>
          <w:rFonts w:ascii="Calibri" w:hAnsi="Calibri" w:cs="Calibri"/>
          <w:color w:val="auto"/>
        </w:rPr>
        <w:t>b.</w:t>
      </w:r>
      <w:r>
        <w:rPr>
          <w:rFonts w:hint="eastAsia" w:ascii="宋体" w:hAnsi="宋体" w:eastAsia="宋体" w:cs="宋体"/>
          <w:color w:val="auto"/>
        </w:rPr>
        <w:t>价格扣除的规则如下：</w:t>
      </w:r>
    </w:p>
    <w:tbl>
      <w:tblPr>
        <w:tblStyle w:val="30"/>
        <w:tblW w:w="831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097"/>
        <w:gridCol w:w="7218"/>
      </w:tblGrid>
      <w:tr w14:paraId="79E693A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blCellSpacing w:w="0" w:type="dxa"/>
        </w:trPr>
        <w:tc>
          <w:tcPr>
            <w:tcW w:w="1097" w:type="dxa"/>
            <w:shd w:val="clear" w:color="auto" w:fill="auto"/>
            <w:vAlign w:val="center"/>
          </w:tcPr>
          <w:p w14:paraId="1B810AC5">
            <w:pPr>
              <w:widowControl/>
              <w:jc w:val="left"/>
              <w:rPr>
                <w:color w:val="auto"/>
              </w:rPr>
            </w:pPr>
            <w:r>
              <w:rPr>
                <w:rFonts w:ascii="宋体" w:hAnsi="宋体" w:eastAsia="宋体" w:cs="宋体"/>
                <w:color w:val="auto"/>
                <w:kern w:val="0"/>
                <w:sz w:val="24"/>
                <w:lang w:bidi="ar"/>
              </w:rPr>
              <w:t>评标项目</w:t>
            </w:r>
          </w:p>
        </w:tc>
        <w:tc>
          <w:tcPr>
            <w:tcW w:w="7218" w:type="dxa"/>
            <w:shd w:val="clear" w:color="auto" w:fill="auto"/>
            <w:vAlign w:val="center"/>
          </w:tcPr>
          <w:p w14:paraId="725CD34E">
            <w:pPr>
              <w:widowControl/>
              <w:jc w:val="left"/>
              <w:rPr>
                <w:color w:val="auto"/>
              </w:rPr>
            </w:pPr>
            <w:r>
              <w:rPr>
                <w:rFonts w:ascii="宋体" w:hAnsi="宋体" w:eastAsia="宋体" w:cs="宋体"/>
                <w:color w:val="auto"/>
                <w:kern w:val="0"/>
                <w:sz w:val="24"/>
                <w:lang w:bidi="ar"/>
              </w:rPr>
              <w:t>评标方法</w:t>
            </w:r>
          </w:p>
        </w:tc>
      </w:tr>
      <w:tr w14:paraId="19AC8CE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097" w:type="dxa"/>
            <w:shd w:val="clear" w:color="auto" w:fill="auto"/>
            <w:vAlign w:val="center"/>
          </w:tcPr>
          <w:p w14:paraId="473F929D">
            <w:pPr>
              <w:widowControl/>
              <w:jc w:val="center"/>
              <w:rPr>
                <w:color w:val="auto"/>
              </w:rPr>
            </w:pPr>
            <w:r>
              <w:rPr>
                <w:rFonts w:ascii="宋体" w:hAnsi="宋体" w:eastAsia="宋体" w:cs="宋体"/>
                <w:color w:val="auto"/>
                <w:kern w:val="0"/>
                <w:sz w:val="24"/>
                <w:lang w:bidi="ar"/>
              </w:rPr>
              <w:t>小型、微型企业，监狱企业，残疾人</w:t>
            </w:r>
          </w:p>
        </w:tc>
        <w:tc>
          <w:tcPr>
            <w:tcW w:w="7218" w:type="dxa"/>
            <w:shd w:val="clear" w:color="auto" w:fill="auto"/>
            <w:vAlign w:val="center"/>
          </w:tcPr>
          <w:p w14:paraId="09704193">
            <w:pPr>
              <w:widowControl/>
              <w:jc w:val="left"/>
              <w:rPr>
                <w:color w:val="auto"/>
              </w:rPr>
            </w:pPr>
            <w:r>
              <w:rPr>
                <w:rStyle w:val="32"/>
                <w:rFonts w:ascii="宋体" w:hAnsi="宋体" w:eastAsia="宋体" w:cs="宋体"/>
                <w:color w:val="auto"/>
                <w:kern w:val="0"/>
                <w:sz w:val="24"/>
                <w:lang w:bidi="ar"/>
              </w:rPr>
              <w:t>经采购人确认，本合同包不属于专门面向中小企业预留份额的招标项目，因此根据《</w:t>
            </w:r>
            <w:r>
              <w:rPr>
                <w:rStyle w:val="32"/>
                <w:rFonts w:hint="eastAsia" w:ascii="宋体" w:hAnsi="宋体" w:eastAsia="宋体" w:cs="宋体"/>
                <w:color w:val="auto"/>
                <w:kern w:val="0"/>
                <w:sz w:val="24"/>
                <w:lang w:bidi="ar"/>
              </w:rPr>
              <w:t>政府采购促进中小企业发展管理办法</w:t>
            </w:r>
            <w:r>
              <w:rPr>
                <w:rStyle w:val="32"/>
                <w:rFonts w:ascii="宋体" w:hAnsi="宋体" w:eastAsia="宋体" w:cs="宋体"/>
                <w:color w:val="auto"/>
                <w:kern w:val="0"/>
                <w:sz w:val="24"/>
                <w:lang w:bidi="ar"/>
              </w:rPr>
              <w:t>》财库〔2020〕46号文的规定，符合以下规则条件的投标人将依法享受相应的价格扣除优惠政策，用扣除后的价格参加评审。参加本合同包的投标人，必须在响应文件中按照招标文件第七章所附格式如实填写《中小企业声明函》，投标人应当对其承诺和提供材料的真实性、合法性和准确性负责。未按招标文件要求提供《中小企业声明函》，视同为相应投标人不满足小微企业条件和标准，不享受价格扣除的优惠政策。 ①本合同包是服务类采购，根据《</w:t>
            </w:r>
            <w:r>
              <w:rPr>
                <w:rStyle w:val="32"/>
                <w:rFonts w:hint="eastAsia" w:ascii="宋体" w:hAnsi="宋体" w:eastAsia="宋体" w:cs="宋体"/>
                <w:color w:val="auto"/>
                <w:kern w:val="0"/>
                <w:sz w:val="24"/>
                <w:lang w:bidi="ar"/>
              </w:rPr>
              <w:t>政府采购促进中小企业发展管理办法</w:t>
            </w:r>
            <w:r>
              <w:rPr>
                <w:rStyle w:val="32"/>
                <w:rFonts w:ascii="宋体" w:hAnsi="宋体" w:eastAsia="宋体" w:cs="宋体"/>
                <w:color w:val="auto"/>
                <w:kern w:val="0"/>
                <w:sz w:val="24"/>
                <w:lang w:bidi="ar"/>
              </w:rPr>
              <w:t>》财库〔2020〕46号文的有关规定，服务采购项目中，服务由中小企业主体承接的，才能享受相应扶持政策。本合同包投标人自身承接全部服务内容，且投标人符合政府采购相关法规要求的小微企业划分标准，将依法享受价格扣除的优惠政策，对其报价给予10%的价格扣除，用扣除后的价格参加评审。投标人必须在响应文件中按照招标文件第七章所附格式如实填写《中小企业声明函》，投标人应当对其承诺和提供材料的真实性、合法性和准确性负责。未按招标文件要求提供《中小企业声明函》，视同为投标人不满足小微企业条件和标准，不享受价格扣除的优惠政策。 ②根据关于印发中小企业划型标准规定的通知(工信部联企业〔2011〕300号)有关规定，本项目采购标的对应的中小企业划分标准所属行业为软件和信息技术服务业。 ③根据财政部、司法部联合印发《关于政府采购支持监狱企业发展有关问题的通知》（财库【2014】68号）文以及财政部、民政部、中国残联联合发布关于促进残疾人就业政府采购政策的通知（财库[2017]141号）文的有关规定，监狱企业和残疾人福利性单位视同为小型、微型企业。监狱企业或残疾人福利性单位参加本合同包投标且全部服务内容均由其自身承接的，将依法享受价格扣除的优惠政策，对其报价给予10%的价格扣除，用扣除后的价格参加评审。但监狱企业必须提供由省级以上监狱管理局、戒毒管理局（含新疆生产建设兵团）出具的属于监狱企业的证明文件，否则评审时不享受价格扣除的优惠政策；残疾人福利性单位必须如实提供《残疾人福利性单位声明函》，否则评审时不享受价格扣除的优惠政策。上述规定与政府采购相关法律、法规、制度等有冲突的，以现行法律、法规、制度等执行。</w:t>
            </w:r>
          </w:p>
        </w:tc>
      </w:tr>
    </w:tbl>
    <w:p w14:paraId="71B66AC9">
      <w:pPr>
        <w:pStyle w:val="27"/>
        <w:widowControl/>
        <w:ind w:firstLine="480"/>
        <w:rPr>
          <w:color w:val="auto"/>
        </w:rPr>
      </w:pPr>
      <w:r>
        <w:rPr>
          <w:rFonts w:hint="eastAsia" w:ascii="宋体" w:hAnsi="宋体" w:eastAsia="宋体" w:cs="宋体"/>
          <w:color w:val="auto"/>
        </w:rPr>
        <w:t>②技术项（</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）满分为</w:t>
      </w:r>
      <w:r>
        <w:rPr>
          <w:rFonts w:hint="eastAsia" w:ascii="宋体" w:hAnsi="宋体" w:eastAsia="宋体" w:cs="宋体"/>
          <w:color w:val="auto"/>
          <w:u w:val="single"/>
        </w:rPr>
        <w:t>65</w:t>
      </w:r>
      <w:r>
        <w:rPr>
          <w:rFonts w:hint="eastAsia" w:ascii="宋体" w:hAnsi="宋体" w:eastAsia="宋体" w:cs="宋体"/>
          <w:color w:val="auto"/>
        </w:rPr>
        <w:t>分。</w:t>
      </w:r>
    </w:p>
    <w:tbl>
      <w:tblPr>
        <w:tblStyle w:val="30"/>
        <w:tblW w:w="8321"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21"/>
        <w:gridCol w:w="623"/>
        <w:gridCol w:w="6877"/>
      </w:tblGrid>
      <w:tr w14:paraId="3895464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821" w:type="dxa"/>
            <w:vAlign w:val="center"/>
          </w:tcPr>
          <w:p w14:paraId="02A19FAB">
            <w:pPr>
              <w:widowControl/>
              <w:jc w:val="center"/>
              <w:rPr>
                <w:rFonts w:ascii="宋体" w:hAnsi="宋体" w:cs="宋体"/>
                <w:color w:val="auto"/>
                <w:kern w:val="0"/>
                <w:sz w:val="24"/>
                <w:lang w:bidi="ar"/>
              </w:rPr>
            </w:pPr>
            <w:r>
              <w:rPr>
                <w:rFonts w:ascii="宋体" w:hAnsi="宋体" w:cs="宋体"/>
                <w:color w:val="auto"/>
                <w:kern w:val="0"/>
                <w:sz w:val="24"/>
                <w:lang w:bidi="ar"/>
              </w:rPr>
              <w:t>评标</w:t>
            </w:r>
          </w:p>
          <w:p w14:paraId="066586F1">
            <w:pPr>
              <w:widowControl/>
              <w:jc w:val="center"/>
              <w:rPr>
                <w:color w:val="auto"/>
                <w:sz w:val="24"/>
              </w:rPr>
            </w:pPr>
            <w:r>
              <w:rPr>
                <w:rFonts w:ascii="宋体" w:hAnsi="宋体" w:cs="宋体"/>
                <w:color w:val="auto"/>
                <w:kern w:val="0"/>
                <w:sz w:val="24"/>
                <w:lang w:bidi="ar"/>
              </w:rPr>
              <w:t>项目</w:t>
            </w:r>
          </w:p>
        </w:tc>
        <w:tc>
          <w:tcPr>
            <w:tcW w:w="623" w:type="dxa"/>
            <w:vAlign w:val="center"/>
          </w:tcPr>
          <w:p w14:paraId="02F8DCD3">
            <w:pPr>
              <w:widowControl/>
              <w:jc w:val="center"/>
              <w:rPr>
                <w:color w:val="auto"/>
                <w:sz w:val="24"/>
              </w:rPr>
            </w:pPr>
            <w:r>
              <w:rPr>
                <w:rFonts w:ascii="宋体" w:hAnsi="宋体" w:cs="宋体"/>
                <w:color w:val="auto"/>
                <w:kern w:val="0"/>
                <w:sz w:val="24"/>
                <w:lang w:bidi="ar"/>
              </w:rPr>
              <w:t>评标分值</w:t>
            </w:r>
          </w:p>
        </w:tc>
        <w:tc>
          <w:tcPr>
            <w:tcW w:w="6877" w:type="dxa"/>
            <w:vAlign w:val="center"/>
          </w:tcPr>
          <w:p w14:paraId="4C603625">
            <w:pPr>
              <w:widowControl/>
              <w:jc w:val="center"/>
              <w:rPr>
                <w:color w:val="auto"/>
                <w:sz w:val="24"/>
              </w:rPr>
            </w:pPr>
            <w:r>
              <w:rPr>
                <w:rFonts w:ascii="宋体" w:hAnsi="宋体" w:cs="宋体"/>
                <w:color w:val="auto"/>
                <w:kern w:val="0"/>
                <w:sz w:val="24"/>
                <w:lang w:bidi="ar"/>
              </w:rPr>
              <w:t>评标方法描述</w:t>
            </w:r>
          </w:p>
        </w:tc>
      </w:tr>
      <w:tr w14:paraId="086EF5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6E9A3CDE">
            <w:pPr>
              <w:widowControl/>
              <w:jc w:val="left"/>
              <w:textAlignment w:val="center"/>
              <w:rPr>
                <w:color w:val="auto"/>
                <w:sz w:val="24"/>
              </w:rPr>
            </w:pPr>
            <w:r>
              <w:rPr>
                <w:rFonts w:hint="eastAsia" w:ascii="宋体" w:hAnsi="宋体" w:eastAsia="宋体" w:cs="宋体"/>
                <w:color w:val="auto"/>
                <w:kern w:val="0"/>
                <w:sz w:val="24"/>
                <w:lang w:bidi="ar"/>
              </w:rPr>
              <w:t>1、响应内容对招标要求的响应程度情况</w:t>
            </w:r>
          </w:p>
        </w:tc>
        <w:tc>
          <w:tcPr>
            <w:tcW w:w="623" w:type="dxa"/>
            <w:shd w:val="clear" w:color="auto" w:fill="auto"/>
            <w:vAlign w:val="center"/>
          </w:tcPr>
          <w:p w14:paraId="58454B1F">
            <w:pPr>
              <w:widowControl/>
              <w:jc w:val="center"/>
              <w:textAlignment w:val="center"/>
              <w:rPr>
                <w:color w:val="auto"/>
                <w:sz w:val="24"/>
              </w:rPr>
            </w:pPr>
            <w:r>
              <w:rPr>
                <w:rFonts w:ascii="Calibri" w:hAnsi="Calibri" w:eastAsia="宋体" w:cs="Calibri"/>
                <w:color w:val="auto"/>
                <w:kern w:val="0"/>
                <w:sz w:val="24"/>
                <w:lang w:bidi="ar"/>
              </w:rPr>
              <w:t>16.5</w:t>
            </w:r>
          </w:p>
        </w:tc>
        <w:tc>
          <w:tcPr>
            <w:tcW w:w="6877" w:type="dxa"/>
            <w:shd w:val="clear" w:color="auto" w:fill="auto"/>
            <w:vAlign w:val="center"/>
          </w:tcPr>
          <w:p w14:paraId="1C56FCF7">
            <w:pPr>
              <w:widowControl/>
              <w:jc w:val="left"/>
              <w:textAlignment w:val="center"/>
              <w:rPr>
                <w:color w:val="auto"/>
                <w:sz w:val="24"/>
              </w:rPr>
            </w:pPr>
            <w:r>
              <w:rPr>
                <w:rFonts w:hint="eastAsia" w:ascii="宋体" w:hAnsi="宋体" w:eastAsia="宋体" w:cs="宋体"/>
                <w:color w:val="auto"/>
                <w:kern w:val="0"/>
                <w:sz w:val="24"/>
                <w:lang w:bidi="ar"/>
              </w:rPr>
              <w:t>投标人能够全部响应并满足招标文件“第五章招标内容及要求”第二条“技术和服务要求”合同包2各项技术服务要求，没有任何负偏离，则响应程度得分为1</w:t>
            </w:r>
            <w:r>
              <w:rPr>
                <w:rFonts w:ascii="宋体" w:hAnsi="宋体" w:eastAsia="宋体" w:cs="宋体"/>
                <w:color w:val="auto"/>
                <w:kern w:val="0"/>
                <w:sz w:val="24"/>
                <w:lang w:bidi="ar"/>
              </w:rPr>
              <w:t>6</w:t>
            </w:r>
            <w:r>
              <w:rPr>
                <w:rFonts w:hint="eastAsia" w:ascii="宋体" w:hAnsi="宋体" w:eastAsia="宋体" w:cs="宋体"/>
                <w:color w:val="auto"/>
                <w:kern w:val="0"/>
                <w:sz w:val="24"/>
                <w:lang w:bidi="ar"/>
              </w:rPr>
              <w:t>.5分。</w:t>
            </w:r>
            <w:r>
              <w:rPr>
                <w:rFonts w:hint="eastAsia" w:ascii="宋体" w:hAnsi="宋体" w:cs="宋体"/>
                <w:color w:val="auto"/>
                <w:sz w:val="24"/>
              </w:rPr>
              <w:t>以“★”标示的内容为不允许负偏离的实质性要求，若有一项负偏离，按照无效标处理；</w:t>
            </w:r>
            <w:r>
              <w:rPr>
                <w:rFonts w:hint="eastAsia" w:ascii="宋体" w:hAnsi="宋体" w:eastAsia="宋体" w:cs="宋体"/>
                <w:color w:val="auto"/>
                <w:kern w:val="0"/>
                <w:sz w:val="24"/>
                <w:lang w:bidi="ar"/>
              </w:rPr>
              <w:t>如果投标人对招标文件“第五章招标内容及要求”第二条“技术和服务要求”中合同包2</w:t>
            </w:r>
            <w:r>
              <w:rPr>
                <w:rFonts w:hint="eastAsia" w:ascii="宋体" w:hAnsi="宋体" w:cs="宋体"/>
                <w:color w:val="auto"/>
                <w:sz w:val="24"/>
              </w:rPr>
              <w:t>除“★”标示的内容外的</w:t>
            </w:r>
            <w:r>
              <w:rPr>
                <w:rFonts w:hint="eastAsia" w:ascii="宋体" w:hAnsi="宋体" w:eastAsia="宋体" w:cs="宋体"/>
                <w:color w:val="auto"/>
                <w:kern w:val="0"/>
                <w:sz w:val="24"/>
                <w:lang w:bidi="ar"/>
              </w:rPr>
              <w:t>各项技术服务要求有负偏离，则按以下分类分档进行量化评分。（1）负偏离数量为1～3个，则响应程度为优良，并按照负偏离的实际数量从少到多的顺序，分别量化得分为15.5分、14.5分、13.5分。 （2）负偏离数量为4～6个，则响应程度为较好，并按照负偏离的实际数量从少到多的顺序，分别量化得分为12.5分、11.5分、10.5分。（3）负偏离数量为7～9个，则响应程度为一般，并按照负偏离的实际数量从少到多的顺序，分别量化得分为9.5分、8.5分、7.5分。负偏离数量超过10个，视为投标响应重大偏离招标文件要求，响应程度招标人无法接受，该投标人的投标文件将被否决。 正偏离不加分。</w:t>
            </w:r>
          </w:p>
        </w:tc>
      </w:tr>
      <w:tr w14:paraId="34C497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77E83EA4">
            <w:pPr>
              <w:widowControl/>
              <w:jc w:val="left"/>
              <w:textAlignment w:val="center"/>
              <w:rPr>
                <w:color w:val="auto"/>
                <w:sz w:val="24"/>
              </w:rPr>
            </w:pPr>
            <w:r>
              <w:rPr>
                <w:rFonts w:hint="eastAsia" w:ascii="宋体" w:hAnsi="宋体" w:eastAsia="宋体" w:cs="宋体"/>
                <w:color w:val="auto"/>
                <w:kern w:val="0"/>
                <w:sz w:val="24"/>
                <w:lang w:bidi="ar"/>
              </w:rPr>
              <w:t>2、对需求的分析和理解</w:t>
            </w:r>
          </w:p>
        </w:tc>
        <w:tc>
          <w:tcPr>
            <w:tcW w:w="623" w:type="dxa"/>
            <w:shd w:val="clear" w:color="auto" w:fill="auto"/>
            <w:vAlign w:val="center"/>
          </w:tcPr>
          <w:p w14:paraId="06111759">
            <w:pPr>
              <w:widowControl/>
              <w:jc w:val="center"/>
              <w:textAlignment w:val="center"/>
              <w:rPr>
                <w:color w:val="auto"/>
                <w:sz w:val="24"/>
              </w:rPr>
            </w:pPr>
            <w:r>
              <w:rPr>
                <w:rFonts w:ascii="Calibri" w:hAnsi="Calibri" w:eastAsia="宋体" w:cs="Calibri"/>
                <w:color w:val="auto"/>
                <w:kern w:val="0"/>
                <w:sz w:val="24"/>
                <w:lang w:bidi="ar"/>
              </w:rPr>
              <w:t>3</w:t>
            </w:r>
          </w:p>
        </w:tc>
        <w:tc>
          <w:tcPr>
            <w:tcW w:w="6877" w:type="dxa"/>
            <w:shd w:val="clear" w:color="auto" w:fill="auto"/>
            <w:vAlign w:val="center"/>
          </w:tcPr>
          <w:p w14:paraId="4D9B2D45">
            <w:pPr>
              <w:widowControl/>
              <w:jc w:val="left"/>
              <w:textAlignment w:val="center"/>
              <w:rPr>
                <w:color w:val="auto"/>
                <w:sz w:val="24"/>
              </w:rPr>
            </w:pPr>
            <w:r>
              <w:rPr>
                <w:rFonts w:hint="eastAsia" w:ascii="宋体" w:hAnsi="宋体" w:eastAsia="宋体" w:cs="宋体"/>
                <w:color w:val="auto"/>
                <w:kern w:val="0"/>
                <w:sz w:val="24"/>
                <w:lang w:bidi="ar"/>
              </w:rPr>
              <w:t>投标人对本项目城市综合管理服务平台的公共服务系统、指挥协调系统、城市事件分类与标准系统、网格微服务系统、舆情监测系统、城市自评价系统、决策辅助中心系统和城市运行监测系统等项目需求有充分理解和分析、对于本项目需求理解深刻、透彻，内容具体、全面，业务数据理解清晰，抓住了本项目的重点得3分；对于项目需求理解较为完整，内容基本全面、分析内容基本符合项目目标得2分；对于项目需求理解有待进一步深入，分析不够透彻的1分；未提供或理解存在较大偏差，内容有较大欠缺的得0分。</w:t>
            </w:r>
          </w:p>
        </w:tc>
      </w:tr>
      <w:tr w14:paraId="186432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441" w:hRule="atLeast"/>
          <w:tblCellSpacing w:w="0" w:type="dxa"/>
        </w:trPr>
        <w:tc>
          <w:tcPr>
            <w:tcW w:w="821" w:type="dxa"/>
            <w:shd w:val="clear" w:color="auto" w:fill="auto"/>
            <w:vAlign w:val="center"/>
          </w:tcPr>
          <w:p w14:paraId="150687EB">
            <w:pPr>
              <w:widowControl/>
              <w:jc w:val="left"/>
              <w:textAlignment w:val="center"/>
              <w:rPr>
                <w:color w:val="auto"/>
                <w:sz w:val="24"/>
              </w:rPr>
            </w:pPr>
            <w:r>
              <w:rPr>
                <w:rFonts w:hint="eastAsia" w:ascii="宋体" w:hAnsi="宋体" w:eastAsia="宋体" w:cs="宋体"/>
                <w:color w:val="auto"/>
                <w:kern w:val="0"/>
                <w:sz w:val="24"/>
                <w:lang w:bidi="ar"/>
              </w:rPr>
              <w:t>3、方案1</w:t>
            </w:r>
          </w:p>
        </w:tc>
        <w:tc>
          <w:tcPr>
            <w:tcW w:w="623" w:type="dxa"/>
            <w:shd w:val="clear" w:color="auto" w:fill="auto"/>
            <w:vAlign w:val="center"/>
          </w:tcPr>
          <w:p w14:paraId="3162A96A">
            <w:pPr>
              <w:widowControl/>
              <w:jc w:val="center"/>
              <w:textAlignment w:val="center"/>
              <w:rPr>
                <w:color w:val="auto"/>
                <w:sz w:val="24"/>
              </w:rPr>
            </w:pPr>
            <w:r>
              <w:rPr>
                <w:rFonts w:ascii="Calibri" w:hAnsi="Calibri" w:eastAsia="宋体" w:cs="Calibri"/>
                <w:color w:val="auto"/>
                <w:kern w:val="0"/>
                <w:sz w:val="24"/>
                <w:lang w:bidi="ar"/>
              </w:rPr>
              <w:t>3</w:t>
            </w:r>
          </w:p>
        </w:tc>
        <w:tc>
          <w:tcPr>
            <w:tcW w:w="6877" w:type="dxa"/>
            <w:shd w:val="clear" w:color="auto" w:fill="auto"/>
            <w:vAlign w:val="center"/>
          </w:tcPr>
          <w:p w14:paraId="6DA148D3">
            <w:pPr>
              <w:widowControl/>
              <w:jc w:val="left"/>
              <w:textAlignment w:val="center"/>
              <w:rPr>
                <w:color w:val="auto"/>
                <w:sz w:val="24"/>
              </w:rPr>
            </w:pPr>
            <w:r>
              <w:rPr>
                <w:rFonts w:hint="eastAsia" w:ascii="宋体" w:hAnsi="宋体" w:eastAsia="宋体" w:cs="宋体"/>
                <w:color w:val="auto"/>
                <w:kern w:val="0"/>
                <w:sz w:val="24"/>
                <w:lang w:bidi="ar"/>
              </w:rPr>
              <w:t>投标人根据初步设计方案的安全系统进行详细设计优化。设计方案包含了满足信息系统安全等级保护2.0标准“三级”安全设计方案、密码应用方案、安全管理运维的得3分，每缺一项扣1分，未提供或不合理的不得分。</w:t>
            </w:r>
          </w:p>
        </w:tc>
      </w:tr>
      <w:tr w14:paraId="3B9E13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4BA1D516">
            <w:pPr>
              <w:widowControl/>
              <w:jc w:val="left"/>
              <w:textAlignment w:val="center"/>
              <w:rPr>
                <w:color w:val="auto"/>
                <w:sz w:val="24"/>
              </w:rPr>
            </w:pPr>
            <w:r>
              <w:rPr>
                <w:rFonts w:hint="eastAsia" w:ascii="宋体" w:hAnsi="宋体" w:eastAsia="宋体" w:cs="宋体"/>
                <w:color w:val="auto"/>
                <w:kern w:val="0"/>
                <w:sz w:val="24"/>
                <w:lang w:bidi="ar"/>
              </w:rPr>
              <w:t>4、方案2</w:t>
            </w:r>
          </w:p>
        </w:tc>
        <w:tc>
          <w:tcPr>
            <w:tcW w:w="623" w:type="dxa"/>
            <w:shd w:val="clear" w:color="auto" w:fill="auto"/>
            <w:vAlign w:val="center"/>
          </w:tcPr>
          <w:p w14:paraId="2D5EE86E">
            <w:pPr>
              <w:widowControl/>
              <w:jc w:val="center"/>
              <w:textAlignment w:val="center"/>
              <w:rPr>
                <w:color w:val="auto"/>
                <w:sz w:val="24"/>
              </w:rPr>
            </w:pPr>
            <w:r>
              <w:rPr>
                <w:rFonts w:ascii="Calibri" w:hAnsi="Calibri" w:eastAsia="宋体" w:cs="Calibri"/>
                <w:color w:val="auto"/>
                <w:kern w:val="0"/>
                <w:sz w:val="24"/>
                <w:lang w:bidi="ar"/>
              </w:rPr>
              <w:t>3</w:t>
            </w:r>
          </w:p>
        </w:tc>
        <w:tc>
          <w:tcPr>
            <w:tcW w:w="6877" w:type="dxa"/>
            <w:shd w:val="clear" w:color="auto" w:fill="auto"/>
            <w:vAlign w:val="center"/>
          </w:tcPr>
          <w:p w14:paraId="5530A6B7">
            <w:pPr>
              <w:widowControl/>
              <w:jc w:val="left"/>
              <w:textAlignment w:val="center"/>
              <w:rPr>
                <w:color w:val="auto"/>
                <w:sz w:val="24"/>
              </w:rPr>
            </w:pPr>
            <w:r>
              <w:rPr>
                <w:rFonts w:hint="eastAsia" w:ascii="宋体" w:hAnsi="宋体" w:eastAsia="宋体" w:cs="宋体"/>
                <w:color w:val="auto"/>
                <w:kern w:val="0"/>
                <w:sz w:val="24"/>
                <w:lang w:bidi="ar"/>
              </w:rPr>
              <w:t>根据投标人提供的项目风险分析及规避方案、项目建设实践进度控制方案等内容进行综合评价。方案风险点评估准确、完整，规避方案可操作性强、建设进度控制方案详实可行的得3分；方案阐述较详实，方案可操作性较可行的得2分；方案阐述内容简短，方案可操作性较差的得1分；未提供或重大偏离的不得分。</w:t>
            </w:r>
          </w:p>
        </w:tc>
      </w:tr>
      <w:tr w14:paraId="0217FE1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6" w:hRule="atLeast"/>
          <w:tblCellSpacing w:w="0" w:type="dxa"/>
        </w:trPr>
        <w:tc>
          <w:tcPr>
            <w:tcW w:w="821" w:type="dxa"/>
            <w:shd w:val="clear" w:color="auto" w:fill="auto"/>
            <w:vAlign w:val="center"/>
          </w:tcPr>
          <w:p w14:paraId="370A47AE">
            <w:pPr>
              <w:widowControl/>
              <w:jc w:val="left"/>
              <w:textAlignment w:val="center"/>
              <w:rPr>
                <w:color w:val="auto"/>
                <w:sz w:val="24"/>
              </w:rPr>
            </w:pPr>
            <w:r>
              <w:rPr>
                <w:rFonts w:hint="eastAsia" w:ascii="宋体" w:hAnsi="宋体" w:eastAsia="宋体" w:cs="宋体"/>
                <w:color w:val="auto"/>
                <w:kern w:val="0"/>
                <w:sz w:val="24"/>
                <w:lang w:bidi="ar"/>
              </w:rPr>
              <w:t>5、方案3</w:t>
            </w:r>
          </w:p>
        </w:tc>
        <w:tc>
          <w:tcPr>
            <w:tcW w:w="623" w:type="dxa"/>
            <w:shd w:val="clear" w:color="auto" w:fill="auto"/>
            <w:vAlign w:val="center"/>
          </w:tcPr>
          <w:p w14:paraId="136FCCAD">
            <w:pPr>
              <w:widowControl/>
              <w:jc w:val="center"/>
              <w:textAlignment w:val="center"/>
              <w:rPr>
                <w:color w:val="auto"/>
                <w:sz w:val="24"/>
              </w:rPr>
            </w:pPr>
            <w:r>
              <w:rPr>
                <w:rFonts w:ascii="Calibri" w:hAnsi="Calibri" w:eastAsia="宋体" w:cs="Calibri"/>
                <w:color w:val="auto"/>
                <w:kern w:val="0"/>
                <w:sz w:val="24"/>
                <w:lang w:bidi="ar"/>
              </w:rPr>
              <w:t>3</w:t>
            </w:r>
          </w:p>
        </w:tc>
        <w:tc>
          <w:tcPr>
            <w:tcW w:w="6877" w:type="dxa"/>
            <w:shd w:val="clear" w:color="auto" w:fill="auto"/>
            <w:vAlign w:val="center"/>
          </w:tcPr>
          <w:p w14:paraId="29EFDAE2">
            <w:pPr>
              <w:widowControl/>
              <w:jc w:val="left"/>
              <w:textAlignment w:val="center"/>
              <w:rPr>
                <w:color w:val="auto"/>
                <w:sz w:val="24"/>
              </w:rPr>
            </w:pPr>
            <w:r>
              <w:rPr>
                <w:rFonts w:hint="eastAsia" w:ascii="宋体" w:hAnsi="宋体" w:eastAsia="宋体" w:cs="宋体"/>
                <w:color w:val="auto"/>
                <w:kern w:val="0"/>
                <w:sz w:val="24"/>
                <w:lang w:bidi="ar"/>
              </w:rPr>
              <w:t>投标人依据本次所投产品提供针对本次项目所涉及的日常服务保障要求进行详细设计，对实时检测对实时监测、每周、每月、每季度和每年服务内容进行详细设计，对重要保障服务以及应急保障服务进行详细设计。根据投标人提供的设计方案进行评分：结构编排合理，主题清晰，设计详细，整体论述完整准确，实施计划科学易行， 技术标准高，前瞻性和可扩展性强，得3分；主题及结构一般，设计较简单，论述较完整，可实施内容较好的得2 分；主题及结构一般，设计较简单，论述完整一般，可实施但内容描述一般，得1分；未提供或重大偏离的不得分。</w:t>
            </w:r>
          </w:p>
        </w:tc>
      </w:tr>
      <w:tr w14:paraId="2A077A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0700ED30">
            <w:pPr>
              <w:widowControl/>
              <w:jc w:val="left"/>
              <w:rPr>
                <w:rFonts w:ascii="宋体" w:hAnsi="宋体" w:eastAsia="宋体" w:cs="宋体"/>
                <w:color w:val="auto"/>
                <w:kern w:val="0"/>
                <w:sz w:val="24"/>
                <w:lang w:bidi="ar"/>
              </w:rPr>
            </w:pPr>
            <w:r>
              <w:rPr>
                <w:rFonts w:hint="eastAsia" w:ascii="宋体" w:hAnsi="宋体" w:cs="宋体"/>
                <w:color w:val="auto"/>
                <w:kern w:val="0"/>
                <w:sz w:val="24"/>
                <w:lang w:bidi="ar"/>
              </w:rPr>
              <w:t>6、方案4</w:t>
            </w:r>
          </w:p>
        </w:tc>
        <w:tc>
          <w:tcPr>
            <w:tcW w:w="623" w:type="dxa"/>
            <w:shd w:val="clear" w:color="auto" w:fill="auto"/>
            <w:vAlign w:val="center"/>
          </w:tcPr>
          <w:p w14:paraId="21386B05">
            <w:pPr>
              <w:widowControl/>
              <w:jc w:val="center"/>
              <w:rPr>
                <w:rFonts w:ascii="Calibri" w:hAnsi="Calibri" w:eastAsia="宋体" w:cs="Calibri"/>
                <w:color w:val="auto"/>
                <w:kern w:val="0"/>
                <w:sz w:val="24"/>
                <w:lang w:bidi="ar"/>
              </w:rPr>
            </w:pPr>
            <w:r>
              <w:rPr>
                <w:rFonts w:hint="eastAsia" w:eastAsia="宋体"/>
                <w:color w:val="auto"/>
                <w:sz w:val="24"/>
              </w:rPr>
              <w:t>2</w:t>
            </w:r>
          </w:p>
        </w:tc>
        <w:tc>
          <w:tcPr>
            <w:tcW w:w="6877" w:type="dxa"/>
            <w:shd w:val="clear" w:color="auto" w:fill="auto"/>
            <w:vAlign w:val="center"/>
          </w:tcPr>
          <w:p w14:paraId="2949106D">
            <w:pPr>
              <w:widowControl/>
              <w:jc w:val="left"/>
              <w:rPr>
                <w:rFonts w:ascii="宋体" w:hAnsi="宋体" w:eastAsia="宋体" w:cs="宋体"/>
                <w:color w:val="auto"/>
                <w:kern w:val="0"/>
                <w:sz w:val="24"/>
                <w:lang w:bidi="ar"/>
              </w:rPr>
            </w:pPr>
            <w:r>
              <w:rPr>
                <w:rFonts w:hint="eastAsia" w:ascii="宋体" w:hAnsi="宋体" w:cs="宋体"/>
                <w:color w:val="auto"/>
                <w:sz w:val="24"/>
              </w:rPr>
              <w:t>根据投标人提</w:t>
            </w:r>
            <w:r>
              <w:rPr>
                <w:rFonts w:ascii="宋体" w:hAnsi="宋体" w:cs="宋体"/>
                <w:color w:val="auto"/>
                <w:sz w:val="24"/>
              </w:rPr>
              <w:t>供的突发事件反应预案情况进行评议，提供完整的应急预案，且应对方式合理的得</w:t>
            </w:r>
            <w:r>
              <w:rPr>
                <w:rFonts w:hint="eastAsia" w:ascii="宋体" w:hAnsi="宋体" w:cs="宋体"/>
                <w:color w:val="auto"/>
                <w:sz w:val="24"/>
              </w:rPr>
              <w:t>2</w:t>
            </w:r>
            <w:r>
              <w:rPr>
                <w:rFonts w:ascii="宋体" w:hAnsi="宋体" w:cs="宋体"/>
                <w:color w:val="auto"/>
                <w:sz w:val="24"/>
              </w:rPr>
              <w:t>分</w:t>
            </w:r>
            <w:r>
              <w:rPr>
                <w:rFonts w:hint="eastAsia" w:ascii="宋体" w:hAnsi="宋体" w:cs="宋体"/>
                <w:color w:val="auto"/>
                <w:sz w:val="24"/>
              </w:rPr>
              <w:t>；</w:t>
            </w:r>
            <w:r>
              <w:rPr>
                <w:rFonts w:ascii="宋体" w:hAnsi="宋体" w:cs="宋体"/>
                <w:color w:val="auto"/>
                <w:sz w:val="24"/>
              </w:rPr>
              <w:t>能针对可预见的突发情况，提供较完整的应急预案，且应对方式基本合理的得</w:t>
            </w:r>
            <w:r>
              <w:rPr>
                <w:rFonts w:hint="eastAsia" w:ascii="宋体" w:hAnsi="宋体" w:cs="宋体"/>
                <w:color w:val="auto"/>
                <w:sz w:val="24"/>
              </w:rPr>
              <w:t>1</w:t>
            </w:r>
            <w:r>
              <w:rPr>
                <w:rFonts w:ascii="宋体" w:hAnsi="宋体" w:cs="宋体"/>
                <w:color w:val="auto"/>
                <w:sz w:val="24"/>
              </w:rPr>
              <w:t>分</w:t>
            </w:r>
            <w:r>
              <w:rPr>
                <w:rFonts w:hint="eastAsia" w:ascii="宋体" w:hAnsi="宋体" w:cs="宋体"/>
                <w:color w:val="auto"/>
                <w:sz w:val="24"/>
              </w:rPr>
              <w:t>；</w:t>
            </w:r>
            <w:r>
              <w:rPr>
                <w:rFonts w:ascii="宋体" w:hAnsi="宋体" w:cs="宋体"/>
                <w:color w:val="auto"/>
                <w:sz w:val="24"/>
              </w:rPr>
              <w:t>能提供出应急预案，但表述欠佳，应对措施不太合理的得</w:t>
            </w:r>
            <w:r>
              <w:rPr>
                <w:rFonts w:hint="eastAsia" w:ascii="宋体" w:hAnsi="宋体" w:cs="宋体"/>
                <w:color w:val="auto"/>
                <w:sz w:val="24"/>
              </w:rPr>
              <w:t>0.5</w:t>
            </w:r>
            <w:r>
              <w:rPr>
                <w:rFonts w:ascii="宋体" w:hAnsi="宋体" w:cs="宋体"/>
                <w:color w:val="auto"/>
                <w:sz w:val="24"/>
              </w:rPr>
              <w:t>分</w:t>
            </w:r>
            <w:r>
              <w:rPr>
                <w:rFonts w:hint="eastAsia" w:ascii="宋体" w:hAnsi="宋体" w:cs="宋体"/>
                <w:color w:val="auto"/>
                <w:sz w:val="24"/>
              </w:rPr>
              <w:t>；</w:t>
            </w:r>
            <w:r>
              <w:rPr>
                <w:rFonts w:ascii="宋体" w:hAnsi="宋体" w:cs="宋体"/>
                <w:color w:val="auto"/>
                <w:sz w:val="24"/>
              </w:rPr>
              <w:t>未提供应急预案或重大偏离的不得分。</w:t>
            </w:r>
          </w:p>
        </w:tc>
      </w:tr>
      <w:tr w14:paraId="7EA704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52470CFA">
            <w:pPr>
              <w:widowControl/>
              <w:jc w:val="left"/>
              <w:rPr>
                <w:rFonts w:ascii="宋体" w:hAnsi="宋体" w:eastAsia="宋体" w:cs="宋体"/>
                <w:color w:val="auto"/>
                <w:kern w:val="0"/>
                <w:sz w:val="24"/>
                <w:lang w:bidi="ar"/>
              </w:rPr>
            </w:pPr>
            <w:r>
              <w:rPr>
                <w:rFonts w:hint="eastAsia" w:ascii="宋体" w:hAnsi="宋体" w:cs="宋体"/>
                <w:color w:val="auto"/>
                <w:kern w:val="0"/>
                <w:sz w:val="24"/>
                <w:lang w:bidi="ar"/>
              </w:rPr>
              <w:t>7、任务调度</w:t>
            </w:r>
          </w:p>
        </w:tc>
        <w:tc>
          <w:tcPr>
            <w:tcW w:w="623" w:type="dxa"/>
            <w:shd w:val="clear" w:color="auto" w:fill="auto"/>
            <w:vAlign w:val="center"/>
          </w:tcPr>
          <w:p w14:paraId="597CF7D0">
            <w:pPr>
              <w:widowControl/>
              <w:jc w:val="center"/>
              <w:rPr>
                <w:rFonts w:ascii="Calibri" w:hAnsi="Calibri" w:eastAsia="宋体" w:cs="Calibri"/>
                <w:color w:val="auto"/>
                <w:kern w:val="0"/>
                <w:sz w:val="24"/>
                <w:lang w:bidi="ar"/>
              </w:rPr>
            </w:pPr>
            <w:r>
              <w:rPr>
                <w:color w:val="auto"/>
                <w:sz w:val="24"/>
              </w:rPr>
              <w:t>2</w:t>
            </w:r>
          </w:p>
        </w:tc>
        <w:tc>
          <w:tcPr>
            <w:tcW w:w="6877" w:type="dxa"/>
            <w:shd w:val="clear" w:color="auto" w:fill="auto"/>
          </w:tcPr>
          <w:p w14:paraId="10B1CEFC">
            <w:pPr>
              <w:widowControl/>
              <w:jc w:val="left"/>
              <w:rPr>
                <w:rFonts w:ascii="宋体" w:hAnsi="宋体" w:eastAsia="宋体" w:cs="宋体"/>
                <w:color w:val="auto"/>
                <w:kern w:val="0"/>
                <w:sz w:val="24"/>
                <w:lang w:bidi="ar"/>
              </w:rPr>
            </w:pPr>
            <w:r>
              <w:rPr>
                <w:rFonts w:ascii="宋体" w:hAnsi="宋体" w:cs="宋体"/>
                <w:color w:val="auto"/>
                <w:sz w:val="24"/>
              </w:rPr>
              <w:t>根据投标人提供集成服务任务调度的建设方案评审，方案设计合理，技术可行性强，功能划分清晰，逻辑性强，得2分；方案设计较合理，技术可行性，功能划分较清晰，逻辑性较强，得</w:t>
            </w:r>
            <w:r>
              <w:rPr>
                <w:rFonts w:hint="eastAsia" w:ascii="宋体" w:hAnsi="宋体" w:cs="宋体"/>
                <w:color w:val="auto"/>
                <w:sz w:val="24"/>
              </w:rPr>
              <w:t>1</w:t>
            </w:r>
            <w:r>
              <w:rPr>
                <w:rFonts w:ascii="宋体" w:hAnsi="宋体" w:cs="宋体"/>
                <w:color w:val="auto"/>
                <w:sz w:val="24"/>
              </w:rPr>
              <w:t>分；方案设计简单，技术可行性一般，功能划分一般，逻辑性一般，得0.5分；方案设计可行性差、逻辑混乱或没有提供功能设计方案的不得分。</w:t>
            </w:r>
          </w:p>
        </w:tc>
      </w:tr>
      <w:tr w14:paraId="666703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45D2D3EF">
            <w:pPr>
              <w:widowControl/>
              <w:jc w:val="left"/>
              <w:textAlignment w:val="center"/>
              <w:rPr>
                <w:color w:val="auto"/>
                <w:sz w:val="24"/>
              </w:rPr>
            </w:pPr>
            <w:r>
              <w:rPr>
                <w:rFonts w:hint="eastAsia" w:ascii="宋体" w:hAnsi="宋体" w:eastAsia="宋体" w:cs="宋体"/>
                <w:color w:val="auto"/>
                <w:kern w:val="0"/>
                <w:sz w:val="24"/>
                <w:lang w:bidi="ar"/>
              </w:rPr>
              <w:t>8、公共服务系统</w:t>
            </w:r>
          </w:p>
        </w:tc>
        <w:tc>
          <w:tcPr>
            <w:tcW w:w="623" w:type="dxa"/>
            <w:shd w:val="clear" w:color="auto" w:fill="auto"/>
            <w:vAlign w:val="center"/>
          </w:tcPr>
          <w:p w14:paraId="6C512138">
            <w:pPr>
              <w:widowControl/>
              <w:jc w:val="center"/>
              <w:textAlignment w:val="center"/>
              <w:rPr>
                <w:color w:val="auto"/>
                <w:sz w:val="24"/>
              </w:rPr>
            </w:pPr>
            <w:r>
              <w:rPr>
                <w:rFonts w:ascii="Calibri" w:hAnsi="Calibri" w:eastAsia="宋体" w:cs="Calibri"/>
                <w:color w:val="auto"/>
                <w:kern w:val="0"/>
                <w:sz w:val="24"/>
                <w:lang w:bidi="ar"/>
              </w:rPr>
              <w:t>3</w:t>
            </w:r>
          </w:p>
        </w:tc>
        <w:tc>
          <w:tcPr>
            <w:tcW w:w="6877" w:type="dxa"/>
            <w:shd w:val="clear" w:color="auto" w:fill="auto"/>
            <w:vAlign w:val="center"/>
          </w:tcPr>
          <w:p w14:paraId="1EA62209">
            <w:pPr>
              <w:widowControl/>
              <w:jc w:val="left"/>
              <w:textAlignment w:val="center"/>
              <w:rPr>
                <w:color w:val="auto"/>
                <w:sz w:val="24"/>
              </w:rPr>
            </w:pPr>
            <w:r>
              <w:rPr>
                <w:rFonts w:hint="eastAsia" w:ascii="宋体" w:hAnsi="宋体" w:eastAsia="宋体" w:cs="宋体"/>
                <w:color w:val="auto"/>
                <w:kern w:val="0"/>
                <w:sz w:val="24"/>
                <w:lang w:bidi="ar"/>
              </w:rPr>
              <w:t>投标人对公共服务系统做出全面详细设计，方案设计合理，技术可行性强，功能划分清晰，逻辑性强，得3分；方案设计较合理，技术可行性，功能划分较清晰，逻辑性较强，得1分；方案设计简单，技术可行性一般，功能划分一般，逻辑性 一般，得0.5分；方案设计可行性差、逻辑混乱或没有提供功能设 计方案不得分。</w:t>
            </w:r>
          </w:p>
        </w:tc>
      </w:tr>
      <w:tr w14:paraId="072ADC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7361A9A4">
            <w:pPr>
              <w:widowControl/>
              <w:jc w:val="left"/>
              <w:textAlignment w:val="center"/>
              <w:rPr>
                <w:color w:val="auto"/>
                <w:sz w:val="24"/>
              </w:rPr>
            </w:pPr>
            <w:r>
              <w:rPr>
                <w:rFonts w:hint="eastAsia" w:ascii="宋体" w:hAnsi="宋体" w:eastAsia="宋体" w:cs="宋体"/>
                <w:color w:val="auto"/>
                <w:kern w:val="0"/>
                <w:sz w:val="24"/>
                <w:lang w:bidi="ar"/>
              </w:rPr>
              <w:t>9、指挥协调系统</w:t>
            </w:r>
          </w:p>
        </w:tc>
        <w:tc>
          <w:tcPr>
            <w:tcW w:w="623" w:type="dxa"/>
            <w:shd w:val="clear" w:color="auto" w:fill="auto"/>
            <w:vAlign w:val="center"/>
          </w:tcPr>
          <w:p w14:paraId="1D79F2EF">
            <w:pPr>
              <w:widowControl/>
              <w:jc w:val="center"/>
              <w:textAlignment w:val="center"/>
              <w:rPr>
                <w:color w:val="auto"/>
                <w:sz w:val="24"/>
              </w:rPr>
            </w:pPr>
            <w:r>
              <w:rPr>
                <w:rFonts w:ascii="Calibri" w:hAnsi="Calibri" w:eastAsia="宋体" w:cs="Calibri"/>
                <w:color w:val="auto"/>
                <w:kern w:val="0"/>
                <w:sz w:val="24"/>
                <w:lang w:bidi="ar"/>
              </w:rPr>
              <w:t>3</w:t>
            </w:r>
          </w:p>
        </w:tc>
        <w:tc>
          <w:tcPr>
            <w:tcW w:w="6877" w:type="dxa"/>
            <w:shd w:val="clear" w:color="auto" w:fill="auto"/>
            <w:vAlign w:val="center"/>
          </w:tcPr>
          <w:p w14:paraId="2D6B0836">
            <w:pPr>
              <w:widowControl/>
              <w:jc w:val="left"/>
              <w:textAlignment w:val="center"/>
              <w:rPr>
                <w:rFonts w:ascii="宋体" w:hAnsi="宋体" w:cs="宋体"/>
                <w:color w:val="auto"/>
                <w:sz w:val="24"/>
              </w:rPr>
            </w:pPr>
            <w:r>
              <w:rPr>
                <w:rFonts w:hint="eastAsia" w:ascii="宋体" w:hAnsi="宋体" w:eastAsia="宋体" w:cs="宋体"/>
                <w:color w:val="auto"/>
                <w:kern w:val="0"/>
                <w:sz w:val="24"/>
                <w:lang w:bidi="ar"/>
              </w:rPr>
              <w:t>投标人指挥协调系统做出全面详细设计，方案设计合理，技术可行性强，功能划分清晰，逻辑性强，得3分；方案设计较合理，技术可行性，功能划分较清晰，逻辑性较强，得1分；方案设计简单，技术可行性一般，功能划分一般，逻辑性 一般，得0.5分；方案设计可行性差、逻辑混乱或没有提供功能设 计方案不得分。</w:t>
            </w:r>
          </w:p>
        </w:tc>
      </w:tr>
      <w:tr w14:paraId="3346D3D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035A8904">
            <w:pPr>
              <w:widowControl/>
              <w:jc w:val="left"/>
              <w:textAlignment w:val="center"/>
              <w:rPr>
                <w:rFonts w:ascii="宋体" w:hAnsi="宋体" w:cs="宋体"/>
                <w:color w:val="auto"/>
                <w:kern w:val="0"/>
                <w:sz w:val="24"/>
                <w:lang w:bidi="ar"/>
              </w:rPr>
            </w:pPr>
            <w:r>
              <w:rPr>
                <w:rFonts w:hint="eastAsia" w:ascii="宋体" w:hAnsi="宋体" w:eastAsia="宋体" w:cs="宋体"/>
                <w:color w:val="auto"/>
                <w:kern w:val="0"/>
                <w:sz w:val="24"/>
                <w:lang w:bidi="ar"/>
              </w:rPr>
              <w:t>10、城市事件分类与标准</w:t>
            </w:r>
          </w:p>
        </w:tc>
        <w:tc>
          <w:tcPr>
            <w:tcW w:w="623" w:type="dxa"/>
            <w:shd w:val="clear" w:color="auto" w:fill="auto"/>
            <w:vAlign w:val="center"/>
          </w:tcPr>
          <w:p w14:paraId="07EB2E79">
            <w:pPr>
              <w:widowControl/>
              <w:jc w:val="center"/>
              <w:textAlignment w:val="center"/>
              <w:rPr>
                <w:color w:val="auto"/>
                <w:sz w:val="24"/>
              </w:rPr>
            </w:pPr>
            <w:r>
              <w:rPr>
                <w:rFonts w:ascii="Calibri" w:hAnsi="Calibri" w:eastAsia="宋体" w:cs="Calibri"/>
                <w:color w:val="auto"/>
                <w:kern w:val="0"/>
                <w:sz w:val="24"/>
                <w:lang w:bidi="ar"/>
              </w:rPr>
              <w:t>3</w:t>
            </w:r>
          </w:p>
        </w:tc>
        <w:tc>
          <w:tcPr>
            <w:tcW w:w="6877" w:type="dxa"/>
            <w:shd w:val="clear" w:color="auto" w:fill="auto"/>
            <w:vAlign w:val="center"/>
          </w:tcPr>
          <w:p w14:paraId="20401CA8">
            <w:pPr>
              <w:widowControl/>
              <w:jc w:val="left"/>
              <w:textAlignment w:val="center"/>
              <w:rPr>
                <w:rFonts w:ascii="宋体" w:hAnsi="宋体" w:cs="宋体"/>
                <w:color w:val="auto"/>
                <w:sz w:val="24"/>
              </w:rPr>
            </w:pPr>
            <w:r>
              <w:rPr>
                <w:rFonts w:hint="eastAsia" w:ascii="宋体" w:hAnsi="宋体" w:eastAsia="宋体" w:cs="宋体"/>
                <w:color w:val="auto"/>
                <w:kern w:val="0"/>
                <w:sz w:val="24"/>
                <w:lang w:bidi="ar"/>
              </w:rPr>
              <w:t>投标人对城市事件分类与标准做出全面详细设计，方案设计合理，技术可行性强，功能划分清晰，逻辑性强，得3分；方案设计较合理，技术可行性，功能划分较清晰，逻辑性较强，得1分；方案设计简单，技术可行性一般，功能划分一般，逻辑性 一般，得0.5分；方案设计可行性差、逻辑混乱或没有提供功能设 计方案不得分。</w:t>
            </w:r>
          </w:p>
        </w:tc>
      </w:tr>
      <w:tr w14:paraId="5C81FB8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4AEC25FF">
            <w:pPr>
              <w:widowControl/>
              <w:jc w:val="left"/>
              <w:textAlignment w:val="center"/>
              <w:rPr>
                <w:color w:val="auto"/>
                <w:sz w:val="24"/>
              </w:rPr>
            </w:pPr>
            <w:r>
              <w:rPr>
                <w:rFonts w:hint="eastAsia" w:ascii="宋体" w:hAnsi="宋体" w:eastAsia="宋体" w:cs="宋体"/>
                <w:color w:val="auto"/>
                <w:kern w:val="0"/>
                <w:sz w:val="24"/>
                <w:lang w:bidi="ar"/>
              </w:rPr>
              <w:t>11、网格微服务系统</w:t>
            </w:r>
          </w:p>
        </w:tc>
        <w:tc>
          <w:tcPr>
            <w:tcW w:w="623" w:type="dxa"/>
            <w:shd w:val="clear" w:color="auto" w:fill="auto"/>
            <w:vAlign w:val="center"/>
          </w:tcPr>
          <w:p w14:paraId="7DD6681F">
            <w:pPr>
              <w:widowControl/>
              <w:jc w:val="center"/>
              <w:textAlignment w:val="center"/>
              <w:rPr>
                <w:color w:val="auto"/>
                <w:sz w:val="24"/>
              </w:rPr>
            </w:pPr>
            <w:r>
              <w:rPr>
                <w:rFonts w:ascii="Calibri" w:hAnsi="Calibri" w:eastAsia="宋体" w:cs="Calibri"/>
                <w:color w:val="auto"/>
                <w:kern w:val="0"/>
                <w:sz w:val="24"/>
                <w:lang w:bidi="ar"/>
              </w:rPr>
              <w:t>3</w:t>
            </w:r>
          </w:p>
        </w:tc>
        <w:tc>
          <w:tcPr>
            <w:tcW w:w="6877" w:type="dxa"/>
            <w:shd w:val="clear" w:color="auto" w:fill="auto"/>
            <w:vAlign w:val="center"/>
          </w:tcPr>
          <w:p w14:paraId="03ABBEA9">
            <w:pPr>
              <w:widowControl/>
              <w:jc w:val="left"/>
              <w:textAlignment w:val="center"/>
              <w:rPr>
                <w:rFonts w:ascii="宋体" w:hAnsi="宋体" w:cs="宋体"/>
                <w:color w:val="auto"/>
                <w:sz w:val="24"/>
              </w:rPr>
            </w:pPr>
            <w:r>
              <w:rPr>
                <w:rFonts w:hint="eastAsia" w:ascii="宋体" w:hAnsi="宋体" w:eastAsia="宋体" w:cs="宋体"/>
                <w:color w:val="auto"/>
                <w:kern w:val="0"/>
                <w:sz w:val="24"/>
                <w:lang w:bidi="ar"/>
              </w:rPr>
              <w:t>投标人对网格微服务系统做出全面详细设计，方案设计合理，技术可行性强，功能划分清晰，逻辑性强，得3分；方案设计较合理，技术可行性，功能划分较清晰，逻辑性较强，得1分；方案设计简单，技术可行性一般，功能划分一般，逻辑性 一般，得0.5分；方案设计可行性差、逻辑混乱或没有提供功能设 计方案不得分。</w:t>
            </w:r>
          </w:p>
        </w:tc>
      </w:tr>
      <w:tr w14:paraId="0D9F5C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311F7FED">
            <w:pPr>
              <w:widowControl/>
              <w:jc w:val="left"/>
              <w:textAlignment w:val="center"/>
              <w:rPr>
                <w:color w:val="auto"/>
                <w:sz w:val="24"/>
              </w:rPr>
            </w:pPr>
            <w:r>
              <w:rPr>
                <w:rFonts w:hint="eastAsia" w:ascii="宋体" w:hAnsi="宋体" w:eastAsia="宋体" w:cs="宋体"/>
                <w:color w:val="auto"/>
                <w:kern w:val="0"/>
                <w:sz w:val="24"/>
                <w:lang w:bidi="ar"/>
              </w:rPr>
              <w:t>12、舆情监测系统</w:t>
            </w:r>
          </w:p>
        </w:tc>
        <w:tc>
          <w:tcPr>
            <w:tcW w:w="623" w:type="dxa"/>
            <w:shd w:val="clear" w:color="auto" w:fill="auto"/>
            <w:vAlign w:val="center"/>
          </w:tcPr>
          <w:p w14:paraId="72CC9BFB">
            <w:pPr>
              <w:widowControl/>
              <w:jc w:val="center"/>
              <w:textAlignment w:val="center"/>
              <w:rPr>
                <w:color w:val="auto"/>
                <w:sz w:val="24"/>
              </w:rPr>
            </w:pPr>
            <w:r>
              <w:rPr>
                <w:rFonts w:ascii="Calibri" w:hAnsi="Calibri" w:eastAsia="宋体" w:cs="Calibri"/>
                <w:color w:val="auto"/>
                <w:kern w:val="0"/>
                <w:sz w:val="24"/>
                <w:lang w:bidi="ar"/>
              </w:rPr>
              <w:t>3</w:t>
            </w:r>
          </w:p>
        </w:tc>
        <w:tc>
          <w:tcPr>
            <w:tcW w:w="6877" w:type="dxa"/>
            <w:shd w:val="clear" w:color="auto" w:fill="auto"/>
            <w:vAlign w:val="center"/>
          </w:tcPr>
          <w:p w14:paraId="24A8C79F">
            <w:pPr>
              <w:widowControl/>
              <w:jc w:val="left"/>
              <w:textAlignment w:val="center"/>
              <w:rPr>
                <w:rFonts w:ascii="宋体" w:hAnsi="宋体" w:cs="宋体"/>
                <w:color w:val="auto"/>
                <w:sz w:val="24"/>
              </w:rPr>
            </w:pPr>
            <w:r>
              <w:rPr>
                <w:rFonts w:hint="eastAsia" w:ascii="宋体" w:hAnsi="宋体" w:eastAsia="宋体" w:cs="宋体"/>
                <w:color w:val="auto"/>
                <w:kern w:val="0"/>
                <w:sz w:val="24"/>
                <w:lang w:bidi="ar"/>
              </w:rPr>
              <w:t>投标人对舆情监测系统做出全面详细设计，方案设计合理，技术可行性强，功能划分清晰，逻辑性强，得3分；方案设计较合理，技术可行性，功能划分较清晰，逻辑性较强，得1分；方案设计简单，技术可行性一般，功能划分一般，逻辑性 一般，得0.5分；方案设计可行性差、逻辑混乱或没有提供功能设 计方案不得分。</w:t>
            </w:r>
          </w:p>
        </w:tc>
      </w:tr>
      <w:tr w14:paraId="6C8D66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62B08095">
            <w:pPr>
              <w:widowControl/>
              <w:jc w:val="left"/>
              <w:textAlignment w:val="center"/>
              <w:rPr>
                <w:color w:val="auto"/>
                <w:sz w:val="24"/>
              </w:rPr>
            </w:pPr>
            <w:r>
              <w:rPr>
                <w:rFonts w:hint="eastAsia" w:ascii="宋体" w:hAnsi="宋体" w:eastAsia="宋体" w:cs="宋体"/>
                <w:color w:val="auto"/>
                <w:kern w:val="0"/>
                <w:sz w:val="24"/>
                <w:lang w:bidi="ar"/>
              </w:rPr>
              <w:t>13、城市自评价系统</w:t>
            </w:r>
          </w:p>
        </w:tc>
        <w:tc>
          <w:tcPr>
            <w:tcW w:w="623" w:type="dxa"/>
            <w:shd w:val="clear" w:color="auto" w:fill="auto"/>
            <w:vAlign w:val="center"/>
          </w:tcPr>
          <w:p w14:paraId="141A1C4B">
            <w:pPr>
              <w:widowControl/>
              <w:jc w:val="center"/>
              <w:textAlignment w:val="center"/>
              <w:rPr>
                <w:color w:val="auto"/>
                <w:sz w:val="24"/>
              </w:rPr>
            </w:pPr>
            <w:r>
              <w:rPr>
                <w:rFonts w:ascii="Calibri" w:hAnsi="Calibri" w:eastAsia="宋体" w:cs="Calibri"/>
                <w:color w:val="auto"/>
                <w:kern w:val="0"/>
                <w:sz w:val="24"/>
                <w:lang w:bidi="ar"/>
              </w:rPr>
              <w:t>3</w:t>
            </w:r>
          </w:p>
        </w:tc>
        <w:tc>
          <w:tcPr>
            <w:tcW w:w="6877" w:type="dxa"/>
            <w:shd w:val="clear" w:color="auto" w:fill="auto"/>
            <w:vAlign w:val="center"/>
          </w:tcPr>
          <w:p w14:paraId="7B3BD23D">
            <w:pPr>
              <w:widowControl/>
              <w:jc w:val="left"/>
              <w:textAlignment w:val="center"/>
              <w:rPr>
                <w:rFonts w:ascii="宋体" w:hAnsi="宋体" w:cs="宋体"/>
                <w:color w:val="auto"/>
                <w:sz w:val="24"/>
              </w:rPr>
            </w:pPr>
            <w:r>
              <w:rPr>
                <w:rFonts w:hint="eastAsia" w:ascii="宋体" w:hAnsi="宋体" w:eastAsia="宋体" w:cs="宋体"/>
                <w:color w:val="auto"/>
                <w:kern w:val="0"/>
                <w:sz w:val="24"/>
                <w:lang w:bidi="ar"/>
              </w:rPr>
              <w:t>投标人对城市自评价系统做出全面详细设计，方案设计合理，技术可行性强，功能划分清晰，逻辑性强，得3分；方案设计较合理，技术可行性，功能划分较清晰，逻辑性较强，得1分；方案设计简单，技术可行性一般，功能划分一般，逻辑性 一般，得0.5分；方案设计可行性差、逻辑混乱或没有提供功能设 计方案不得分。</w:t>
            </w:r>
          </w:p>
        </w:tc>
      </w:tr>
      <w:tr w14:paraId="2D20CF6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76422245">
            <w:pPr>
              <w:widowControl/>
              <w:jc w:val="left"/>
              <w:textAlignment w:val="center"/>
              <w:rPr>
                <w:color w:val="auto"/>
                <w:sz w:val="24"/>
              </w:rPr>
            </w:pPr>
            <w:r>
              <w:rPr>
                <w:rFonts w:hint="eastAsia" w:ascii="宋体" w:hAnsi="宋体" w:eastAsia="宋体" w:cs="宋体"/>
                <w:color w:val="auto"/>
                <w:kern w:val="0"/>
                <w:sz w:val="24"/>
                <w:lang w:bidi="ar"/>
              </w:rPr>
              <w:t>14、决策辅助中心系统</w:t>
            </w:r>
          </w:p>
        </w:tc>
        <w:tc>
          <w:tcPr>
            <w:tcW w:w="623" w:type="dxa"/>
            <w:shd w:val="clear" w:color="auto" w:fill="auto"/>
            <w:vAlign w:val="center"/>
          </w:tcPr>
          <w:p w14:paraId="2FABFDC6">
            <w:pPr>
              <w:widowControl/>
              <w:jc w:val="center"/>
              <w:textAlignment w:val="center"/>
              <w:rPr>
                <w:color w:val="auto"/>
                <w:sz w:val="24"/>
              </w:rPr>
            </w:pPr>
            <w:r>
              <w:rPr>
                <w:rFonts w:ascii="Calibri" w:hAnsi="Calibri" w:eastAsia="宋体" w:cs="Calibri"/>
                <w:color w:val="auto"/>
                <w:kern w:val="0"/>
                <w:sz w:val="24"/>
                <w:lang w:bidi="ar"/>
              </w:rPr>
              <w:t>3</w:t>
            </w:r>
          </w:p>
        </w:tc>
        <w:tc>
          <w:tcPr>
            <w:tcW w:w="6877" w:type="dxa"/>
            <w:shd w:val="clear" w:color="auto" w:fill="auto"/>
            <w:vAlign w:val="center"/>
          </w:tcPr>
          <w:p w14:paraId="7F61172A">
            <w:pPr>
              <w:widowControl/>
              <w:jc w:val="left"/>
              <w:textAlignment w:val="center"/>
              <w:rPr>
                <w:color w:val="auto"/>
                <w:sz w:val="24"/>
              </w:rPr>
            </w:pPr>
            <w:r>
              <w:rPr>
                <w:rFonts w:hint="eastAsia" w:ascii="宋体" w:hAnsi="宋体" w:eastAsia="宋体" w:cs="宋体"/>
                <w:color w:val="auto"/>
                <w:kern w:val="0"/>
                <w:sz w:val="24"/>
                <w:lang w:bidi="ar"/>
              </w:rPr>
              <w:t>投标人对决策辅助中心系统做出全面详细设计，方案设计合理，技术可行性强，功能划分清晰，逻辑性强，得3分；方案设计较合理，技术可行性，功能划分较清晰，逻辑性较强，得1分；方案设计简单，技术可行性一般，功能划分一般，逻辑性 一般，得0.5分；方案设计可行性差、逻辑混乱或没有提供功能设 计方案不得分。</w:t>
            </w:r>
          </w:p>
        </w:tc>
      </w:tr>
      <w:tr w14:paraId="42CD48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0CA8B880">
            <w:pPr>
              <w:widowControl/>
              <w:jc w:val="left"/>
              <w:textAlignment w:val="center"/>
              <w:rPr>
                <w:color w:val="auto"/>
                <w:sz w:val="24"/>
              </w:rPr>
            </w:pPr>
            <w:r>
              <w:rPr>
                <w:rFonts w:hint="eastAsia" w:ascii="宋体" w:hAnsi="宋体" w:eastAsia="宋体" w:cs="宋体"/>
                <w:color w:val="auto"/>
                <w:kern w:val="0"/>
                <w:sz w:val="24"/>
                <w:lang w:bidi="ar"/>
              </w:rPr>
              <w:t>15、城市运行监测系统</w:t>
            </w:r>
          </w:p>
        </w:tc>
        <w:tc>
          <w:tcPr>
            <w:tcW w:w="623" w:type="dxa"/>
            <w:shd w:val="clear" w:color="auto" w:fill="auto"/>
            <w:vAlign w:val="center"/>
          </w:tcPr>
          <w:p w14:paraId="01098ABE">
            <w:pPr>
              <w:widowControl/>
              <w:jc w:val="center"/>
              <w:textAlignment w:val="center"/>
              <w:rPr>
                <w:color w:val="auto"/>
                <w:sz w:val="24"/>
              </w:rPr>
            </w:pPr>
            <w:r>
              <w:rPr>
                <w:rFonts w:ascii="Calibri" w:hAnsi="Calibri" w:eastAsia="宋体" w:cs="Calibri"/>
                <w:color w:val="auto"/>
                <w:kern w:val="0"/>
                <w:sz w:val="24"/>
                <w:lang w:bidi="ar"/>
              </w:rPr>
              <w:t>3</w:t>
            </w:r>
          </w:p>
        </w:tc>
        <w:tc>
          <w:tcPr>
            <w:tcW w:w="6877" w:type="dxa"/>
            <w:shd w:val="clear" w:color="auto" w:fill="auto"/>
            <w:vAlign w:val="center"/>
          </w:tcPr>
          <w:p w14:paraId="20CB94DA">
            <w:pPr>
              <w:widowControl/>
              <w:jc w:val="left"/>
              <w:textAlignment w:val="center"/>
              <w:rPr>
                <w:color w:val="auto"/>
                <w:sz w:val="24"/>
              </w:rPr>
            </w:pPr>
            <w:r>
              <w:rPr>
                <w:rFonts w:hint="eastAsia" w:ascii="宋体" w:hAnsi="宋体" w:eastAsia="宋体" w:cs="宋体"/>
                <w:color w:val="auto"/>
                <w:kern w:val="0"/>
                <w:sz w:val="24"/>
                <w:lang w:bidi="ar"/>
              </w:rPr>
              <w:t>投标人对城市运行监测系统统做出全面详细设计，方案设计合理，技术可行性强，功能划分清晰，逻辑性强，得3分；方案设计较合理，技术可行性，功能划分较清晰，逻辑性较强，得1分；方案设计简单，技术可行性一般，功能划分一般，逻辑性一般，得0.5分；方案设计可行性差、逻辑混乱或没有提供功能设 计方案不得分。</w:t>
            </w:r>
          </w:p>
        </w:tc>
      </w:tr>
      <w:tr w14:paraId="0FF3EE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676246A8">
            <w:pPr>
              <w:widowControl/>
              <w:jc w:val="left"/>
              <w:textAlignment w:val="center"/>
              <w:rPr>
                <w:rFonts w:ascii="宋体" w:hAnsi="宋体" w:cs="宋体"/>
                <w:color w:val="auto"/>
                <w:kern w:val="0"/>
                <w:sz w:val="24"/>
                <w:lang w:bidi="ar"/>
              </w:rPr>
            </w:pPr>
            <w:r>
              <w:rPr>
                <w:rFonts w:hint="eastAsia" w:ascii="宋体" w:hAnsi="宋体" w:eastAsia="宋体" w:cs="宋体"/>
                <w:color w:val="auto"/>
                <w:kern w:val="0"/>
                <w:sz w:val="24"/>
                <w:lang w:bidi="ar"/>
              </w:rPr>
              <w:t>16、执行团队</w:t>
            </w:r>
          </w:p>
        </w:tc>
        <w:tc>
          <w:tcPr>
            <w:tcW w:w="623" w:type="dxa"/>
            <w:shd w:val="clear" w:color="auto" w:fill="auto"/>
            <w:vAlign w:val="center"/>
          </w:tcPr>
          <w:p w14:paraId="6F468C06">
            <w:pPr>
              <w:widowControl/>
              <w:jc w:val="center"/>
              <w:textAlignment w:val="center"/>
              <w:rPr>
                <w:color w:val="auto"/>
                <w:sz w:val="24"/>
              </w:rPr>
            </w:pPr>
            <w:r>
              <w:rPr>
                <w:rFonts w:ascii="Calibri" w:hAnsi="Calibri" w:eastAsia="宋体" w:cs="Calibri"/>
                <w:color w:val="auto"/>
                <w:kern w:val="0"/>
                <w:sz w:val="24"/>
                <w:lang w:bidi="ar"/>
              </w:rPr>
              <w:t>2</w:t>
            </w:r>
          </w:p>
        </w:tc>
        <w:tc>
          <w:tcPr>
            <w:tcW w:w="6877" w:type="dxa"/>
            <w:shd w:val="clear" w:color="auto" w:fill="auto"/>
            <w:vAlign w:val="center"/>
          </w:tcPr>
          <w:p w14:paraId="3EA7095F">
            <w:pPr>
              <w:widowControl/>
              <w:jc w:val="left"/>
              <w:textAlignment w:val="center"/>
              <w:rPr>
                <w:rFonts w:ascii="宋体" w:hAnsi="宋体" w:cs="宋体"/>
                <w:color w:val="auto"/>
                <w:sz w:val="24"/>
              </w:rPr>
            </w:pPr>
            <w:r>
              <w:rPr>
                <w:rFonts w:hint="eastAsia" w:ascii="宋体" w:hAnsi="宋体" w:eastAsia="宋体" w:cs="宋体"/>
                <w:color w:val="auto"/>
                <w:kern w:val="0"/>
                <w:sz w:val="24"/>
                <w:lang w:bidi="ar"/>
              </w:rPr>
              <w:t>根据各投标人提供本项目执行团队及团队架构完善程度及人员进度安排是否合理有等情况进行评议，项目执行团队人员配备数量充足、合理的得2分；项目执行团队人员配备充足，基本合理的得1分；项目团队人员配合较充足，团队构架不太合理的得0.5分；项目团队人员配合不够，团队构架不合理0分。</w:t>
            </w:r>
          </w:p>
        </w:tc>
      </w:tr>
      <w:tr w14:paraId="1C45338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3C9D3077">
            <w:pPr>
              <w:widowControl/>
              <w:jc w:val="left"/>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17、人员1</w:t>
            </w:r>
          </w:p>
        </w:tc>
        <w:tc>
          <w:tcPr>
            <w:tcW w:w="623" w:type="dxa"/>
            <w:shd w:val="clear" w:color="auto" w:fill="auto"/>
            <w:vAlign w:val="center"/>
          </w:tcPr>
          <w:p w14:paraId="7248F053">
            <w:pPr>
              <w:widowControl/>
              <w:jc w:val="center"/>
              <w:textAlignment w:val="center"/>
              <w:rPr>
                <w:rFonts w:ascii="Calibri" w:hAnsi="Calibri" w:eastAsia="宋体" w:cs="Calibri"/>
                <w:color w:val="auto"/>
                <w:kern w:val="0"/>
                <w:sz w:val="24"/>
                <w:lang w:bidi="ar"/>
              </w:rPr>
            </w:pPr>
            <w:r>
              <w:rPr>
                <w:rFonts w:ascii="Calibri" w:hAnsi="Calibri" w:eastAsia="宋体" w:cs="Calibri"/>
                <w:color w:val="auto"/>
                <w:kern w:val="0"/>
                <w:sz w:val="24"/>
                <w:lang w:bidi="ar"/>
              </w:rPr>
              <w:t>1</w:t>
            </w:r>
          </w:p>
        </w:tc>
        <w:tc>
          <w:tcPr>
            <w:tcW w:w="6877" w:type="dxa"/>
            <w:shd w:val="clear" w:color="auto" w:fill="auto"/>
            <w:vAlign w:val="center"/>
          </w:tcPr>
          <w:p w14:paraId="4B66155E">
            <w:pPr>
              <w:widowControl/>
              <w:jc w:val="left"/>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投标人提供的项目经理同时具有信息系统项目管理师证书和PMP证书的得1分。投标人须提供有效的证书复印件并加盖投标人公章以及项目经理投标截止时间前三个月（不含投标截止时间的当月）中任一月份的社会保险缴纳凭据复印件，否则不得分。</w:t>
            </w:r>
          </w:p>
        </w:tc>
      </w:tr>
      <w:tr w14:paraId="361CA15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411CA52A">
            <w:pPr>
              <w:widowControl/>
              <w:jc w:val="left"/>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18、人员2</w:t>
            </w:r>
          </w:p>
        </w:tc>
        <w:tc>
          <w:tcPr>
            <w:tcW w:w="623" w:type="dxa"/>
            <w:shd w:val="clear" w:color="auto" w:fill="auto"/>
            <w:vAlign w:val="center"/>
          </w:tcPr>
          <w:p w14:paraId="035C68FC">
            <w:pPr>
              <w:widowControl/>
              <w:jc w:val="center"/>
              <w:textAlignment w:val="center"/>
              <w:rPr>
                <w:rFonts w:ascii="宋体" w:hAnsi="宋体" w:eastAsia="宋体" w:cs="宋体"/>
                <w:color w:val="auto"/>
                <w:kern w:val="0"/>
                <w:sz w:val="24"/>
                <w:lang w:bidi="ar"/>
              </w:rPr>
            </w:pPr>
            <w:r>
              <w:rPr>
                <w:rFonts w:ascii="宋体" w:hAnsi="宋体" w:eastAsia="宋体" w:cs="宋体"/>
                <w:color w:val="auto"/>
                <w:kern w:val="0"/>
                <w:sz w:val="24"/>
                <w:lang w:bidi="ar"/>
              </w:rPr>
              <w:t>1</w:t>
            </w:r>
          </w:p>
        </w:tc>
        <w:tc>
          <w:tcPr>
            <w:tcW w:w="6877" w:type="dxa"/>
            <w:shd w:val="clear" w:color="auto" w:fill="auto"/>
            <w:vAlign w:val="center"/>
          </w:tcPr>
          <w:p w14:paraId="705FCBFB">
            <w:pPr>
              <w:widowControl/>
              <w:jc w:val="left"/>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拟投入本项目的网络工程师同时具有网络规划设计师、CCIE 证书，全都具备得 1 分，有其中一项得 0.5 分，都不具备不得分。</w:t>
            </w:r>
          </w:p>
        </w:tc>
      </w:tr>
      <w:tr w14:paraId="30D95E0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18AC0791">
            <w:pPr>
              <w:widowControl/>
              <w:jc w:val="left"/>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19、人员3</w:t>
            </w:r>
          </w:p>
        </w:tc>
        <w:tc>
          <w:tcPr>
            <w:tcW w:w="623" w:type="dxa"/>
            <w:shd w:val="clear" w:color="auto" w:fill="auto"/>
            <w:vAlign w:val="center"/>
          </w:tcPr>
          <w:p w14:paraId="2263B2C4">
            <w:pPr>
              <w:widowControl/>
              <w:jc w:val="center"/>
              <w:textAlignment w:val="center"/>
              <w:rPr>
                <w:rFonts w:ascii="宋体" w:hAnsi="宋体" w:eastAsia="宋体" w:cs="宋体"/>
                <w:color w:val="auto"/>
                <w:kern w:val="0"/>
                <w:sz w:val="24"/>
                <w:lang w:bidi="ar"/>
              </w:rPr>
            </w:pPr>
            <w:r>
              <w:rPr>
                <w:rFonts w:ascii="宋体" w:hAnsi="宋体" w:eastAsia="宋体" w:cs="宋体"/>
                <w:color w:val="auto"/>
                <w:kern w:val="0"/>
                <w:sz w:val="24"/>
                <w:lang w:bidi="ar"/>
              </w:rPr>
              <w:t>1</w:t>
            </w:r>
          </w:p>
        </w:tc>
        <w:tc>
          <w:tcPr>
            <w:tcW w:w="6877" w:type="dxa"/>
            <w:shd w:val="clear" w:color="auto" w:fill="auto"/>
            <w:vAlign w:val="center"/>
          </w:tcPr>
          <w:p w14:paraId="626E6E74">
            <w:pPr>
              <w:widowControl/>
              <w:jc w:val="left"/>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拟投入本项目的信息安全工程师同时具有 CISP 证书、系统集成项目管理工程师，全都具备得 1 分，有其中一项得 0.5 分，都不具备不得分。</w:t>
            </w:r>
          </w:p>
        </w:tc>
      </w:tr>
      <w:tr w14:paraId="543131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211C856B">
            <w:pPr>
              <w:widowControl/>
              <w:jc w:val="left"/>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20、人员4</w:t>
            </w:r>
          </w:p>
        </w:tc>
        <w:tc>
          <w:tcPr>
            <w:tcW w:w="623" w:type="dxa"/>
            <w:shd w:val="clear" w:color="auto" w:fill="auto"/>
            <w:vAlign w:val="center"/>
          </w:tcPr>
          <w:p w14:paraId="5670D16E">
            <w:pPr>
              <w:widowControl/>
              <w:jc w:val="center"/>
              <w:textAlignment w:val="center"/>
              <w:rPr>
                <w:rFonts w:ascii="宋体" w:hAnsi="宋体" w:eastAsia="宋体" w:cs="宋体"/>
                <w:color w:val="auto"/>
                <w:kern w:val="0"/>
                <w:sz w:val="24"/>
                <w:lang w:bidi="ar"/>
              </w:rPr>
            </w:pPr>
            <w:r>
              <w:rPr>
                <w:rFonts w:hint="eastAsia" w:ascii="Calibri" w:hAnsi="Calibri" w:eastAsia="宋体" w:cs="Calibri"/>
                <w:color w:val="auto"/>
                <w:kern w:val="0"/>
                <w:sz w:val="24"/>
                <w:lang w:bidi="ar"/>
              </w:rPr>
              <w:t>1</w:t>
            </w:r>
          </w:p>
        </w:tc>
        <w:tc>
          <w:tcPr>
            <w:tcW w:w="6877" w:type="dxa"/>
            <w:shd w:val="clear" w:color="auto" w:fill="auto"/>
            <w:vAlign w:val="center"/>
          </w:tcPr>
          <w:p w14:paraId="354EA723">
            <w:pPr>
              <w:widowControl/>
              <w:jc w:val="left"/>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投标人提供的项目组团队（除项目经理、网络工程师、信息安全工程师外的其他人员）具有注册信息安全专业人员（CISP）证书的，每提供一人得0.5分，最高得1分。</w:t>
            </w:r>
          </w:p>
        </w:tc>
      </w:tr>
      <w:tr w14:paraId="29CC6D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21" w:type="dxa"/>
            <w:shd w:val="clear" w:color="auto" w:fill="auto"/>
            <w:vAlign w:val="center"/>
          </w:tcPr>
          <w:p w14:paraId="6862DB91">
            <w:pPr>
              <w:widowControl/>
              <w:jc w:val="left"/>
              <w:textAlignment w:val="center"/>
              <w:rPr>
                <w:rFonts w:ascii="宋体" w:hAnsi="宋体" w:cs="宋体"/>
                <w:color w:val="auto"/>
                <w:kern w:val="0"/>
                <w:sz w:val="24"/>
                <w:lang w:bidi="ar"/>
              </w:rPr>
            </w:pPr>
            <w:r>
              <w:rPr>
                <w:rFonts w:hint="eastAsia" w:ascii="宋体" w:hAnsi="宋体" w:eastAsia="宋体" w:cs="宋体"/>
                <w:color w:val="auto"/>
                <w:kern w:val="0"/>
                <w:sz w:val="24"/>
                <w:lang w:bidi="ar"/>
              </w:rPr>
              <w:t>21、技术培训</w:t>
            </w:r>
          </w:p>
        </w:tc>
        <w:tc>
          <w:tcPr>
            <w:tcW w:w="623" w:type="dxa"/>
            <w:shd w:val="clear" w:color="auto" w:fill="auto"/>
            <w:vAlign w:val="center"/>
          </w:tcPr>
          <w:p w14:paraId="08ABC0F5">
            <w:pPr>
              <w:widowControl/>
              <w:jc w:val="center"/>
              <w:textAlignment w:val="center"/>
              <w:rPr>
                <w:color w:val="auto"/>
                <w:sz w:val="24"/>
              </w:rPr>
            </w:pPr>
            <w:r>
              <w:rPr>
                <w:rFonts w:hint="eastAsia" w:ascii="Calibri" w:hAnsi="Calibri" w:eastAsia="宋体" w:cs="Calibri"/>
                <w:color w:val="auto"/>
                <w:kern w:val="0"/>
                <w:sz w:val="24"/>
                <w:lang w:bidi="ar"/>
              </w:rPr>
              <w:t>2.5</w:t>
            </w:r>
          </w:p>
        </w:tc>
        <w:tc>
          <w:tcPr>
            <w:tcW w:w="6877" w:type="dxa"/>
            <w:shd w:val="clear" w:color="auto" w:fill="auto"/>
            <w:vAlign w:val="center"/>
          </w:tcPr>
          <w:p w14:paraId="0CB44036">
            <w:pPr>
              <w:widowControl/>
              <w:jc w:val="left"/>
              <w:textAlignment w:val="center"/>
              <w:rPr>
                <w:color w:val="auto"/>
                <w:sz w:val="24"/>
              </w:rPr>
            </w:pPr>
            <w:r>
              <w:rPr>
                <w:rFonts w:hint="eastAsia" w:ascii="宋体" w:hAnsi="宋体" w:eastAsia="宋体" w:cs="宋体"/>
                <w:color w:val="auto"/>
                <w:kern w:val="0"/>
                <w:sz w:val="24"/>
                <w:lang w:bidi="ar"/>
              </w:rPr>
              <w:t>根据投标人的投标文件中对采购人的管理人员、操作人员及维护人员进行培训、学术支持等情况，由评委进行评分：培训计划承诺内容符合实际、合理得2.5分；培训计划承诺内容较符合实际、较合理得2分；培训计划承诺内容一般得1分；未提供或培训计划承诺内容不合理的不得分。</w:t>
            </w:r>
          </w:p>
        </w:tc>
      </w:tr>
    </w:tbl>
    <w:p w14:paraId="44BBF651">
      <w:pPr>
        <w:pStyle w:val="27"/>
        <w:widowControl/>
        <w:ind w:firstLine="480"/>
        <w:rPr>
          <w:color w:val="auto"/>
        </w:rPr>
      </w:pPr>
      <w:r>
        <w:rPr>
          <w:rFonts w:hint="eastAsia" w:ascii="宋体" w:hAnsi="宋体" w:eastAsia="宋体" w:cs="宋体"/>
          <w:color w:val="auto"/>
        </w:rPr>
        <w:t>③商务项（</w:t>
      </w:r>
      <w:r>
        <w:rPr>
          <w:rFonts w:ascii="Calibri" w:hAnsi="Calibri" w:eastAsia="宋体" w:cs="Calibri"/>
          <w:color w:val="auto"/>
        </w:rPr>
        <w:t>F3</w:t>
      </w:r>
      <w:r>
        <w:rPr>
          <w:rFonts w:hint="eastAsia" w:ascii="宋体" w:hAnsi="宋体" w:eastAsia="宋体" w:cs="宋体"/>
          <w:color w:val="auto"/>
        </w:rPr>
        <w:t>×</w:t>
      </w:r>
      <w:r>
        <w:rPr>
          <w:rFonts w:ascii="Calibri" w:hAnsi="Calibri" w:eastAsia="宋体" w:cs="Calibri"/>
          <w:color w:val="auto"/>
        </w:rPr>
        <w:t>A3</w:t>
      </w:r>
      <w:r>
        <w:rPr>
          <w:rFonts w:hint="eastAsia" w:ascii="宋体" w:hAnsi="宋体" w:eastAsia="宋体" w:cs="宋体"/>
          <w:color w:val="auto"/>
        </w:rPr>
        <w:t>）满分为</w:t>
      </w:r>
      <w:r>
        <w:rPr>
          <w:rFonts w:hint="eastAsia" w:ascii="宋体" w:hAnsi="宋体" w:eastAsia="宋体" w:cs="宋体"/>
          <w:color w:val="auto"/>
          <w:u w:val="single"/>
        </w:rPr>
        <w:t>25</w:t>
      </w:r>
      <w:r>
        <w:rPr>
          <w:rFonts w:hint="eastAsia" w:ascii="宋体" w:hAnsi="宋体" w:eastAsia="宋体" w:cs="宋体"/>
          <w:color w:val="auto"/>
        </w:rPr>
        <w:t>分。</w:t>
      </w:r>
    </w:p>
    <w:tbl>
      <w:tblPr>
        <w:tblStyle w:val="30"/>
        <w:tblW w:w="831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89"/>
        <w:gridCol w:w="622"/>
        <w:gridCol w:w="6804"/>
      </w:tblGrid>
      <w:tr w14:paraId="015DA8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2" w:hRule="atLeast"/>
          <w:tblHeader/>
          <w:tblCellSpacing w:w="0" w:type="dxa"/>
        </w:trPr>
        <w:tc>
          <w:tcPr>
            <w:tcW w:w="889" w:type="dxa"/>
            <w:shd w:val="clear" w:color="auto" w:fill="auto"/>
            <w:vAlign w:val="center"/>
          </w:tcPr>
          <w:p w14:paraId="290F7FEF">
            <w:pPr>
              <w:widowControl/>
              <w:jc w:val="center"/>
              <w:rPr>
                <w:rFonts w:ascii="宋体" w:hAnsi="宋体" w:eastAsia="宋体" w:cs="宋体"/>
                <w:color w:val="auto"/>
                <w:kern w:val="0"/>
                <w:sz w:val="24"/>
                <w:lang w:bidi="ar"/>
              </w:rPr>
            </w:pPr>
            <w:r>
              <w:rPr>
                <w:rFonts w:ascii="宋体" w:hAnsi="宋体" w:eastAsia="宋体" w:cs="宋体"/>
                <w:color w:val="auto"/>
                <w:kern w:val="0"/>
                <w:sz w:val="24"/>
                <w:lang w:bidi="ar"/>
              </w:rPr>
              <w:t>评标</w:t>
            </w:r>
          </w:p>
          <w:p w14:paraId="738B9160">
            <w:pPr>
              <w:widowControl/>
              <w:jc w:val="center"/>
              <w:rPr>
                <w:color w:val="auto"/>
                <w:sz w:val="24"/>
              </w:rPr>
            </w:pPr>
            <w:r>
              <w:rPr>
                <w:rFonts w:ascii="宋体" w:hAnsi="宋体" w:eastAsia="宋体" w:cs="宋体"/>
                <w:color w:val="auto"/>
                <w:kern w:val="0"/>
                <w:sz w:val="24"/>
                <w:lang w:bidi="ar"/>
              </w:rPr>
              <w:t>项目</w:t>
            </w:r>
          </w:p>
        </w:tc>
        <w:tc>
          <w:tcPr>
            <w:tcW w:w="622" w:type="dxa"/>
            <w:shd w:val="clear" w:color="auto" w:fill="auto"/>
            <w:vAlign w:val="center"/>
          </w:tcPr>
          <w:p w14:paraId="6EB685CC">
            <w:pPr>
              <w:widowControl/>
              <w:jc w:val="center"/>
              <w:rPr>
                <w:color w:val="auto"/>
                <w:sz w:val="24"/>
              </w:rPr>
            </w:pPr>
            <w:r>
              <w:rPr>
                <w:rFonts w:ascii="宋体" w:hAnsi="宋体" w:eastAsia="宋体" w:cs="宋体"/>
                <w:color w:val="auto"/>
                <w:kern w:val="0"/>
                <w:sz w:val="24"/>
                <w:lang w:bidi="ar"/>
              </w:rPr>
              <w:t>评标分值</w:t>
            </w:r>
          </w:p>
        </w:tc>
        <w:tc>
          <w:tcPr>
            <w:tcW w:w="6804" w:type="dxa"/>
            <w:shd w:val="clear" w:color="auto" w:fill="auto"/>
            <w:vAlign w:val="center"/>
          </w:tcPr>
          <w:p w14:paraId="07956B35">
            <w:pPr>
              <w:widowControl/>
              <w:jc w:val="center"/>
              <w:rPr>
                <w:color w:val="auto"/>
                <w:sz w:val="24"/>
              </w:rPr>
            </w:pPr>
            <w:r>
              <w:rPr>
                <w:rFonts w:ascii="宋体" w:hAnsi="宋体" w:eastAsia="宋体" w:cs="宋体"/>
                <w:color w:val="auto"/>
                <w:kern w:val="0"/>
                <w:sz w:val="24"/>
                <w:lang w:bidi="ar"/>
              </w:rPr>
              <w:t>评标方法描述</w:t>
            </w:r>
          </w:p>
        </w:tc>
      </w:tr>
      <w:tr w14:paraId="39828A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889" w:type="dxa"/>
            <w:shd w:val="clear" w:color="auto" w:fill="auto"/>
            <w:vAlign w:val="center"/>
          </w:tcPr>
          <w:p w14:paraId="7A91766D">
            <w:pPr>
              <w:widowControl/>
              <w:jc w:val="left"/>
              <w:rPr>
                <w:rFonts w:ascii="宋体" w:hAnsi="宋体" w:eastAsia="宋体" w:cs="宋体"/>
                <w:strike/>
                <w:color w:val="auto"/>
                <w:kern w:val="0"/>
                <w:sz w:val="24"/>
                <w:lang w:bidi="ar"/>
              </w:rPr>
            </w:pPr>
            <w:r>
              <w:rPr>
                <w:rFonts w:ascii="宋体" w:hAnsi="宋体" w:eastAsia="宋体" w:cs="宋体"/>
                <w:color w:val="auto"/>
                <w:kern w:val="0"/>
                <w:sz w:val="24"/>
                <w:lang w:bidi="ar"/>
              </w:rPr>
              <w:t>1、综合实力1</w:t>
            </w:r>
          </w:p>
        </w:tc>
        <w:tc>
          <w:tcPr>
            <w:tcW w:w="622" w:type="dxa"/>
            <w:shd w:val="clear" w:color="auto" w:fill="auto"/>
            <w:vAlign w:val="center"/>
          </w:tcPr>
          <w:p w14:paraId="5984E203">
            <w:pPr>
              <w:widowControl/>
              <w:jc w:val="center"/>
              <w:rPr>
                <w:rFonts w:ascii="宋体" w:hAnsi="宋体" w:eastAsia="宋体" w:cs="宋体"/>
                <w:strike/>
                <w:color w:val="auto"/>
                <w:kern w:val="0"/>
                <w:sz w:val="24"/>
                <w:lang w:bidi="ar"/>
              </w:rPr>
            </w:pPr>
            <w:r>
              <w:rPr>
                <w:rFonts w:hint="eastAsia" w:ascii="宋体" w:hAnsi="宋体" w:eastAsia="宋体" w:cs="宋体"/>
                <w:color w:val="auto"/>
                <w:kern w:val="0"/>
                <w:sz w:val="24"/>
                <w:lang w:bidi="ar"/>
              </w:rPr>
              <w:t>2</w:t>
            </w:r>
          </w:p>
        </w:tc>
        <w:tc>
          <w:tcPr>
            <w:tcW w:w="6804" w:type="dxa"/>
            <w:shd w:val="clear" w:color="auto" w:fill="auto"/>
            <w:vAlign w:val="center"/>
          </w:tcPr>
          <w:p w14:paraId="251E9717">
            <w:pPr>
              <w:widowControl/>
              <w:jc w:val="left"/>
              <w:rPr>
                <w:rFonts w:ascii="宋体" w:hAnsi="宋体" w:eastAsia="宋体" w:cs="宋体"/>
                <w:strike/>
                <w:color w:val="auto"/>
                <w:kern w:val="0"/>
                <w:sz w:val="24"/>
                <w:lang w:bidi="ar"/>
              </w:rPr>
            </w:pPr>
            <w:r>
              <w:rPr>
                <w:rFonts w:hint="eastAsia" w:ascii="宋体" w:hAnsi="宋体" w:eastAsia="宋体" w:cs="宋体"/>
                <w:color w:val="auto"/>
                <w:kern w:val="0"/>
                <w:sz w:val="24"/>
                <w:lang w:bidi="ar"/>
              </w:rPr>
              <w:t>投标人具有有效的ISO27001信息安全管理认证、ISO20000信息技术服务管理体系认证、ISO45001职业健康安全管理体系认证、ISO14001环境管理体系认证，每提供1项得0.5分，最多得2分。 （投标人需提供有效证书复印件。)</w:t>
            </w:r>
          </w:p>
        </w:tc>
      </w:tr>
      <w:tr w14:paraId="05BF6B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trPr>
        <w:tc>
          <w:tcPr>
            <w:tcW w:w="889" w:type="dxa"/>
            <w:shd w:val="clear" w:color="auto" w:fill="auto"/>
            <w:vAlign w:val="center"/>
          </w:tcPr>
          <w:p w14:paraId="78D2C5F1">
            <w:pPr>
              <w:widowControl/>
              <w:jc w:val="left"/>
              <w:textAlignment w:val="center"/>
              <w:rPr>
                <w:color w:val="auto"/>
                <w:sz w:val="24"/>
              </w:rPr>
            </w:pPr>
            <w:r>
              <w:rPr>
                <w:rFonts w:hint="eastAsia" w:ascii="宋体" w:hAnsi="宋体" w:eastAsia="宋体" w:cs="宋体"/>
                <w:color w:val="auto"/>
                <w:kern w:val="0"/>
                <w:sz w:val="24"/>
                <w:lang w:bidi="ar"/>
              </w:rPr>
              <w:t>2、企业资质2</w:t>
            </w:r>
          </w:p>
        </w:tc>
        <w:tc>
          <w:tcPr>
            <w:tcW w:w="622" w:type="dxa"/>
            <w:shd w:val="clear" w:color="auto" w:fill="auto"/>
            <w:vAlign w:val="center"/>
          </w:tcPr>
          <w:p w14:paraId="3AAADBFD">
            <w:pPr>
              <w:widowControl/>
              <w:jc w:val="center"/>
              <w:textAlignment w:val="center"/>
              <w:rPr>
                <w:color w:val="auto"/>
                <w:sz w:val="24"/>
              </w:rPr>
            </w:pPr>
            <w:r>
              <w:rPr>
                <w:rFonts w:hint="eastAsia" w:ascii="宋体" w:hAnsi="宋体" w:eastAsia="宋体" w:cs="宋体"/>
                <w:color w:val="auto"/>
                <w:kern w:val="0"/>
                <w:sz w:val="24"/>
                <w:lang w:bidi="ar"/>
              </w:rPr>
              <w:t>1</w:t>
            </w:r>
          </w:p>
        </w:tc>
        <w:tc>
          <w:tcPr>
            <w:tcW w:w="6804" w:type="dxa"/>
            <w:shd w:val="clear" w:color="auto" w:fill="auto"/>
            <w:vAlign w:val="center"/>
          </w:tcPr>
          <w:p w14:paraId="0339FBFF">
            <w:pPr>
              <w:widowControl/>
              <w:jc w:val="left"/>
              <w:textAlignment w:val="center"/>
              <w:rPr>
                <w:color w:val="auto"/>
                <w:sz w:val="24"/>
              </w:rPr>
            </w:pPr>
            <w:r>
              <w:rPr>
                <w:rFonts w:hint="eastAsia" w:ascii="宋体" w:hAnsi="宋体" w:eastAsia="宋体" w:cs="宋体"/>
                <w:color w:val="auto"/>
                <w:kern w:val="0"/>
                <w:sz w:val="24"/>
                <w:lang w:bidi="ar"/>
              </w:rPr>
              <w:t>投标人具有有效的ITSS信息技术服务运行维护标准符合性认证证书，得1分。。（投标人需提供证书复印件。)</w:t>
            </w:r>
          </w:p>
        </w:tc>
      </w:tr>
      <w:tr w14:paraId="17CE83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04BFE7D4">
            <w:pPr>
              <w:widowControl/>
              <w:jc w:val="left"/>
              <w:textAlignment w:val="center"/>
              <w:rPr>
                <w:color w:val="auto"/>
                <w:sz w:val="24"/>
              </w:rPr>
            </w:pPr>
            <w:r>
              <w:rPr>
                <w:rFonts w:hint="eastAsia" w:ascii="宋体" w:hAnsi="宋体" w:eastAsia="宋体" w:cs="宋体"/>
                <w:color w:val="auto"/>
                <w:kern w:val="0"/>
                <w:sz w:val="24"/>
                <w:lang w:bidi="ar"/>
              </w:rPr>
              <w:t>3、企业资质3</w:t>
            </w:r>
          </w:p>
        </w:tc>
        <w:tc>
          <w:tcPr>
            <w:tcW w:w="622" w:type="dxa"/>
            <w:shd w:val="clear" w:color="auto" w:fill="auto"/>
            <w:vAlign w:val="center"/>
          </w:tcPr>
          <w:p w14:paraId="2D628B8B">
            <w:pPr>
              <w:widowControl/>
              <w:jc w:val="center"/>
              <w:textAlignment w:val="center"/>
              <w:rPr>
                <w:color w:val="auto"/>
                <w:sz w:val="24"/>
              </w:rPr>
            </w:pPr>
            <w:r>
              <w:rPr>
                <w:rFonts w:hint="eastAsia" w:ascii="宋体" w:hAnsi="宋体" w:eastAsia="宋体" w:cs="宋体"/>
                <w:color w:val="auto"/>
                <w:kern w:val="0"/>
                <w:sz w:val="24"/>
                <w:lang w:bidi="ar"/>
              </w:rPr>
              <w:t>1</w:t>
            </w:r>
          </w:p>
        </w:tc>
        <w:tc>
          <w:tcPr>
            <w:tcW w:w="6804" w:type="dxa"/>
            <w:shd w:val="clear" w:color="auto" w:fill="auto"/>
            <w:vAlign w:val="center"/>
          </w:tcPr>
          <w:p w14:paraId="048754AD">
            <w:pPr>
              <w:widowControl/>
              <w:jc w:val="left"/>
              <w:textAlignment w:val="center"/>
              <w:rPr>
                <w:color w:val="auto"/>
                <w:sz w:val="24"/>
              </w:rPr>
            </w:pPr>
            <w:r>
              <w:rPr>
                <w:rFonts w:hint="eastAsia" w:ascii="宋体" w:hAnsi="宋体" w:eastAsia="宋体" w:cs="宋体"/>
                <w:color w:val="auto"/>
                <w:kern w:val="0"/>
                <w:sz w:val="24"/>
                <w:lang w:bidi="ar"/>
              </w:rPr>
              <w:t>投标人具有有效的CCRC信息安全服务资质证书的，得1分。（投标人需提供证书复印件。)</w:t>
            </w:r>
          </w:p>
        </w:tc>
      </w:tr>
      <w:tr w14:paraId="310740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043E1340">
            <w:pPr>
              <w:widowControl/>
              <w:jc w:val="left"/>
              <w:textAlignment w:val="center"/>
              <w:rPr>
                <w:color w:val="auto"/>
                <w:sz w:val="24"/>
              </w:rPr>
            </w:pPr>
            <w:r>
              <w:rPr>
                <w:rFonts w:hint="eastAsia" w:ascii="宋体" w:hAnsi="宋体" w:eastAsia="宋体" w:cs="宋体"/>
                <w:color w:val="auto"/>
                <w:kern w:val="0"/>
                <w:sz w:val="24"/>
                <w:lang w:bidi="ar"/>
              </w:rPr>
              <w:t>4、企业资质4</w:t>
            </w:r>
          </w:p>
        </w:tc>
        <w:tc>
          <w:tcPr>
            <w:tcW w:w="622" w:type="dxa"/>
            <w:shd w:val="clear" w:color="auto" w:fill="auto"/>
            <w:vAlign w:val="center"/>
          </w:tcPr>
          <w:p w14:paraId="395832EE">
            <w:pPr>
              <w:widowControl/>
              <w:jc w:val="center"/>
              <w:textAlignment w:val="center"/>
              <w:rPr>
                <w:color w:val="auto"/>
                <w:sz w:val="24"/>
              </w:rPr>
            </w:pPr>
            <w:r>
              <w:rPr>
                <w:rFonts w:hint="eastAsia" w:ascii="宋体" w:hAnsi="宋体" w:eastAsia="宋体" w:cs="宋体"/>
                <w:color w:val="auto"/>
                <w:kern w:val="0"/>
                <w:sz w:val="24"/>
                <w:lang w:bidi="ar"/>
              </w:rPr>
              <w:t>1</w:t>
            </w:r>
          </w:p>
        </w:tc>
        <w:tc>
          <w:tcPr>
            <w:tcW w:w="6804" w:type="dxa"/>
            <w:shd w:val="clear" w:color="auto" w:fill="auto"/>
            <w:vAlign w:val="center"/>
          </w:tcPr>
          <w:p w14:paraId="4274B937">
            <w:pPr>
              <w:widowControl/>
              <w:jc w:val="left"/>
              <w:textAlignment w:val="center"/>
              <w:rPr>
                <w:color w:val="auto"/>
                <w:sz w:val="24"/>
              </w:rPr>
            </w:pPr>
            <w:r>
              <w:rPr>
                <w:rFonts w:hint="eastAsia" w:ascii="宋体" w:hAnsi="宋体" w:eastAsia="宋体" w:cs="宋体"/>
                <w:color w:val="auto"/>
                <w:kern w:val="0"/>
                <w:sz w:val="24"/>
                <w:lang w:bidi="ar"/>
              </w:rPr>
              <w:t>投标人具有信息系统建设和服务能力等级证书-优秀级（CS4）或杰出级（CS5）的得1分，其他等级（CS1、CS2、CS3）的得0.5分，不提供不得分。（投标人需提供证书复印件。)</w:t>
            </w:r>
          </w:p>
        </w:tc>
      </w:tr>
      <w:tr w14:paraId="191D92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5044C6CF">
            <w:pPr>
              <w:widowControl/>
              <w:jc w:val="left"/>
              <w:textAlignment w:val="center"/>
              <w:rPr>
                <w:color w:val="auto"/>
                <w:sz w:val="24"/>
              </w:rPr>
            </w:pPr>
            <w:r>
              <w:rPr>
                <w:rFonts w:hint="eastAsia" w:ascii="宋体" w:hAnsi="宋体" w:eastAsia="宋体" w:cs="宋体"/>
                <w:color w:val="auto"/>
                <w:kern w:val="0"/>
                <w:sz w:val="24"/>
                <w:lang w:bidi="ar"/>
              </w:rPr>
              <w:t>5、企业资质5</w:t>
            </w:r>
          </w:p>
        </w:tc>
        <w:tc>
          <w:tcPr>
            <w:tcW w:w="622" w:type="dxa"/>
            <w:shd w:val="clear" w:color="auto" w:fill="auto"/>
            <w:vAlign w:val="center"/>
          </w:tcPr>
          <w:p w14:paraId="7FA3CBAA">
            <w:pPr>
              <w:widowControl/>
              <w:jc w:val="center"/>
              <w:textAlignment w:val="center"/>
              <w:rPr>
                <w:color w:val="auto"/>
                <w:sz w:val="24"/>
              </w:rPr>
            </w:pPr>
            <w:r>
              <w:rPr>
                <w:rFonts w:hint="eastAsia" w:ascii="宋体" w:hAnsi="宋体" w:eastAsia="宋体" w:cs="宋体"/>
                <w:color w:val="auto"/>
                <w:kern w:val="0"/>
                <w:sz w:val="24"/>
                <w:lang w:bidi="ar"/>
              </w:rPr>
              <w:t>1</w:t>
            </w:r>
          </w:p>
        </w:tc>
        <w:tc>
          <w:tcPr>
            <w:tcW w:w="6804" w:type="dxa"/>
            <w:shd w:val="clear" w:color="auto" w:fill="auto"/>
            <w:vAlign w:val="center"/>
          </w:tcPr>
          <w:p w14:paraId="373F738D">
            <w:pPr>
              <w:widowControl/>
              <w:jc w:val="left"/>
              <w:textAlignment w:val="center"/>
              <w:rPr>
                <w:color w:val="auto"/>
                <w:sz w:val="24"/>
              </w:rPr>
            </w:pPr>
            <w:r>
              <w:rPr>
                <w:rFonts w:hint="eastAsia" w:ascii="宋体" w:hAnsi="宋体" w:eastAsia="宋体" w:cs="宋体"/>
                <w:color w:val="auto"/>
                <w:kern w:val="0"/>
                <w:sz w:val="24"/>
                <w:lang w:bidi="ar"/>
              </w:rPr>
              <w:t>投标人具有软件成熟度模型CMMI认证资质，CMMI5得1分，CMMI4级得0.5分，其它不得分。（投标人需提供证书复印件。)</w:t>
            </w:r>
          </w:p>
        </w:tc>
      </w:tr>
      <w:tr w14:paraId="38FB59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1D3CC0F1">
            <w:pPr>
              <w:widowControl/>
              <w:jc w:val="left"/>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6、企业资质6</w:t>
            </w:r>
          </w:p>
        </w:tc>
        <w:tc>
          <w:tcPr>
            <w:tcW w:w="622" w:type="dxa"/>
            <w:shd w:val="clear" w:color="auto" w:fill="auto"/>
            <w:vAlign w:val="center"/>
          </w:tcPr>
          <w:p w14:paraId="00C09DDB">
            <w:pPr>
              <w:widowControl/>
              <w:jc w:val="center"/>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1</w:t>
            </w:r>
          </w:p>
        </w:tc>
        <w:tc>
          <w:tcPr>
            <w:tcW w:w="6804" w:type="dxa"/>
            <w:shd w:val="clear" w:color="auto" w:fill="auto"/>
            <w:vAlign w:val="center"/>
          </w:tcPr>
          <w:p w14:paraId="7CE234ED">
            <w:pPr>
              <w:widowControl/>
              <w:jc w:val="left"/>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投标人具有售后服务认证证书的，认证级别达到五星，认证范围至少需包含计算机应用软件开发，计算机信息咨询服务的售后服务。（投标人需提供证书复印件。)</w:t>
            </w:r>
          </w:p>
        </w:tc>
      </w:tr>
      <w:tr w14:paraId="1FA16B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6D4DE57C">
            <w:pPr>
              <w:widowControl/>
              <w:jc w:val="left"/>
              <w:textAlignment w:val="center"/>
              <w:rPr>
                <w:color w:val="auto"/>
                <w:sz w:val="24"/>
              </w:rPr>
            </w:pPr>
            <w:r>
              <w:rPr>
                <w:rFonts w:hint="eastAsia" w:ascii="宋体" w:hAnsi="宋体" w:eastAsia="宋体" w:cs="宋体"/>
                <w:color w:val="auto"/>
                <w:kern w:val="0"/>
                <w:sz w:val="24"/>
                <w:lang w:bidi="ar"/>
              </w:rPr>
              <w:t>7、企业实力1</w:t>
            </w:r>
          </w:p>
        </w:tc>
        <w:tc>
          <w:tcPr>
            <w:tcW w:w="622" w:type="dxa"/>
            <w:shd w:val="clear" w:color="auto" w:fill="auto"/>
            <w:vAlign w:val="center"/>
          </w:tcPr>
          <w:p w14:paraId="5AFD177D">
            <w:pPr>
              <w:widowControl/>
              <w:jc w:val="center"/>
              <w:textAlignment w:val="center"/>
              <w:rPr>
                <w:color w:val="auto"/>
                <w:sz w:val="24"/>
              </w:rPr>
            </w:pPr>
            <w:r>
              <w:rPr>
                <w:rFonts w:hint="eastAsia" w:ascii="宋体" w:hAnsi="宋体" w:eastAsia="宋体" w:cs="宋体"/>
                <w:color w:val="auto"/>
                <w:kern w:val="0"/>
                <w:sz w:val="24"/>
                <w:lang w:bidi="ar"/>
              </w:rPr>
              <w:t>1</w:t>
            </w:r>
          </w:p>
        </w:tc>
        <w:tc>
          <w:tcPr>
            <w:tcW w:w="6804" w:type="dxa"/>
            <w:shd w:val="clear" w:color="auto" w:fill="auto"/>
            <w:vAlign w:val="center"/>
          </w:tcPr>
          <w:p w14:paraId="067B4A7D">
            <w:pPr>
              <w:widowControl/>
              <w:jc w:val="left"/>
              <w:textAlignment w:val="center"/>
              <w:rPr>
                <w:color w:val="auto"/>
                <w:sz w:val="24"/>
              </w:rPr>
            </w:pPr>
            <w:r>
              <w:rPr>
                <w:rFonts w:hint="eastAsia" w:ascii="宋体" w:hAnsi="宋体" w:eastAsia="宋体" w:cs="宋体"/>
                <w:color w:val="auto"/>
                <w:kern w:val="0"/>
                <w:sz w:val="24"/>
                <w:lang w:bidi="ar"/>
              </w:rPr>
              <w:t>投标人具备较强的研发和创新能力。具有省级及以上政府部门颁发的高新技术企业研究开发中心的得1分。未提供、材料不符合不计分。（投标人需提供证书复印件。)</w:t>
            </w:r>
          </w:p>
        </w:tc>
      </w:tr>
      <w:tr w14:paraId="4CF4367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2F955E3A">
            <w:pPr>
              <w:widowControl/>
              <w:jc w:val="left"/>
              <w:textAlignment w:val="center"/>
              <w:rPr>
                <w:color w:val="auto"/>
                <w:sz w:val="24"/>
              </w:rPr>
            </w:pPr>
            <w:r>
              <w:rPr>
                <w:rFonts w:hint="eastAsia" w:ascii="宋体" w:hAnsi="宋体" w:eastAsia="宋体" w:cs="宋体"/>
                <w:color w:val="auto"/>
                <w:kern w:val="0"/>
                <w:sz w:val="24"/>
                <w:lang w:bidi="ar"/>
              </w:rPr>
              <w:t>8、企业实力2</w:t>
            </w:r>
          </w:p>
        </w:tc>
        <w:tc>
          <w:tcPr>
            <w:tcW w:w="622" w:type="dxa"/>
            <w:shd w:val="clear" w:color="auto" w:fill="auto"/>
            <w:vAlign w:val="center"/>
          </w:tcPr>
          <w:p w14:paraId="121157FB">
            <w:pPr>
              <w:widowControl/>
              <w:jc w:val="center"/>
              <w:textAlignment w:val="center"/>
              <w:rPr>
                <w:color w:val="auto"/>
                <w:sz w:val="24"/>
              </w:rPr>
            </w:pPr>
            <w:r>
              <w:rPr>
                <w:rFonts w:hint="eastAsia" w:ascii="宋体" w:hAnsi="宋体" w:eastAsia="宋体" w:cs="宋体"/>
                <w:color w:val="auto"/>
                <w:kern w:val="0"/>
                <w:sz w:val="24"/>
                <w:lang w:bidi="ar"/>
              </w:rPr>
              <w:t>2</w:t>
            </w:r>
          </w:p>
        </w:tc>
        <w:tc>
          <w:tcPr>
            <w:tcW w:w="6804" w:type="dxa"/>
            <w:shd w:val="clear" w:color="auto" w:fill="auto"/>
            <w:vAlign w:val="center"/>
          </w:tcPr>
          <w:p w14:paraId="780CE2DD">
            <w:pPr>
              <w:widowControl/>
              <w:jc w:val="left"/>
              <w:textAlignment w:val="center"/>
              <w:rPr>
                <w:color w:val="auto"/>
                <w:sz w:val="24"/>
              </w:rPr>
            </w:pPr>
            <w:r>
              <w:rPr>
                <w:rFonts w:hint="eastAsia" w:ascii="宋体" w:hAnsi="宋体" w:eastAsia="宋体" w:cs="宋体"/>
                <w:color w:val="auto"/>
                <w:kern w:val="0"/>
                <w:sz w:val="24"/>
                <w:lang w:bidi="ar"/>
              </w:rPr>
              <w:t>投标人获得软件企业认证和国家高新技术企业认证的，每个得1分，最高2分。 （投标人需提供有效证书复印件。)</w:t>
            </w:r>
          </w:p>
        </w:tc>
      </w:tr>
      <w:tr w14:paraId="787EBD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32" w:hRule="atLeast"/>
          <w:tblCellSpacing w:w="0" w:type="dxa"/>
        </w:trPr>
        <w:tc>
          <w:tcPr>
            <w:tcW w:w="889" w:type="dxa"/>
            <w:shd w:val="clear" w:color="auto" w:fill="auto"/>
            <w:vAlign w:val="center"/>
          </w:tcPr>
          <w:p w14:paraId="3FE7E93F">
            <w:pPr>
              <w:widowControl/>
              <w:jc w:val="left"/>
              <w:textAlignment w:val="center"/>
              <w:rPr>
                <w:color w:val="auto"/>
                <w:sz w:val="24"/>
              </w:rPr>
            </w:pPr>
            <w:r>
              <w:rPr>
                <w:rFonts w:hint="eastAsia" w:ascii="宋体" w:hAnsi="宋体" w:eastAsia="宋体" w:cs="宋体"/>
                <w:color w:val="auto"/>
                <w:kern w:val="0"/>
                <w:sz w:val="24"/>
                <w:lang w:bidi="ar"/>
              </w:rPr>
              <w:t>9、企业实力3</w:t>
            </w:r>
          </w:p>
        </w:tc>
        <w:tc>
          <w:tcPr>
            <w:tcW w:w="622" w:type="dxa"/>
            <w:shd w:val="clear" w:color="auto" w:fill="auto"/>
            <w:vAlign w:val="center"/>
          </w:tcPr>
          <w:p w14:paraId="1FDDF047">
            <w:pPr>
              <w:widowControl/>
              <w:jc w:val="center"/>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1</w:t>
            </w:r>
          </w:p>
        </w:tc>
        <w:tc>
          <w:tcPr>
            <w:tcW w:w="6804" w:type="dxa"/>
            <w:shd w:val="clear" w:color="auto" w:fill="auto"/>
            <w:vAlign w:val="center"/>
          </w:tcPr>
          <w:p w14:paraId="0FFF15E7">
            <w:pPr>
              <w:widowControl/>
              <w:jc w:val="left"/>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投标人具有城市数字治理领域相关系统（城市管理、社会治理）的研发、销售，及相关系统集成解决方案的设计、服务的知识产权管理认证证书，得1分。（投标人需提供证书复印件。）。</w:t>
            </w:r>
          </w:p>
        </w:tc>
      </w:tr>
      <w:tr w14:paraId="34D36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32" w:hRule="atLeast"/>
          <w:tblCellSpacing w:w="0" w:type="dxa"/>
        </w:trPr>
        <w:tc>
          <w:tcPr>
            <w:tcW w:w="889" w:type="dxa"/>
            <w:shd w:val="clear" w:color="auto" w:fill="auto"/>
            <w:vAlign w:val="center"/>
          </w:tcPr>
          <w:p w14:paraId="4C5C07AA">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10</w:t>
            </w:r>
            <w:r>
              <w:rPr>
                <w:rFonts w:ascii="宋体" w:hAnsi="宋体" w:eastAsia="宋体" w:cs="宋体"/>
                <w:color w:val="auto"/>
                <w:kern w:val="0"/>
                <w:sz w:val="24"/>
                <w:lang w:bidi="ar"/>
              </w:rPr>
              <w:t>、企业实力</w:t>
            </w:r>
            <w:r>
              <w:rPr>
                <w:rFonts w:hint="eastAsia" w:ascii="宋体" w:hAnsi="宋体" w:eastAsia="宋体" w:cs="宋体"/>
                <w:color w:val="auto"/>
                <w:kern w:val="0"/>
                <w:sz w:val="24"/>
                <w:lang w:bidi="ar"/>
              </w:rPr>
              <w:t>2</w:t>
            </w:r>
          </w:p>
        </w:tc>
        <w:tc>
          <w:tcPr>
            <w:tcW w:w="622" w:type="dxa"/>
            <w:shd w:val="clear" w:color="auto" w:fill="auto"/>
            <w:vAlign w:val="center"/>
          </w:tcPr>
          <w:p w14:paraId="7687BE4C">
            <w:pPr>
              <w:widowControl/>
              <w:jc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3</w:t>
            </w:r>
          </w:p>
        </w:tc>
        <w:tc>
          <w:tcPr>
            <w:tcW w:w="6804" w:type="dxa"/>
            <w:shd w:val="clear" w:color="auto" w:fill="auto"/>
            <w:vAlign w:val="center"/>
          </w:tcPr>
          <w:p w14:paraId="57E69061">
            <w:pPr>
              <w:widowControl/>
              <w:jc w:val="left"/>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投标具有成熟的软件开发能力，能提供符合本项目建设相关的软件著作权证，主要包括城市综合管理服务平台、指挥协调、市区（县）级驾驶舱系统、评价指标管理、数据填报、案件协同派遣、指挥救援一张图、园林绿化监测、井盖监测预警分析、排水监测预警分析，每提供一类的0.3分，最高得3分。（投标人需提供证书复印件，该软著需在本公告发布之日前取得。）</w:t>
            </w:r>
          </w:p>
        </w:tc>
      </w:tr>
      <w:tr w14:paraId="31FA425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32" w:hRule="atLeast"/>
          <w:tblCellSpacing w:w="0" w:type="dxa"/>
        </w:trPr>
        <w:tc>
          <w:tcPr>
            <w:tcW w:w="889" w:type="dxa"/>
            <w:shd w:val="clear" w:color="auto" w:fill="auto"/>
            <w:vAlign w:val="center"/>
          </w:tcPr>
          <w:p w14:paraId="5BD710D4">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11</w:t>
            </w:r>
            <w:r>
              <w:rPr>
                <w:rFonts w:ascii="宋体" w:hAnsi="宋体" w:eastAsia="宋体" w:cs="宋体"/>
                <w:color w:val="auto"/>
                <w:kern w:val="0"/>
                <w:sz w:val="24"/>
                <w:lang w:bidi="ar"/>
              </w:rPr>
              <w:t>、企业实力</w:t>
            </w:r>
            <w:r>
              <w:rPr>
                <w:rFonts w:hint="eastAsia" w:ascii="宋体" w:hAnsi="宋体" w:eastAsia="宋体" w:cs="宋体"/>
                <w:color w:val="auto"/>
                <w:kern w:val="0"/>
                <w:sz w:val="24"/>
                <w:lang w:bidi="ar"/>
              </w:rPr>
              <w:t>3</w:t>
            </w:r>
          </w:p>
        </w:tc>
        <w:tc>
          <w:tcPr>
            <w:tcW w:w="622" w:type="dxa"/>
            <w:shd w:val="clear" w:color="auto" w:fill="auto"/>
            <w:vAlign w:val="center"/>
          </w:tcPr>
          <w:p w14:paraId="022B0F71">
            <w:pPr>
              <w:widowControl/>
              <w:jc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3</w:t>
            </w:r>
          </w:p>
        </w:tc>
        <w:tc>
          <w:tcPr>
            <w:tcW w:w="6804" w:type="dxa"/>
            <w:shd w:val="clear" w:color="auto" w:fill="auto"/>
            <w:vAlign w:val="center"/>
          </w:tcPr>
          <w:p w14:paraId="78CFCDC7">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投标人提供2019年度至本次投标截止时间止客户单位为给予的满意度情况，每提供一份满意度表的得1分，满分3分。需提供业主满意度表（满意度表须加盖业主单位公章）。须提供复印件。同一单位出具的满意度证明材料不重复得分。</w:t>
            </w:r>
          </w:p>
        </w:tc>
      </w:tr>
      <w:tr w14:paraId="6D73C7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3DBFBE71">
            <w:pPr>
              <w:widowControl/>
              <w:jc w:val="left"/>
              <w:textAlignment w:val="center"/>
              <w:rPr>
                <w:color w:val="auto"/>
                <w:sz w:val="24"/>
              </w:rPr>
            </w:pPr>
            <w:r>
              <w:rPr>
                <w:rFonts w:hint="eastAsia" w:ascii="宋体" w:hAnsi="宋体" w:eastAsia="宋体" w:cs="宋体"/>
                <w:color w:val="auto"/>
                <w:kern w:val="0"/>
                <w:sz w:val="24"/>
                <w:lang w:bidi="ar"/>
              </w:rPr>
              <w:t>12、业绩案例</w:t>
            </w:r>
          </w:p>
        </w:tc>
        <w:tc>
          <w:tcPr>
            <w:tcW w:w="622" w:type="dxa"/>
            <w:shd w:val="clear" w:color="auto" w:fill="auto"/>
            <w:vAlign w:val="center"/>
          </w:tcPr>
          <w:p w14:paraId="3AA645A8">
            <w:pPr>
              <w:widowControl/>
              <w:jc w:val="center"/>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3</w:t>
            </w:r>
          </w:p>
        </w:tc>
        <w:tc>
          <w:tcPr>
            <w:tcW w:w="6804" w:type="dxa"/>
            <w:shd w:val="clear" w:color="auto" w:fill="auto"/>
            <w:vAlign w:val="center"/>
          </w:tcPr>
          <w:p w14:paraId="0D115C8D">
            <w:pPr>
              <w:widowControl/>
              <w:jc w:val="left"/>
              <w:textAlignment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投标人提供（2019年1月1日起至本次投标截止时间止，以合同落款时间为准）完成竣工的相关业绩案例。每提供一个业绩案例得1分，满分3分。 （</w:t>
            </w:r>
            <w:r>
              <w:rPr>
                <w:rFonts w:ascii="宋体" w:hAnsi="宋体" w:eastAsia="宋体" w:cs="宋体"/>
                <w:color w:val="auto"/>
                <w:kern w:val="0"/>
                <w:sz w:val="24"/>
                <w:lang w:bidi="ar"/>
              </w:rPr>
              <w:t>投标人需提供项目相关证明材料复印件并加盖公章。证明材料包含但不限于：</w:t>
            </w:r>
            <w:r>
              <w:rPr>
                <w:rFonts w:hint="eastAsia" w:ascii="宋体" w:hAnsi="宋体" w:eastAsia="宋体" w:cs="宋体"/>
                <w:color w:val="auto"/>
                <w:kern w:val="0"/>
                <w:sz w:val="24"/>
                <w:lang w:bidi="ar"/>
              </w:rPr>
              <w:t>中标公告（提供相关网站中标公告的下载网页并注明网址）</w:t>
            </w:r>
            <w:r>
              <w:rPr>
                <w:rFonts w:ascii="宋体" w:hAnsi="宋体" w:eastAsia="宋体" w:cs="宋体"/>
                <w:color w:val="auto"/>
                <w:kern w:val="0"/>
                <w:sz w:val="24"/>
                <w:lang w:bidi="ar"/>
              </w:rPr>
              <w:t>、中标通知书、采购合同、验收证明及建设内容涵盖说明。提供证明材料不齐全的不得分</w:t>
            </w:r>
            <w:r>
              <w:rPr>
                <w:rFonts w:hint="eastAsia" w:ascii="宋体" w:hAnsi="宋体" w:eastAsia="宋体" w:cs="宋体"/>
                <w:color w:val="auto"/>
                <w:kern w:val="0"/>
                <w:sz w:val="24"/>
                <w:lang w:bidi="ar"/>
              </w:rPr>
              <w:t>。）</w:t>
            </w:r>
          </w:p>
        </w:tc>
      </w:tr>
      <w:tr w14:paraId="24ACE5A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0A182D27">
            <w:pPr>
              <w:widowControl/>
              <w:jc w:val="center"/>
              <w:rPr>
                <w:rFonts w:ascii="宋体" w:hAnsi="宋体" w:eastAsia="宋体" w:cs="宋体"/>
                <w:color w:val="auto"/>
                <w:kern w:val="0"/>
                <w:sz w:val="24"/>
                <w:lang w:bidi="ar"/>
              </w:rPr>
            </w:pPr>
            <w:r>
              <w:rPr>
                <w:rFonts w:hint="eastAsia" w:ascii="宋体" w:hAnsi="宋体" w:eastAsia="宋体" w:cs="宋体"/>
                <w:color w:val="auto"/>
                <w:kern w:val="0"/>
                <w:sz w:val="24"/>
                <w:lang w:bidi="ar"/>
              </w:rPr>
              <w:t>13</w:t>
            </w:r>
            <w:r>
              <w:rPr>
                <w:rFonts w:ascii="宋体" w:hAnsi="宋体" w:eastAsia="宋体" w:cs="宋体"/>
                <w:color w:val="auto"/>
                <w:kern w:val="0"/>
                <w:sz w:val="24"/>
                <w:lang w:bidi="ar"/>
              </w:rPr>
              <w:t>、</w:t>
            </w:r>
            <w:r>
              <w:rPr>
                <w:rFonts w:hint="eastAsia" w:ascii="宋体" w:hAnsi="宋体" w:eastAsia="宋体" w:cs="宋体"/>
                <w:color w:val="auto"/>
                <w:kern w:val="0"/>
                <w:sz w:val="24"/>
                <w:lang w:bidi="ar"/>
              </w:rPr>
              <w:t>售后服务</w:t>
            </w:r>
          </w:p>
        </w:tc>
        <w:tc>
          <w:tcPr>
            <w:tcW w:w="622" w:type="dxa"/>
            <w:shd w:val="clear" w:color="auto" w:fill="auto"/>
            <w:vAlign w:val="center"/>
          </w:tcPr>
          <w:p w14:paraId="3262AED7">
            <w:pPr>
              <w:widowControl/>
              <w:jc w:val="center"/>
              <w:rPr>
                <w:rFonts w:ascii="宋体" w:hAnsi="宋体" w:eastAsia="宋体" w:cs="宋体"/>
                <w:color w:val="auto"/>
                <w:kern w:val="0"/>
                <w:sz w:val="24"/>
                <w:lang w:bidi="ar"/>
              </w:rPr>
            </w:pPr>
            <w:r>
              <w:rPr>
                <w:rFonts w:ascii="宋体" w:hAnsi="宋体" w:eastAsia="宋体" w:cs="宋体"/>
                <w:color w:val="auto"/>
                <w:kern w:val="0"/>
                <w:sz w:val="24"/>
                <w:lang w:bidi="ar"/>
              </w:rPr>
              <w:t>3</w:t>
            </w:r>
          </w:p>
        </w:tc>
        <w:tc>
          <w:tcPr>
            <w:tcW w:w="6804" w:type="dxa"/>
            <w:shd w:val="clear" w:color="auto" w:fill="auto"/>
            <w:vAlign w:val="center"/>
          </w:tcPr>
          <w:p w14:paraId="65BA0A8F">
            <w:pPr>
              <w:widowControl/>
              <w:jc w:val="left"/>
              <w:rPr>
                <w:rFonts w:ascii="宋体" w:hAnsi="宋体" w:eastAsia="宋体" w:cs="宋体"/>
                <w:color w:val="auto"/>
                <w:kern w:val="0"/>
                <w:sz w:val="24"/>
                <w:lang w:bidi="ar"/>
              </w:rPr>
            </w:pPr>
            <w:r>
              <w:rPr>
                <w:rFonts w:hint="eastAsia" w:ascii="宋体" w:hAnsi="宋体" w:eastAsia="宋体" w:cs="宋体"/>
                <w:color w:val="auto"/>
                <w:kern w:val="0"/>
                <w:sz w:val="24"/>
                <w:lang w:bidi="ar"/>
              </w:rPr>
              <w:t>根据各投标人的售后服务方案、维修响应计划情况（至少包括具体的售后内容、响应方式等方面）由评委进行评议：方案完整且最大限度满足采购需求的得3分；方案较完整且基本满足采购需求的得2分；方案一般但基本满足采购需求的得1分；其余不得分。</w:t>
            </w:r>
          </w:p>
        </w:tc>
      </w:tr>
      <w:tr w14:paraId="69E8EC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89" w:type="dxa"/>
            <w:shd w:val="clear" w:color="auto" w:fill="auto"/>
            <w:vAlign w:val="center"/>
          </w:tcPr>
          <w:p w14:paraId="2B5DC050">
            <w:pPr>
              <w:widowControl/>
              <w:jc w:val="left"/>
              <w:textAlignment w:val="center"/>
              <w:rPr>
                <w:color w:val="auto"/>
                <w:sz w:val="24"/>
              </w:rPr>
            </w:pPr>
            <w:r>
              <w:rPr>
                <w:rFonts w:hint="eastAsia" w:ascii="宋体" w:hAnsi="宋体" w:eastAsia="宋体" w:cs="宋体"/>
                <w:color w:val="auto"/>
                <w:kern w:val="0"/>
                <w:sz w:val="24"/>
                <w:lang w:bidi="ar"/>
              </w:rPr>
              <w:t>14、售后服务</w:t>
            </w:r>
          </w:p>
        </w:tc>
        <w:tc>
          <w:tcPr>
            <w:tcW w:w="622" w:type="dxa"/>
            <w:shd w:val="clear" w:color="auto" w:fill="auto"/>
            <w:vAlign w:val="center"/>
          </w:tcPr>
          <w:p w14:paraId="01838288">
            <w:pPr>
              <w:widowControl/>
              <w:jc w:val="center"/>
              <w:textAlignment w:val="center"/>
              <w:rPr>
                <w:color w:val="auto"/>
                <w:sz w:val="24"/>
              </w:rPr>
            </w:pPr>
            <w:r>
              <w:rPr>
                <w:rFonts w:hint="eastAsia" w:ascii="宋体" w:hAnsi="宋体" w:eastAsia="宋体" w:cs="宋体"/>
                <w:color w:val="auto"/>
                <w:kern w:val="0"/>
                <w:sz w:val="24"/>
                <w:lang w:bidi="ar"/>
              </w:rPr>
              <w:t>2</w:t>
            </w:r>
          </w:p>
        </w:tc>
        <w:tc>
          <w:tcPr>
            <w:tcW w:w="6804" w:type="dxa"/>
            <w:shd w:val="clear" w:color="auto" w:fill="auto"/>
            <w:vAlign w:val="center"/>
          </w:tcPr>
          <w:p w14:paraId="420D8E8E">
            <w:pPr>
              <w:widowControl/>
              <w:textAlignment w:val="center"/>
              <w:rPr>
                <w:color w:val="auto"/>
                <w:sz w:val="24"/>
              </w:rPr>
            </w:pPr>
            <w:r>
              <w:rPr>
                <w:rFonts w:hint="eastAsia" w:ascii="宋体" w:hAnsi="宋体" w:eastAsia="宋体" w:cs="宋体"/>
                <w:color w:val="auto"/>
                <w:kern w:val="0"/>
                <w:sz w:val="24"/>
                <w:lang w:bidi="ar"/>
              </w:rPr>
              <w:t>投标人承诺自接到招标人服务通知时，故障处理响应时间承诺为：响应时间≤4小时，得2分；4小时＜响应时间=5小时，得1分；承诺自接到招标人服务通知响应时间超过5小时，本项得0分。提供相应内容承诺函，未提供承诺函者不得分。</w:t>
            </w:r>
          </w:p>
        </w:tc>
      </w:tr>
    </w:tbl>
    <w:p w14:paraId="74011758">
      <w:pPr>
        <w:pStyle w:val="27"/>
        <w:widowControl/>
        <w:ind w:firstLine="480"/>
        <w:rPr>
          <w:rFonts w:ascii="宋体" w:hAnsi="宋体" w:eastAsia="宋体" w:cs="宋体"/>
          <w:color w:val="auto"/>
        </w:rPr>
      </w:pPr>
    </w:p>
    <w:p w14:paraId="62B8A009">
      <w:pPr>
        <w:pStyle w:val="27"/>
        <w:widowControl/>
        <w:ind w:firstLine="480"/>
        <w:rPr>
          <w:color w:val="auto"/>
        </w:rPr>
      </w:pPr>
      <w:r>
        <w:rPr>
          <w:rFonts w:hint="eastAsia" w:ascii="宋体" w:hAnsi="宋体" w:eastAsia="宋体" w:cs="宋体"/>
          <w:color w:val="auto"/>
        </w:rPr>
        <w:t>④加分项（</w:t>
      </w:r>
      <w:r>
        <w:rPr>
          <w:rFonts w:ascii="Calibri" w:hAnsi="Calibri" w:eastAsia="宋体" w:cs="Calibri"/>
          <w:color w:val="auto"/>
        </w:rPr>
        <w:t>F4</w:t>
      </w:r>
      <w:r>
        <w:rPr>
          <w:rFonts w:hint="eastAsia" w:ascii="宋体" w:hAnsi="宋体" w:eastAsia="宋体" w:cs="宋体"/>
          <w:color w:val="auto"/>
        </w:rPr>
        <w:t>×</w:t>
      </w:r>
      <w:r>
        <w:rPr>
          <w:rFonts w:ascii="Calibri" w:hAnsi="Calibri" w:eastAsia="宋体" w:cs="Calibri"/>
          <w:color w:val="auto"/>
        </w:rPr>
        <w:t>A4</w:t>
      </w:r>
      <w:r>
        <w:rPr>
          <w:rFonts w:hint="eastAsia" w:ascii="宋体" w:hAnsi="宋体" w:eastAsia="宋体" w:cs="宋体"/>
          <w:color w:val="auto"/>
        </w:rPr>
        <w:t>）</w:t>
      </w:r>
    </w:p>
    <w:p w14:paraId="41E1DFDB">
      <w:pPr>
        <w:pStyle w:val="27"/>
        <w:widowControl/>
        <w:ind w:firstLine="480"/>
        <w:rPr>
          <w:color w:val="auto"/>
        </w:rPr>
      </w:pPr>
      <w:r>
        <w:rPr>
          <w:rFonts w:hint="eastAsia" w:ascii="宋体" w:hAnsi="宋体" w:eastAsia="宋体" w:cs="宋体"/>
          <w:color w:val="auto"/>
        </w:rPr>
        <w:t>a.优先类节能产品、环境标志产品：</w:t>
      </w:r>
    </w:p>
    <w:p w14:paraId="29BE1E0C">
      <w:pPr>
        <w:pStyle w:val="27"/>
        <w:widowControl/>
        <w:ind w:firstLine="480"/>
        <w:rPr>
          <w:color w:val="auto"/>
        </w:rPr>
      </w:pPr>
      <w:r>
        <w:rPr>
          <w:rFonts w:hint="eastAsia" w:ascii="宋体" w:hAnsi="宋体" w:eastAsia="宋体" w:cs="宋体"/>
          <w:color w:val="auto"/>
        </w:rPr>
        <w:t>a1若同一合同包内节能、环境标志产品报价总金额低于该合同包报价总金额</w:t>
      </w:r>
      <w:r>
        <w:rPr>
          <w:rFonts w:ascii="Calibri" w:hAnsi="Calibri" w:eastAsia="宋体" w:cs="Calibri"/>
          <w:color w:val="auto"/>
        </w:rPr>
        <w:t>20%</w:t>
      </w:r>
      <w:r>
        <w:rPr>
          <w:rFonts w:hint="eastAsia" w:ascii="宋体" w:hAnsi="宋体" w:eastAsia="宋体" w:cs="宋体"/>
          <w:color w:val="auto"/>
        </w:rPr>
        <w:t>（含</w:t>
      </w:r>
      <w:r>
        <w:rPr>
          <w:rFonts w:ascii="Calibri" w:hAnsi="Calibri" w:eastAsia="宋体" w:cs="Calibri"/>
          <w:color w:val="auto"/>
        </w:rPr>
        <w:t>20%</w:t>
      </w:r>
      <w:r>
        <w:rPr>
          <w:rFonts w:hint="eastAsia" w:ascii="宋体" w:hAnsi="宋体" w:eastAsia="宋体" w:cs="宋体"/>
          <w:color w:val="auto"/>
        </w:rPr>
        <w:t>）以下，将分别给予节能、环境标志产品价格项（</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，按照满分计）和技术项（</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，按照满分计）</w:t>
      </w:r>
      <w:r>
        <w:rPr>
          <w:rFonts w:ascii="Calibri" w:hAnsi="Calibri" w:eastAsia="宋体" w:cs="Calibri"/>
          <w:color w:val="auto"/>
        </w:rPr>
        <w:t>4%</w:t>
      </w:r>
      <w:r>
        <w:rPr>
          <w:rFonts w:hint="eastAsia" w:ascii="宋体" w:hAnsi="宋体" w:eastAsia="宋体" w:cs="宋体"/>
          <w:color w:val="auto"/>
        </w:rPr>
        <w:t>的加分；若同一合同包内节能、环境标志产品报价总金额占该合同包报价总金额</w:t>
      </w:r>
      <w:r>
        <w:rPr>
          <w:rFonts w:ascii="Calibri" w:hAnsi="Calibri" w:eastAsia="宋体" w:cs="Calibri"/>
          <w:color w:val="auto"/>
        </w:rPr>
        <w:t>20%-50%</w:t>
      </w:r>
      <w:r>
        <w:rPr>
          <w:rFonts w:hint="eastAsia" w:ascii="宋体" w:hAnsi="宋体" w:eastAsia="宋体" w:cs="宋体"/>
          <w:color w:val="auto"/>
        </w:rPr>
        <w:t>（含</w:t>
      </w:r>
      <w:r>
        <w:rPr>
          <w:rFonts w:ascii="Calibri" w:hAnsi="Calibri" w:eastAsia="宋体" w:cs="Calibri"/>
          <w:color w:val="auto"/>
        </w:rPr>
        <w:t>50%</w:t>
      </w:r>
      <w:r>
        <w:rPr>
          <w:rFonts w:hint="eastAsia" w:ascii="宋体" w:hAnsi="宋体" w:eastAsia="宋体" w:cs="宋体"/>
          <w:color w:val="auto"/>
        </w:rPr>
        <w:t>），将分别给予节能、环境标志产品价格项（</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，按照满分计）和技术项（</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，按照满分计）</w:t>
      </w:r>
      <w:r>
        <w:rPr>
          <w:rFonts w:ascii="Calibri" w:hAnsi="Calibri" w:eastAsia="宋体" w:cs="Calibri"/>
          <w:color w:val="auto"/>
        </w:rPr>
        <w:t>6%</w:t>
      </w:r>
      <w:r>
        <w:rPr>
          <w:rFonts w:hint="eastAsia" w:ascii="宋体" w:hAnsi="宋体" w:eastAsia="宋体" w:cs="宋体"/>
          <w:color w:val="auto"/>
        </w:rPr>
        <w:t>的加分；若同一合同包内节能、环境标志产品报价总金额占该合同包报价总金额</w:t>
      </w:r>
      <w:r>
        <w:rPr>
          <w:rFonts w:ascii="Calibri" w:hAnsi="Calibri" w:eastAsia="宋体" w:cs="Calibri"/>
          <w:color w:val="auto"/>
        </w:rPr>
        <w:t>50%</w:t>
      </w:r>
      <w:r>
        <w:rPr>
          <w:rFonts w:hint="eastAsia" w:ascii="宋体" w:hAnsi="宋体" w:eastAsia="宋体" w:cs="宋体"/>
          <w:color w:val="auto"/>
        </w:rPr>
        <w:t>以上的，将分别给予节能、环境标志产品价格项（</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，按照满分计）和技术项（</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，按照满分计）</w:t>
      </w:r>
      <w:r>
        <w:rPr>
          <w:rFonts w:ascii="Calibri" w:hAnsi="Calibri" w:eastAsia="宋体" w:cs="Calibri"/>
          <w:color w:val="auto"/>
        </w:rPr>
        <w:t>8%</w:t>
      </w:r>
      <w:r>
        <w:rPr>
          <w:rFonts w:hint="eastAsia" w:ascii="宋体" w:hAnsi="宋体" w:eastAsia="宋体" w:cs="宋体"/>
          <w:color w:val="auto"/>
        </w:rPr>
        <w:t>的加分。</w:t>
      </w:r>
    </w:p>
    <w:p w14:paraId="08264C97">
      <w:pPr>
        <w:pStyle w:val="27"/>
        <w:widowControl/>
        <w:ind w:firstLine="480"/>
        <w:rPr>
          <w:color w:val="auto"/>
        </w:rPr>
      </w:pPr>
      <w:r>
        <w:rPr>
          <w:rFonts w:hint="eastAsia" w:ascii="宋体" w:hAnsi="宋体" w:eastAsia="宋体" w:cs="宋体"/>
          <w:color w:val="auto"/>
        </w:rPr>
        <w:t>a2若节能、环境标志产品仅是构成投标产品的部件、组件或零件，则该投标产品不享受鼓励优惠政策。同一品目中各认证证书不重复计算加分。强制类节能产品不享受加分。</w:t>
      </w:r>
      <w:r>
        <w:rPr>
          <w:color w:val="auto"/>
        </w:rPr>
        <w:t xml:space="preserve"> </w:t>
      </w:r>
    </w:p>
    <w:p w14:paraId="4DA3AF41">
      <w:pPr>
        <w:pStyle w:val="27"/>
        <w:widowControl/>
        <w:ind w:firstLine="480"/>
        <w:rPr>
          <w:color w:val="auto"/>
        </w:rPr>
      </w:pPr>
      <w:r>
        <w:rPr>
          <w:rStyle w:val="32"/>
          <w:color w:val="auto"/>
        </w:rPr>
        <w:t>         无</w:t>
      </w:r>
    </w:p>
    <w:p w14:paraId="42AD97E9">
      <w:pPr>
        <w:pStyle w:val="27"/>
        <w:widowControl/>
        <w:ind w:firstLine="480"/>
        <w:rPr>
          <w:color w:val="auto"/>
        </w:rPr>
      </w:pPr>
      <w:r>
        <w:rPr>
          <w:rFonts w:hint="eastAsia" w:ascii="宋体" w:hAnsi="宋体" w:eastAsia="宋体" w:cs="宋体"/>
          <w:color w:val="auto"/>
        </w:rPr>
        <w:t>（4）中标候选人排列规则顺序如下：</w:t>
      </w:r>
      <w:r>
        <w:rPr>
          <w:color w:val="auto"/>
        </w:rPr>
        <w:t xml:space="preserve"> </w:t>
      </w:r>
    </w:p>
    <w:p w14:paraId="77637AAB">
      <w:pPr>
        <w:pStyle w:val="27"/>
        <w:widowControl/>
        <w:ind w:firstLine="480"/>
        <w:rPr>
          <w:color w:val="auto"/>
        </w:rPr>
      </w:pPr>
      <w:r>
        <w:rPr>
          <w:rFonts w:hint="eastAsia" w:ascii="宋体" w:hAnsi="宋体" w:eastAsia="宋体" w:cs="宋体"/>
          <w:color w:val="auto"/>
        </w:rPr>
        <w:t>a.按照评标总得分（</w:t>
      </w:r>
      <w:r>
        <w:rPr>
          <w:rFonts w:ascii="Calibri" w:hAnsi="Calibri" w:eastAsia="宋体" w:cs="Calibri"/>
          <w:color w:val="auto"/>
        </w:rPr>
        <w:t>FA</w:t>
      </w:r>
      <w:r>
        <w:rPr>
          <w:rFonts w:hint="eastAsia" w:ascii="宋体" w:hAnsi="宋体" w:eastAsia="宋体" w:cs="宋体"/>
          <w:color w:val="auto"/>
        </w:rPr>
        <w:t>）由高到低顺序排列。</w:t>
      </w:r>
    </w:p>
    <w:p w14:paraId="6A036422">
      <w:pPr>
        <w:pStyle w:val="27"/>
        <w:widowControl/>
        <w:ind w:firstLine="480"/>
        <w:rPr>
          <w:color w:val="auto"/>
        </w:rPr>
      </w:pPr>
      <w:r>
        <w:rPr>
          <w:rFonts w:hint="eastAsia" w:ascii="宋体" w:hAnsi="宋体" w:eastAsia="宋体" w:cs="宋体"/>
          <w:color w:val="auto"/>
        </w:rPr>
        <w:t>b.评标总得分（</w:t>
      </w:r>
      <w:r>
        <w:rPr>
          <w:rFonts w:ascii="Calibri" w:hAnsi="Calibri" w:eastAsia="宋体" w:cs="Calibri"/>
          <w:color w:val="auto"/>
        </w:rPr>
        <w:t>FA</w:t>
      </w:r>
      <w:r>
        <w:rPr>
          <w:rFonts w:hint="eastAsia" w:ascii="宋体" w:hAnsi="宋体" w:eastAsia="宋体" w:cs="宋体"/>
          <w:color w:val="auto"/>
        </w:rPr>
        <w:t>）相同的，按照评标价（即价格扣除后的投标报价）由低到高顺序排列。</w:t>
      </w:r>
      <w:r>
        <w:rPr>
          <w:color w:val="auto"/>
        </w:rPr>
        <w:t xml:space="preserve"> </w:t>
      </w:r>
    </w:p>
    <w:p w14:paraId="1632EF94">
      <w:pPr>
        <w:pStyle w:val="27"/>
        <w:widowControl/>
        <w:ind w:firstLine="480"/>
        <w:rPr>
          <w:color w:val="auto"/>
        </w:rPr>
      </w:pPr>
      <w:r>
        <w:rPr>
          <w:rFonts w:hint="eastAsia" w:ascii="宋体" w:hAnsi="宋体" w:eastAsia="宋体" w:cs="宋体"/>
          <w:color w:val="auto"/>
        </w:rPr>
        <w:t>c.评标总得分（</w:t>
      </w:r>
      <w:r>
        <w:rPr>
          <w:rFonts w:ascii="Calibri" w:hAnsi="Calibri" w:eastAsia="宋体" w:cs="Calibri"/>
          <w:color w:val="auto"/>
        </w:rPr>
        <w:t>FA</w:t>
      </w:r>
      <w:r>
        <w:rPr>
          <w:rFonts w:hint="eastAsia" w:ascii="宋体" w:hAnsi="宋体" w:eastAsia="宋体" w:cs="宋体"/>
          <w:color w:val="auto"/>
        </w:rPr>
        <w:t>）且评标价（即价格扣除后的投标报价）相同的并列。</w:t>
      </w:r>
      <w:r>
        <w:rPr>
          <w:color w:val="auto"/>
        </w:rPr>
        <w:t xml:space="preserve"> </w:t>
      </w:r>
    </w:p>
    <w:p w14:paraId="15474AB3">
      <w:pPr>
        <w:pStyle w:val="27"/>
        <w:widowControl/>
        <w:ind w:firstLine="480"/>
        <w:rPr>
          <w:color w:val="auto"/>
        </w:rPr>
      </w:pPr>
      <w:r>
        <w:rPr>
          <w:rFonts w:hint="eastAsia" w:ascii="宋体" w:hAnsi="宋体" w:eastAsia="宋体" w:cs="宋体"/>
          <w:color w:val="auto"/>
        </w:rPr>
        <w:t>④加分项（</w:t>
      </w:r>
      <w:r>
        <w:rPr>
          <w:rFonts w:ascii="Calibri" w:hAnsi="Calibri" w:eastAsia="宋体" w:cs="Calibri"/>
          <w:color w:val="auto"/>
        </w:rPr>
        <w:t>F4</w:t>
      </w:r>
      <w:r>
        <w:rPr>
          <w:rFonts w:hint="eastAsia" w:ascii="宋体" w:hAnsi="宋体" w:eastAsia="宋体" w:cs="宋体"/>
          <w:color w:val="auto"/>
        </w:rPr>
        <w:t>×</w:t>
      </w:r>
      <w:r>
        <w:rPr>
          <w:rFonts w:ascii="Calibri" w:hAnsi="Calibri" w:eastAsia="宋体" w:cs="Calibri"/>
          <w:color w:val="auto"/>
        </w:rPr>
        <w:t>A4</w:t>
      </w:r>
      <w:r>
        <w:rPr>
          <w:rFonts w:hint="eastAsia" w:ascii="宋体" w:hAnsi="宋体" w:eastAsia="宋体" w:cs="宋体"/>
          <w:color w:val="auto"/>
        </w:rPr>
        <w:t>）</w:t>
      </w:r>
    </w:p>
    <w:p w14:paraId="2BBE7521">
      <w:pPr>
        <w:pStyle w:val="27"/>
        <w:widowControl/>
        <w:ind w:firstLine="480"/>
        <w:rPr>
          <w:color w:val="auto"/>
        </w:rPr>
      </w:pPr>
      <w:r>
        <w:rPr>
          <w:rFonts w:hint="eastAsia" w:ascii="宋体" w:hAnsi="宋体" w:eastAsia="宋体" w:cs="宋体"/>
          <w:color w:val="auto"/>
        </w:rPr>
        <w:t>a.优先类节能产品、环境标志产品：</w:t>
      </w:r>
    </w:p>
    <w:p w14:paraId="0A7FBCF7">
      <w:pPr>
        <w:pStyle w:val="27"/>
        <w:widowControl/>
        <w:ind w:firstLine="480"/>
        <w:rPr>
          <w:color w:val="auto"/>
        </w:rPr>
      </w:pPr>
      <w:r>
        <w:rPr>
          <w:rFonts w:hint="eastAsia" w:ascii="宋体" w:hAnsi="宋体" w:eastAsia="宋体" w:cs="宋体"/>
          <w:color w:val="auto"/>
        </w:rPr>
        <w:t>a1若同一合同包内节能、环境标志产品报价总金额低于该合同包报价总金额</w:t>
      </w:r>
      <w:r>
        <w:rPr>
          <w:rFonts w:ascii="Calibri" w:hAnsi="Calibri" w:eastAsia="宋体" w:cs="Calibri"/>
          <w:color w:val="auto"/>
        </w:rPr>
        <w:t>20%</w:t>
      </w:r>
      <w:r>
        <w:rPr>
          <w:rFonts w:hint="eastAsia" w:ascii="宋体" w:hAnsi="宋体" w:eastAsia="宋体" w:cs="宋体"/>
          <w:color w:val="auto"/>
        </w:rPr>
        <w:t>（含</w:t>
      </w:r>
      <w:r>
        <w:rPr>
          <w:rFonts w:ascii="Calibri" w:hAnsi="Calibri" w:eastAsia="宋体" w:cs="Calibri"/>
          <w:color w:val="auto"/>
        </w:rPr>
        <w:t>20%</w:t>
      </w:r>
      <w:r>
        <w:rPr>
          <w:rFonts w:hint="eastAsia" w:ascii="宋体" w:hAnsi="宋体" w:eastAsia="宋体" w:cs="宋体"/>
          <w:color w:val="auto"/>
        </w:rPr>
        <w:t>）以下，将分别给予节能、环境标志产品价格项（</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，按照满分计）和技术项（</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，按照满分计）</w:t>
      </w:r>
      <w:r>
        <w:rPr>
          <w:rFonts w:ascii="Calibri" w:hAnsi="Calibri" w:eastAsia="宋体" w:cs="Calibri"/>
          <w:color w:val="auto"/>
        </w:rPr>
        <w:t>4%</w:t>
      </w:r>
      <w:r>
        <w:rPr>
          <w:rFonts w:hint="eastAsia" w:ascii="宋体" w:hAnsi="宋体" w:eastAsia="宋体" w:cs="宋体"/>
          <w:color w:val="auto"/>
        </w:rPr>
        <w:t>的加分；若同一合同包内节能、环境标志产品报价总金额占该合同包报价总金额</w:t>
      </w:r>
      <w:r>
        <w:rPr>
          <w:rFonts w:ascii="Calibri" w:hAnsi="Calibri" w:eastAsia="宋体" w:cs="Calibri"/>
          <w:color w:val="auto"/>
        </w:rPr>
        <w:t>20%-50%</w:t>
      </w:r>
      <w:r>
        <w:rPr>
          <w:rFonts w:hint="eastAsia" w:ascii="宋体" w:hAnsi="宋体" w:eastAsia="宋体" w:cs="宋体"/>
          <w:color w:val="auto"/>
        </w:rPr>
        <w:t>（含</w:t>
      </w:r>
      <w:r>
        <w:rPr>
          <w:rFonts w:ascii="Calibri" w:hAnsi="Calibri" w:eastAsia="宋体" w:cs="Calibri"/>
          <w:color w:val="auto"/>
        </w:rPr>
        <w:t>50%</w:t>
      </w:r>
      <w:r>
        <w:rPr>
          <w:rFonts w:hint="eastAsia" w:ascii="宋体" w:hAnsi="宋体" w:eastAsia="宋体" w:cs="宋体"/>
          <w:color w:val="auto"/>
        </w:rPr>
        <w:t>），将分别给予节能、环境标志产品价格项（</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，按照满分计）和技术项（</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，按照满分计）</w:t>
      </w:r>
      <w:r>
        <w:rPr>
          <w:rFonts w:ascii="Calibri" w:hAnsi="Calibri" w:eastAsia="宋体" w:cs="Calibri"/>
          <w:color w:val="auto"/>
        </w:rPr>
        <w:t>6%</w:t>
      </w:r>
      <w:r>
        <w:rPr>
          <w:rFonts w:hint="eastAsia" w:ascii="宋体" w:hAnsi="宋体" w:eastAsia="宋体" w:cs="宋体"/>
          <w:color w:val="auto"/>
        </w:rPr>
        <w:t>的加分；若同一合同包内节能、环境标志产品报价总金额占该合同包报价总金额</w:t>
      </w:r>
      <w:r>
        <w:rPr>
          <w:rFonts w:ascii="Calibri" w:hAnsi="Calibri" w:eastAsia="宋体" w:cs="Calibri"/>
          <w:color w:val="auto"/>
        </w:rPr>
        <w:t>50%</w:t>
      </w:r>
      <w:r>
        <w:rPr>
          <w:rFonts w:hint="eastAsia" w:ascii="宋体" w:hAnsi="宋体" w:eastAsia="宋体" w:cs="宋体"/>
          <w:color w:val="auto"/>
        </w:rPr>
        <w:t>以上的，将分别给予节能、环境标志产品价格项（</w:t>
      </w:r>
      <w:r>
        <w:rPr>
          <w:rFonts w:ascii="Calibri" w:hAnsi="Calibri" w:eastAsia="宋体" w:cs="Calibri"/>
          <w:color w:val="auto"/>
        </w:rPr>
        <w:t>F1</w:t>
      </w:r>
      <w:r>
        <w:rPr>
          <w:rFonts w:hint="eastAsia" w:ascii="宋体" w:hAnsi="宋体" w:eastAsia="宋体" w:cs="宋体"/>
          <w:color w:val="auto"/>
        </w:rPr>
        <w:t>×</w:t>
      </w:r>
      <w:r>
        <w:rPr>
          <w:rFonts w:ascii="Calibri" w:hAnsi="Calibri" w:eastAsia="宋体" w:cs="Calibri"/>
          <w:color w:val="auto"/>
        </w:rPr>
        <w:t>A1</w:t>
      </w:r>
      <w:r>
        <w:rPr>
          <w:rFonts w:hint="eastAsia" w:ascii="宋体" w:hAnsi="宋体" w:eastAsia="宋体" w:cs="宋体"/>
          <w:color w:val="auto"/>
        </w:rPr>
        <w:t>，按照满分计）和技术项（</w:t>
      </w:r>
      <w:r>
        <w:rPr>
          <w:rFonts w:ascii="Calibri" w:hAnsi="Calibri" w:eastAsia="宋体" w:cs="Calibri"/>
          <w:color w:val="auto"/>
        </w:rPr>
        <w:t>F2</w:t>
      </w:r>
      <w:r>
        <w:rPr>
          <w:rFonts w:hint="eastAsia" w:ascii="宋体" w:hAnsi="宋体" w:eastAsia="宋体" w:cs="宋体"/>
          <w:color w:val="auto"/>
        </w:rPr>
        <w:t>×</w:t>
      </w:r>
      <w:r>
        <w:rPr>
          <w:rFonts w:ascii="Calibri" w:hAnsi="Calibri" w:eastAsia="宋体" w:cs="Calibri"/>
          <w:color w:val="auto"/>
        </w:rPr>
        <w:t>A2</w:t>
      </w:r>
      <w:r>
        <w:rPr>
          <w:rFonts w:hint="eastAsia" w:ascii="宋体" w:hAnsi="宋体" w:eastAsia="宋体" w:cs="宋体"/>
          <w:color w:val="auto"/>
        </w:rPr>
        <w:t>，按照满分计）</w:t>
      </w:r>
      <w:r>
        <w:rPr>
          <w:rFonts w:ascii="Calibri" w:hAnsi="Calibri" w:eastAsia="宋体" w:cs="Calibri"/>
          <w:color w:val="auto"/>
        </w:rPr>
        <w:t>8%</w:t>
      </w:r>
      <w:r>
        <w:rPr>
          <w:rFonts w:hint="eastAsia" w:ascii="宋体" w:hAnsi="宋体" w:eastAsia="宋体" w:cs="宋体"/>
          <w:color w:val="auto"/>
        </w:rPr>
        <w:t>的加分。</w:t>
      </w:r>
    </w:p>
    <w:p w14:paraId="7F458508">
      <w:pPr>
        <w:pStyle w:val="27"/>
        <w:widowControl/>
        <w:ind w:firstLine="480"/>
        <w:rPr>
          <w:color w:val="auto"/>
        </w:rPr>
      </w:pPr>
      <w:r>
        <w:rPr>
          <w:rFonts w:hint="eastAsia" w:ascii="宋体" w:hAnsi="宋体" w:eastAsia="宋体" w:cs="宋体"/>
          <w:color w:val="auto"/>
        </w:rPr>
        <w:t>a2若节能、环境标志产品仅是构成投标产品的部件、组件或零件，则该投标产品不享受鼓励优惠政策。同一品目中各认证证书不重复计算加分。强制类节能产品不享受加分。</w:t>
      </w:r>
      <w:r>
        <w:rPr>
          <w:color w:val="auto"/>
        </w:rPr>
        <w:t xml:space="preserve"> </w:t>
      </w:r>
    </w:p>
    <w:p w14:paraId="47A181F5">
      <w:pPr>
        <w:pStyle w:val="27"/>
        <w:widowControl/>
        <w:ind w:firstLine="480"/>
        <w:rPr>
          <w:color w:val="auto"/>
        </w:rPr>
      </w:pPr>
      <w:r>
        <w:rPr>
          <w:rStyle w:val="32"/>
          <w:color w:val="auto"/>
        </w:rPr>
        <w:t>         无</w:t>
      </w:r>
    </w:p>
    <w:p w14:paraId="0DC86427">
      <w:pPr>
        <w:pStyle w:val="27"/>
        <w:widowControl/>
        <w:ind w:firstLine="480"/>
        <w:rPr>
          <w:color w:val="auto"/>
        </w:rPr>
      </w:pPr>
      <w:r>
        <w:rPr>
          <w:rFonts w:hint="eastAsia" w:ascii="宋体" w:hAnsi="宋体" w:eastAsia="宋体" w:cs="宋体"/>
          <w:color w:val="auto"/>
        </w:rPr>
        <w:t>（4）中标候选人排列规则顺序如下：</w:t>
      </w:r>
      <w:r>
        <w:rPr>
          <w:color w:val="auto"/>
        </w:rPr>
        <w:t xml:space="preserve"> </w:t>
      </w:r>
    </w:p>
    <w:p w14:paraId="14C2B5DC">
      <w:pPr>
        <w:pStyle w:val="27"/>
        <w:widowControl/>
        <w:ind w:firstLine="480"/>
        <w:rPr>
          <w:color w:val="auto"/>
        </w:rPr>
      </w:pPr>
      <w:r>
        <w:rPr>
          <w:rFonts w:hint="eastAsia" w:ascii="宋体" w:hAnsi="宋体" w:eastAsia="宋体" w:cs="宋体"/>
          <w:color w:val="auto"/>
        </w:rPr>
        <w:t>a.按照评标总得分（</w:t>
      </w:r>
      <w:r>
        <w:rPr>
          <w:rFonts w:ascii="Calibri" w:hAnsi="Calibri" w:eastAsia="宋体" w:cs="Calibri"/>
          <w:color w:val="auto"/>
        </w:rPr>
        <w:t>FA</w:t>
      </w:r>
      <w:r>
        <w:rPr>
          <w:rFonts w:hint="eastAsia" w:ascii="宋体" w:hAnsi="宋体" w:eastAsia="宋体" w:cs="宋体"/>
          <w:color w:val="auto"/>
        </w:rPr>
        <w:t>）由高到低顺序排列。</w:t>
      </w:r>
    </w:p>
    <w:p w14:paraId="04A0104A">
      <w:pPr>
        <w:pStyle w:val="27"/>
        <w:widowControl/>
        <w:ind w:firstLine="480"/>
        <w:rPr>
          <w:color w:val="auto"/>
        </w:rPr>
      </w:pPr>
      <w:r>
        <w:rPr>
          <w:rFonts w:hint="eastAsia" w:ascii="宋体" w:hAnsi="宋体" w:eastAsia="宋体" w:cs="宋体"/>
          <w:color w:val="auto"/>
        </w:rPr>
        <w:t>b.评标总得分（</w:t>
      </w:r>
      <w:r>
        <w:rPr>
          <w:rFonts w:ascii="Calibri" w:hAnsi="Calibri" w:eastAsia="宋体" w:cs="Calibri"/>
          <w:color w:val="auto"/>
        </w:rPr>
        <w:t>FA</w:t>
      </w:r>
      <w:r>
        <w:rPr>
          <w:rFonts w:hint="eastAsia" w:ascii="宋体" w:hAnsi="宋体" w:eastAsia="宋体" w:cs="宋体"/>
          <w:color w:val="auto"/>
        </w:rPr>
        <w:t>）相同的，按照评标价（即价格扣除后的投标报价）由低到高顺序排列。</w:t>
      </w:r>
      <w:r>
        <w:rPr>
          <w:color w:val="auto"/>
        </w:rPr>
        <w:t xml:space="preserve"> </w:t>
      </w:r>
    </w:p>
    <w:p w14:paraId="533D2BBB">
      <w:pPr>
        <w:pStyle w:val="27"/>
        <w:widowControl/>
        <w:ind w:firstLine="480"/>
        <w:rPr>
          <w:color w:val="auto"/>
        </w:rPr>
      </w:pPr>
      <w:r>
        <w:rPr>
          <w:rFonts w:hint="eastAsia" w:ascii="宋体" w:hAnsi="宋体" w:eastAsia="宋体" w:cs="宋体"/>
          <w:color w:val="auto"/>
        </w:rPr>
        <w:t>c.评标总得分（</w:t>
      </w:r>
      <w:r>
        <w:rPr>
          <w:rFonts w:ascii="Calibri" w:hAnsi="Calibri" w:eastAsia="宋体" w:cs="Calibri"/>
          <w:color w:val="auto"/>
        </w:rPr>
        <w:t>FA</w:t>
      </w:r>
      <w:r>
        <w:rPr>
          <w:rFonts w:hint="eastAsia" w:ascii="宋体" w:hAnsi="宋体" w:eastAsia="宋体" w:cs="宋体"/>
          <w:color w:val="auto"/>
        </w:rPr>
        <w:t>）且评标价（即价格扣除后的投标报价）相同的并列。</w:t>
      </w:r>
      <w:r>
        <w:rPr>
          <w:color w:val="auto"/>
        </w:rPr>
        <w:t xml:space="preserve"> </w:t>
      </w:r>
    </w:p>
    <w:p w14:paraId="45F70C36">
      <w:pPr>
        <w:pStyle w:val="27"/>
        <w:widowControl/>
        <w:spacing w:before="75" w:beforeAutospacing="0" w:after="75" w:afterAutospacing="0"/>
        <w:rPr>
          <w:rFonts w:ascii="宋体" w:hAnsi="宋体" w:eastAsia="宋体" w:cs="宋体"/>
          <w:color w:val="auto"/>
        </w:rPr>
      </w:pPr>
    </w:p>
    <w:p w14:paraId="028DC34A">
      <w:pPr>
        <w:pStyle w:val="27"/>
        <w:widowControl/>
        <w:spacing w:before="75" w:beforeAutospacing="0" w:after="75" w:afterAutospacing="0"/>
        <w:rPr>
          <w:color w:val="auto"/>
        </w:rPr>
      </w:pPr>
      <w:r>
        <w:rPr>
          <w:rFonts w:hint="eastAsia" w:ascii="宋体" w:hAnsi="宋体" w:eastAsia="宋体" w:cs="宋体"/>
          <w:color w:val="auto"/>
        </w:rPr>
        <w:t>8、其他规定</w:t>
      </w:r>
    </w:p>
    <w:p w14:paraId="02695FF9">
      <w:pPr>
        <w:pStyle w:val="27"/>
        <w:widowControl/>
        <w:spacing w:before="75" w:beforeAutospacing="0" w:after="75" w:afterAutospacing="0"/>
        <w:rPr>
          <w:color w:val="auto"/>
        </w:rPr>
      </w:pPr>
      <w:r>
        <w:rPr>
          <w:rFonts w:hint="eastAsia" w:ascii="宋体" w:hAnsi="宋体" w:eastAsia="宋体" w:cs="宋体"/>
          <w:color w:val="auto"/>
        </w:rPr>
        <w:t>8.1评标应全程保密且不得透露给任一投标人或与评标工作无关的人员。</w:t>
      </w:r>
    </w:p>
    <w:p w14:paraId="48AF29B1">
      <w:pPr>
        <w:pStyle w:val="27"/>
        <w:widowControl/>
        <w:spacing w:before="75" w:beforeAutospacing="0" w:after="75" w:afterAutospacing="0"/>
        <w:rPr>
          <w:color w:val="auto"/>
        </w:rPr>
      </w:pPr>
      <w:r>
        <w:rPr>
          <w:rFonts w:hint="eastAsia" w:ascii="宋体" w:hAnsi="宋体" w:eastAsia="宋体" w:cs="宋体"/>
          <w:color w:val="auto"/>
        </w:rPr>
        <w:t>8.2评标将进行全程实时录音录像，录音录像资料随采购文件一并存档。</w:t>
      </w:r>
    </w:p>
    <w:p w14:paraId="14F9AB09">
      <w:pPr>
        <w:pStyle w:val="27"/>
        <w:widowControl/>
        <w:spacing w:before="75" w:beforeAutospacing="0" w:after="75" w:afterAutospacing="0"/>
        <w:rPr>
          <w:color w:val="auto"/>
        </w:rPr>
      </w:pPr>
      <w:r>
        <w:rPr>
          <w:rFonts w:hint="eastAsia" w:ascii="宋体" w:hAnsi="宋体" w:eastAsia="宋体" w:cs="宋体"/>
          <w:color w:val="auto"/>
        </w:rPr>
        <w:t>8.3若投标人有任何试图干扰具体评标事务，影响评标委员会独立履行职责的行为，其投标无效且不予退还投标保证金。情节严重的，由财政部门列入不良行为记录。</w:t>
      </w:r>
    </w:p>
    <w:p w14:paraId="72DA047E">
      <w:pPr>
        <w:pStyle w:val="27"/>
        <w:widowControl/>
        <w:spacing w:before="75" w:beforeAutospacing="0" w:after="75" w:afterAutospacing="0"/>
        <w:rPr>
          <w:color w:val="auto"/>
        </w:rPr>
      </w:pPr>
      <w:r>
        <w:rPr>
          <w:rFonts w:hint="eastAsia" w:ascii="宋体" w:hAnsi="宋体" w:eastAsia="宋体" w:cs="宋体"/>
          <w:color w:val="auto"/>
        </w:rPr>
        <w:t>8.4其他：</w:t>
      </w:r>
      <w:r>
        <w:rPr>
          <w:color w:val="auto"/>
        </w:rPr>
        <w:t>无</w:t>
      </w:r>
    </w:p>
    <w:p w14:paraId="319AEEBC">
      <w:pPr>
        <w:pStyle w:val="27"/>
        <w:widowControl/>
        <w:spacing w:before="75" w:beforeAutospacing="0" w:after="75" w:afterAutospacing="0"/>
        <w:jc w:val="center"/>
        <w:rPr>
          <w:color w:val="auto"/>
        </w:rPr>
      </w:pPr>
      <w:r>
        <w:rPr>
          <w:color w:val="auto"/>
        </w:rPr>
        <w:t> </w:t>
      </w:r>
    </w:p>
    <w:p w14:paraId="4EF30BD7">
      <w:pPr>
        <w:pStyle w:val="27"/>
        <w:widowControl/>
        <w:spacing w:before="75" w:beforeAutospacing="0" w:after="75" w:afterAutospacing="0"/>
        <w:jc w:val="center"/>
        <w:rPr>
          <w:color w:val="auto"/>
        </w:rPr>
      </w:pPr>
      <w:r>
        <w:rPr>
          <w:rFonts w:hint="eastAsia" w:ascii="宋体" w:hAnsi="宋体" w:eastAsia="宋体" w:cs="宋体"/>
          <w:color w:val="auto"/>
        </w:rPr>
        <w:t> </w:t>
      </w:r>
    </w:p>
    <w:p w14:paraId="0E350435">
      <w:pPr>
        <w:pStyle w:val="27"/>
        <w:widowControl/>
        <w:spacing w:before="75" w:beforeAutospacing="0" w:after="75" w:afterAutospacing="0"/>
        <w:rPr>
          <w:color w:val="auto"/>
        </w:rPr>
      </w:pPr>
      <w:r>
        <w:rPr>
          <w:rFonts w:hint="eastAsia" w:ascii="宋体" w:hAnsi="宋体" w:eastAsia="宋体" w:cs="宋体"/>
          <w:color w:val="auto"/>
        </w:rPr>
        <w:t> </w:t>
      </w:r>
    </w:p>
    <w:p w14:paraId="1C37340B">
      <w:pPr>
        <w:pStyle w:val="27"/>
        <w:widowControl/>
        <w:spacing w:before="75" w:beforeAutospacing="0" w:after="75" w:afterAutospacing="0"/>
        <w:jc w:val="center"/>
        <w:rPr>
          <w:rStyle w:val="32"/>
          <w:rFonts w:ascii="宋体" w:hAnsi="宋体" w:eastAsia="宋体" w:cs="宋体"/>
          <w:color w:val="auto"/>
          <w:sz w:val="31"/>
          <w:szCs w:val="31"/>
        </w:rPr>
      </w:pPr>
      <w:r>
        <w:rPr>
          <w:rStyle w:val="32"/>
          <w:rFonts w:hint="eastAsia" w:ascii="宋体" w:hAnsi="宋体" w:eastAsia="宋体" w:cs="宋体"/>
          <w:color w:val="auto"/>
          <w:sz w:val="31"/>
          <w:szCs w:val="31"/>
        </w:rPr>
        <w:br w:type="page"/>
      </w:r>
    </w:p>
    <w:p w14:paraId="76C3A2B2">
      <w:pPr>
        <w:pStyle w:val="27"/>
        <w:widowControl/>
        <w:spacing w:before="75" w:beforeAutospacing="0" w:after="75" w:afterAutospacing="0"/>
        <w:jc w:val="center"/>
        <w:outlineLvl w:val="0"/>
        <w:rPr>
          <w:color w:val="auto"/>
        </w:rPr>
      </w:pPr>
      <w:bookmarkStart w:id="5" w:name="_Toc25878"/>
      <w:r>
        <w:rPr>
          <w:rStyle w:val="32"/>
          <w:rFonts w:hint="eastAsia" w:ascii="宋体" w:hAnsi="宋体" w:eastAsia="宋体" w:cs="宋体"/>
          <w:color w:val="auto"/>
          <w:sz w:val="31"/>
          <w:szCs w:val="31"/>
        </w:rPr>
        <w:t>第五章</w:t>
      </w:r>
      <w:r>
        <w:rPr>
          <w:rStyle w:val="32"/>
          <w:color w:val="auto"/>
          <w:sz w:val="31"/>
          <w:szCs w:val="31"/>
        </w:rPr>
        <w:t>   </w:t>
      </w:r>
      <w:r>
        <w:rPr>
          <w:rStyle w:val="32"/>
          <w:rFonts w:hint="eastAsia" w:ascii="宋体" w:hAnsi="宋体" w:eastAsia="宋体" w:cs="宋体"/>
          <w:color w:val="auto"/>
          <w:sz w:val="31"/>
          <w:szCs w:val="31"/>
        </w:rPr>
        <w:t>招标内容及要求</w:t>
      </w:r>
      <w:bookmarkEnd w:id="5"/>
    </w:p>
    <w:p w14:paraId="4E44C61A">
      <w:pPr>
        <w:pStyle w:val="27"/>
        <w:widowControl/>
        <w:numPr>
          <w:ilvl w:val="0"/>
          <w:numId w:val="4"/>
        </w:numPr>
        <w:spacing w:before="75" w:beforeAutospacing="0" w:after="75" w:afterAutospacing="0"/>
        <w:outlineLvl w:val="1"/>
        <w:rPr>
          <w:color w:val="auto"/>
        </w:rPr>
      </w:pPr>
      <w:r>
        <w:rPr>
          <w:color w:val="auto"/>
        </w:rPr>
        <w:t>项目概况（采购标的）</w:t>
      </w:r>
    </w:p>
    <w:p w14:paraId="06C9B372">
      <w:pPr>
        <w:pStyle w:val="27"/>
        <w:widowControl/>
        <w:spacing w:before="75" w:beforeAutospacing="0" w:after="75" w:afterAutospacing="0"/>
        <w:ind w:firstLine="281" w:firstLineChars="100"/>
        <w:rPr>
          <w:b/>
          <w:bCs/>
          <w:color w:val="auto"/>
          <w:sz w:val="28"/>
          <w:szCs w:val="28"/>
        </w:rPr>
      </w:pPr>
      <w:bookmarkStart w:id="6" w:name="_Toc512703037"/>
      <w:bookmarkStart w:id="7" w:name="_Toc18824"/>
      <w:bookmarkStart w:id="8" w:name="_Toc149615206"/>
      <w:bookmarkStart w:id="9" w:name="_Toc140410193"/>
      <w:bookmarkStart w:id="10" w:name="_Toc166773482"/>
      <w:bookmarkStart w:id="11" w:name="_Toc2076"/>
      <w:bookmarkStart w:id="12" w:name="_Toc4777"/>
      <w:bookmarkStart w:id="13" w:name="_Toc83216157"/>
      <w:bookmarkStart w:id="14" w:name="_Toc526267766"/>
      <w:bookmarkStart w:id="15" w:name="_Toc166773174"/>
      <w:bookmarkStart w:id="16" w:name="_Toc140570040"/>
      <w:bookmarkStart w:id="17" w:name="_Toc9552"/>
      <w:bookmarkStart w:id="18" w:name="_Toc95403929"/>
      <w:bookmarkStart w:id="19" w:name="_Toc12220"/>
      <w:r>
        <w:rPr>
          <w:rFonts w:hint="eastAsia"/>
          <w:b/>
          <w:bCs/>
          <w:color w:val="auto"/>
          <w:sz w:val="28"/>
          <w:szCs w:val="28"/>
        </w:rPr>
        <w:t>1.项目名称</w:t>
      </w:r>
      <w:bookmarkEnd w:id="6"/>
      <w:bookmarkEnd w:id="7"/>
      <w:bookmarkEnd w:id="8"/>
      <w:bookmarkEnd w:id="9"/>
      <w:bookmarkEnd w:id="10"/>
      <w:bookmarkEnd w:id="11"/>
      <w:bookmarkEnd w:id="12"/>
      <w:bookmarkEnd w:id="13"/>
      <w:bookmarkEnd w:id="14"/>
      <w:bookmarkEnd w:id="15"/>
      <w:bookmarkEnd w:id="16"/>
      <w:bookmarkEnd w:id="17"/>
      <w:bookmarkEnd w:id="18"/>
      <w:bookmarkEnd w:id="19"/>
    </w:p>
    <w:p w14:paraId="08E35A65">
      <w:pPr>
        <w:pStyle w:val="27"/>
        <w:widowControl/>
        <w:spacing w:before="75" w:beforeAutospacing="0" w:after="75" w:afterAutospacing="0"/>
        <w:ind w:firstLine="480" w:firstLineChars="200"/>
        <w:rPr>
          <w:color w:val="auto"/>
        </w:rPr>
      </w:pPr>
      <w:r>
        <w:rPr>
          <w:rFonts w:hint="eastAsia"/>
          <w:color w:val="auto"/>
        </w:rPr>
        <w:t>福州市城市综合管理服务平台项目</w:t>
      </w:r>
    </w:p>
    <w:p w14:paraId="11A65C24">
      <w:pPr>
        <w:pStyle w:val="27"/>
        <w:widowControl/>
        <w:spacing w:before="75" w:beforeAutospacing="0" w:after="75" w:afterAutospacing="0"/>
        <w:ind w:firstLine="281" w:firstLineChars="100"/>
        <w:rPr>
          <w:b/>
          <w:bCs/>
          <w:color w:val="auto"/>
          <w:sz w:val="28"/>
          <w:szCs w:val="28"/>
        </w:rPr>
      </w:pPr>
      <w:bookmarkStart w:id="20" w:name="_Toc166773483"/>
      <w:bookmarkStart w:id="21" w:name="_Toc95403930"/>
      <w:bookmarkStart w:id="22" w:name="_Toc479"/>
      <w:bookmarkStart w:id="23" w:name="_Toc526267767"/>
      <w:bookmarkStart w:id="24" w:name="_Toc8443"/>
      <w:bookmarkStart w:id="25" w:name="_Toc149615207"/>
      <w:bookmarkStart w:id="26" w:name="_Toc140570041"/>
      <w:bookmarkStart w:id="27" w:name="_Toc9763"/>
      <w:bookmarkStart w:id="28" w:name="_Toc166773175"/>
      <w:bookmarkStart w:id="29" w:name="_Toc7480"/>
      <w:bookmarkStart w:id="30" w:name="_Toc83216158"/>
      <w:bookmarkStart w:id="31" w:name="_Toc512703038"/>
      <w:bookmarkStart w:id="32" w:name="_Toc140410194"/>
      <w:bookmarkStart w:id="33" w:name="_Toc12942"/>
      <w:r>
        <w:rPr>
          <w:rFonts w:hint="eastAsia"/>
          <w:b/>
          <w:bCs/>
          <w:color w:val="auto"/>
          <w:sz w:val="28"/>
          <w:szCs w:val="28"/>
        </w:rPr>
        <w:t>2.项目建设单位</w:t>
      </w:r>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06DA12D1">
      <w:pPr>
        <w:pStyle w:val="27"/>
        <w:widowControl/>
        <w:spacing w:before="75" w:beforeAutospacing="0" w:after="75" w:afterAutospacing="0"/>
        <w:ind w:firstLine="480" w:firstLineChars="200"/>
        <w:rPr>
          <w:color w:val="auto"/>
        </w:rPr>
      </w:pPr>
      <w:r>
        <w:rPr>
          <w:rFonts w:hint="eastAsia"/>
          <w:color w:val="auto"/>
        </w:rPr>
        <w:t>建设单位：福州市“智慧福州”管理服务中心</w:t>
      </w:r>
    </w:p>
    <w:p w14:paraId="2D57EAB2">
      <w:pPr>
        <w:pStyle w:val="27"/>
        <w:widowControl/>
        <w:spacing w:before="75" w:beforeAutospacing="0" w:after="75" w:afterAutospacing="0"/>
        <w:ind w:firstLine="281" w:firstLineChars="100"/>
        <w:rPr>
          <w:b/>
          <w:bCs/>
          <w:color w:val="auto"/>
          <w:sz w:val="28"/>
          <w:szCs w:val="28"/>
        </w:rPr>
      </w:pPr>
      <w:bookmarkStart w:id="34" w:name="_Toc14046"/>
      <w:bookmarkStart w:id="35" w:name="_Toc29382"/>
      <w:bookmarkStart w:id="36" w:name="_Toc95403938"/>
      <w:bookmarkStart w:id="37" w:name="_Toc512703042"/>
      <w:bookmarkStart w:id="38" w:name="_Toc3265"/>
      <w:bookmarkStart w:id="39" w:name="_Toc83216167"/>
      <w:bookmarkStart w:id="40" w:name="_Toc526267771"/>
      <w:bookmarkStart w:id="41" w:name="_Toc16382"/>
      <w:bookmarkStart w:id="42" w:name="_Toc3829"/>
      <w:r>
        <w:rPr>
          <w:rFonts w:hint="eastAsia"/>
          <w:b/>
          <w:bCs/>
          <w:color w:val="auto"/>
          <w:sz w:val="28"/>
          <w:szCs w:val="28"/>
        </w:rPr>
        <w:t>3.建设目标</w:t>
      </w:r>
      <w:bookmarkEnd w:id="34"/>
      <w:bookmarkEnd w:id="35"/>
      <w:bookmarkEnd w:id="36"/>
      <w:bookmarkEnd w:id="37"/>
      <w:bookmarkEnd w:id="38"/>
      <w:bookmarkEnd w:id="39"/>
      <w:bookmarkEnd w:id="40"/>
      <w:bookmarkEnd w:id="41"/>
      <w:bookmarkEnd w:id="42"/>
    </w:p>
    <w:p w14:paraId="223C5942">
      <w:pPr>
        <w:ind w:firstLine="480"/>
        <w:rPr>
          <w:rFonts w:ascii="宋体" w:hAnsi="宋体" w:eastAsia="宋体" w:cs="宋体"/>
          <w:color w:val="auto"/>
          <w:sz w:val="24"/>
        </w:rPr>
      </w:pPr>
      <w:r>
        <w:rPr>
          <w:rFonts w:hint="eastAsia" w:ascii="宋体" w:hAnsi="宋体" w:eastAsia="宋体" w:cs="宋体"/>
          <w:color w:val="auto"/>
          <w:sz w:val="24"/>
        </w:rPr>
        <w:t>城市综合管理服务市级平台基于现有网格化管理综合服务平台系统，纵向对接国家、省级平台，联通县（市、区）平台，横向整合或共享城市管理相关部门数据资源，统筹协调、指挥调度、监督考核、综合评价全市城市综合管理服务工作，推动形成党委政府领导下的</w:t>
      </w:r>
      <w:r>
        <w:rPr>
          <w:rFonts w:hint="eastAsia" w:ascii="宋体" w:hAnsi="宋体" w:eastAsia="宋体" w:cs="宋体"/>
          <w:color w:val="auto"/>
          <w:sz w:val="24"/>
          <w:lang w:val="zh-CN"/>
        </w:rPr>
        <w:t>“大</w:t>
      </w:r>
      <w:r>
        <w:rPr>
          <w:rFonts w:hint="eastAsia" w:ascii="宋体" w:hAnsi="宋体" w:eastAsia="宋体" w:cs="宋体"/>
          <w:color w:val="auto"/>
          <w:sz w:val="24"/>
        </w:rPr>
        <w:t>城管”工作格局。</w:t>
      </w:r>
    </w:p>
    <w:p w14:paraId="0F01180B">
      <w:pPr>
        <w:pStyle w:val="53"/>
        <w:ind w:firstLine="480"/>
        <w:rPr>
          <w:rFonts w:ascii="宋体" w:hAnsi="宋体" w:eastAsia="宋体" w:cs="宋体"/>
          <w:color w:val="auto"/>
          <w:sz w:val="24"/>
        </w:rPr>
      </w:pPr>
      <w:r>
        <w:rPr>
          <w:rFonts w:hint="eastAsia" w:ascii="宋体" w:hAnsi="宋体" w:eastAsia="宋体" w:cs="宋体"/>
          <w:color w:val="auto"/>
          <w:sz w:val="24"/>
        </w:rPr>
        <w:t>按照住建部关于城市运行管理服务平台工作要求，平台建设需完善平台应用体系、平台数据体系、平台运行环境和平台运行规范，建设11个应用系统，包括城市运行监测系统、指挥协调系统、公众服务系统、城市自评价系统、舆情监测系统、辅助决策中心、共性服务和支撑平台、网格微服务系统、数据交换与管理系统、容器微服务系统、知识图谱和人工智能自动化系统；1套福州市城市事件分类与标准体系，以及1个系统硬件支撑环境建设。</w:t>
      </w:r>
    </w:p>
    <w:p w14:paraId="162C3242">
      <w:pPr>
        <w:pStyle w:val="53"/>
        <w:ind w:firstLine="480"/>
        <w:rPr>
          <w:rFonts w:ascii="宋体" w:hAnsi="宋体" w:eastAsia="宋体" w:cs="宋体"/>
          <w:color w:val="auto"/>
          <w:sz w:val="24"/>
        </w:rPr>
      </w:pPr>
      <w:r>
        <w:rPr>
          <w:rFonts w:hint="eastAsia" w:ascii="宋体" w:hAnsi="宋体" w:eastAsia="宋体" w:cs="宋体"/>
          <w:color w:val="auto"/>
          <w:sz w:val="24"/>
        </w:rPr>
        <w:t>基于微服务架构，在网格化管理综合服务平台的事件与流程基础之上，对现有的指挥协调系统进行能力提升；充分整合现有系统能力，强化城市事件的智能采集，建设城市安全普查与预警等能力支撑系统；加强城市各类运行数据的综合汇聚与分析，搭建数据汇聚系统，形成综合性城市管理数据库；依托政务外网，建设数据交换系统，实现国家、省、市间数据共享与交换，建立辅助决策中心，实现对相关单位、部门数据的实时监测、态势分析、调度指挥与督查督办，实现条块联动、纵向到底、横向到边的城市网格管理，形成“党政领导、统一指挥、诸力联动、各司其职、分级负责、属地管理为主”的工作体系，最终建立一个高效运转的城市管理服务信息化机制，实现城市的扁平化管理服务，进一步提升城市管理、社会服务的综合效能，有效解决当前城市管理中的复杂问题和疑难杂症。建设市级城市运行管理服务数据库，包括城市基础数据库，运行、管理、服务和综合评价等数据库。同时建设可拓展、安全高效的基础运行环境，打造横到边纵到底的“大城管”体系，树立城市管理与服务的福州经验与福州品牌。</w:t>
      </w:r>
    </w:p>
    <w:p w14:paraId="68708276">
      <w:pPr>
        <w:pStyle w:val="27"/>
        <w:widowControl/>
        <w:spacing w:before="75" w:beforeAutospacing="0" w:after="75" w:afterAutospacing="0"/>
        <w:ind w:firstLine="281" w:firstLineChars="100"/>
        <w:rPr>
          <w:rFonts w:cstheme="minorBidi"/>
          <w:b/>
          <w:bCs/>
          <w:color w:val="auto"/>
          <w:sz w:val="28"/>
          <w:szCs w:val="28"/>
        </w:rPr>
      </w:pPr>
      <w:bookmarkStart w:id="43" w:name="_Toc95403939"/>
      <w:r>
        <w:rPr>
          <w:rFonts w:hint="eastAsia" w:cstheme="minorBidi"/>
          <w:b/>
          <w:bCs/>
          <w:color w:val="auto"/>
          <w:sz w:val="28"/>
          <w:szCs w:val="28"/>
        </w:rPr>
        <w:t>4.建设内容</w:t>
      </w:r>
      <w:bookmarkEnd w:id="43"/>
    </w:p>
    <w:p w14:paraId="1CFFE663">
      <w:pPr>
        <w:ind w:firstLine="480"/>
        <w:rPr>
          <w:rFonts w:ascii="宋体" w:hAnsi="宋体" w:eastAsia="宋体" w:cs="宋体"/>
          <w:color w:val="auto"/>
          <w:sz w:val="24"/>
        </w:rPr>
      </w:pPr>
      <w:r>
        <w:rPr>
          <w:rFonts w:hint="eastAsia" w:ascii="宋体" w:hAnsi="宋体" w:eastAsia="宋体" w:cs="宋体"/>
          <w:color w:val="auto"/>
          <w:sz w:val="24"/>
        </w:rPr>
        <w:t>对标住建部试点要求，我市平台建设，在原有系统基础上，同时结合福州城市管理实际情况需要，建设城市综合管理服务平台，具体建设内容如下：</w:t>
      </w:r>
    </w:p>
    <w:p w14:paraId="2E87FF6A">
      <w:pPr>
        <w:ind w:firstLine="480"/>
        <w:rPr>
          <w:rFonts w:ascii="宋体" w:hAnsi="宋体" w:eastAsia="宋体" w:cs="宋体"/>
          <w:color w:val="auto"/>
          <w:sz w:val="24"/>
        </w:rPr>
      </w:pPr>
      <w:r>
        <w:rPr>
          <w:rFonts w:hint="eastAsia" w:ascii="宋体" w:hAnsi="宋体" w:eastAsia="宋体" w:cs="宋体"/>
          <w:color w:val="auto"/>
          <w:sz w:val="24"/>
        </w:rPr>
        <w:t>1、城市运行监测系统</w:t>
      </w:r>
    </w:p>
    <w:p w14:paraId="7F8A7E47">
      <w:pPr>
        <w:pStyle w:val="53"/>
        <w:ind w:firstLine="480"/>
        <w:rPr>
          <w:rFonts w:ascii="宋体" w:hAnsi="宋体" w:eastAsia="宋体" w:cs="宋体"/>
          <w:color w:val="auto"/>
          <w:sz w:val="24"/>
        </w:rPr>
      </w:pPr>
      <w:r>
        <w:rPr>
          <w:rFonts w:hint="eastAsia" w:ascii="宋体" w:hAnsi="宋体" w:eastAsia="宋体" w:cs="宋体"/>
          <w:color w:val="auto"/>
          <w:sz w:val="24"/>
        </w:rPr>
        <w:t>城市运行监测系统包括监测预警、风险排查等系统，基于现有e福州综合指挥平台能力，对标《城市运行管理服务平台建设指南与实务》，建设城市运行监测系统，升级构建横向联动“市政、园林、环卫、城管”等多部门、纵向贯穿“市、区县、街镇、社区、网格”五级的事件处置体系，完成城市管理事件的统一预防准备与指挥联动处置，实现对城市管理问题的监测预警、隐患排查等功能；其中</w:t>
      </w:r>
    </w:p>
    <w:p w14:paraId="0D45A9F2">
      <w:pPr>
        <w:ind w:firstLine="480"/>
        <w:rPr>
          <w:rFonts w:ascii="宋体" w:hAnsi="宋体" w:eastAsia="宋体" w:cs="宋体"/>
          <w:color w:val="auto"/>
          <w:sz w:val="24"/>
        </w:rPr>
      </w:pPr>
      <w:r>
        <w:rPr>
          <w:rFonts w:hint="eastAsia" w:ascii="宋体" w:hAnsi="宋体" w:eastAsia="宋体" w:cs="宋体"/>
          <w:color w:val="auto"/>
          <w:sz w:val="24"/>
        </w:rPr>
        <w:t>（1）监测预警系统</w:t>
      </w:r>
    </w:p>
    <w:p w14:paraId="2A482E9F">
      <w:pPr>
        <w:ind w:firstLine="480"/>
        <w:rPr>
          <w:rFonts w:ascii="宋体" w:hAnsi="宋体" w:eastAsia="宋体" w:cs="宋体"/>
          <w:color w:val="auto"/>
          <w:sz w:val="24"/>
        </w:rPr>
      </w:pPr>
      <w:r>
        <w:rPr>
          <w:rFonts w:hint="eastAsia" w:ascii="宋体" w:hAnsi="宋体" w:eastAsia="宋体" w:cs="宋体"/>
          <w:color w:val="auto"/>
          <w:sz w:val="24"/>
        </w:rPr>
        <w:t>在现有e福州综合指挥平台对自然灾害、环境保护、安全生产等领域运行监测基础上，拓展对市政公用、市容环卫、园林绿化、城市内涝、井盖安全、城市噪音、城市事件处置、应急事件、社会治安、公共安全等领域的监测预警分析功能，建立城市管理动态运行在线监测、预警报警应用。</w:t>
      </w:r>
    </w:p>
    <w:p w14:paraId="016046E9">
      <w:pPr>
        <w:ind w:firstLine="480"/>
        <w:rPr>
          <w:rFonts w:ascii="宋体" w:hAnsi="宋体" w:eastAsia="宋体" w:cs="宋体"/>
          <w:color w:val="auto"/>
          <w:sz w:val="24"/>
        </w:rPr>
      </w:pPr>
      <w:r>
        <w:rPr>
          <w:rFonts w:hint="eastAsia" w:ascii="宋体" w:hAnsi="宋体" w:eastAsia="宋体" w:cs="宋体"/>
          <w:color w:val="auto"/>
          <w:sz w:val="24"/>
        </w:rPr>
        <w:t>（2）风险排查系统</w:t>
      </w:r>
    </w:p>
    <w:p w14:paraId="1A777BA0">
      <w:pPr>
        <w:ind w:firstLine="480"/>
        <w:rPr>
          <w:rFonts w:ascii="宋体" w:hAnsi="宋体" w:eastAsia="宋体" w:cs="宋体"/>
          <w:color w:val="auto"/>
          <w:sz w:val="24"/>
        </w:rPr>
      </w:pPr>
      <w:r>
        <w:rPr>
          <w:rFonts w:hint="eastAsia" w:ascii="宋体" w:hAnsi="宋体" w:eastAsia="宋体" w:cs="宋体"/>
          <w:color w:val="auto"/>
          <w:sz w:val="24"/>
        </w:rPr>
        <w:t>在现有e福州综合指挥平台基础上，拓展风险隐患排查功能。建立城市风险隐患事件排查治理系统，通过网格化监督管理，以排查整治流程为干线，快速排查和复查风险隐患情况；对隐患排查整治信息及时、有效地进行跟踪、整改，并将统计数据及时上报，形成各级政府、监管职能部门、社区协同工作的“群防群控”网络应用体系。</w:t>
      </w:r>
    </w:p>
    <w:p w14:paraId="3E16C6B6">
      <w:pPr>
        <w:pStyle w:val="53"/>
        <w:ind w:firstLine="480"/>
        <w:rPr>
          <w:rFonts w:ascii="宋体" w:hAnsi="宋体" w:eastAsia="宋体" w:cs="宋体"/>
          <w:color w:val="auto"/>
          <w:sz w:val="24"/>
        </w:rPr>
      </w:pPr>
      <w:r>
        <w:rPr>
          <w:rFonts w:hint="eastAsia" w:ascii="宋体" w:hAnsi="宋体" w:eastAsia="宋体" w:cs="宋体"/>
          <w:color w:val="auto"/>
          <w:sz w:val="24"/>
        </w:rPr>
        <w:t>2、指挥协调系统</w:t>
      </w:r>
    </w:p>
    <w:p w14:paraId="29EA8882">
      <w:pPr>
        <w:ind w:firstLine="480"/>
        <w:rPr>
          <w:rFonts w:ascii="宋体" w:hAnsi="宋体" w:eastAsia="宋体" w:cs="宋体"/>
          <w:color w:val="auto"/>
          <w:sz w:val="24"/>
        </w:rPr>
      </w:pPr>
      <w:r>
        <w:rPr>
          <w:rFonts w:hint="eastAsia" w:ascii="宋体" w:hAnsi="宋体" w:eastAsia="宋体" w:cs="宋体"/>
          <w:color w:val="auto"/>
          <w:sz w:val="24"/>
        </w:rPr>
        <w:t>平台核心系统，该系统在我市现有数字城管系统基础上进行升级改造，同时通过时空信息公共服务平台和e福州综合指挥平台对其进行赋能实现功能要求。通过以微服务方式建设，提升指挥协调效率。基于网格化平台，构建统一的事件管理中心。基于e福州综合指挥平台，升级改造日常指挥协同系统，实现城市的立体化日常指挥协同管理功能，系统以网格化管理为基础，以社会化服务为方向，实现隐患排查、社会维稳、治安防控、灾害预防及应急宣传教育等服务工作，建立防控力量管理、防控目标掌控、防控任务追踪、日常视频巡查及防控形势研判等管理功能模块。基于e福州综合指挥平台，升级改造应急指挥调度系统，实现突发事件处置的全过程联动指挥管理，能够调用组织公安、消防、急救、交警、城建等多部门、多行业、多层次的应急力量和信息资源，实现对突发事件处置全过程的跟踪、指挥，快速、及时、准确地收集到应急信息，为政府的科学决策提供有效的信息支持。</w:t>
      </w:r>
    </w:p>
    <w:p w14:paraId="32DFD578">
      <w:pPr>
        <w:ind w:firstLine="480"/>
        <w:rPr>
          <w:rFonts w:ascii="宋体" w:hAnsi="宋体" w:eastAsia="宋体" w:cs="宋体"/>
          <w:color w:val="auto"/>
          <w:sz w:val="24"/>
        </w:rPr>
      </w:pPr>
      <w:r>
        <w:rPr>
          <w:rFonts w:hint="eastAsia" w:ascii="宋体" w:hAnsi="宋体" w:eastAsia="宋体" w:cs="宋体"/>
          <w:color w:val="auto"/>
          <w:sz w:val="24"/>
        </w:rPr>
        <w:t>3、公众服务系统</w:t>
      </w:r>
    </w:p>
    <w:p w14:paraId="42294F12">
      <w:pPr>
        <w:ind w:firstLine="480"/>
        <w:rPr>
          <w:rFonts w:ascii="宋体" w:hAnsi="宋体" w:eastAsia="宋体" w:cs="宋体"/>
          <w:color w:val="auto"/>
          <w:sz w:val="24"/>
        </w:rPr>
      </w:pPr>
      <w:r>
        <w:rPr>
          <w:rFonts w:hint="eastAsia" w:ascii="宋体" w:hAnsi="宋体" w:eastAsia="宋体" w:cs="宋体"/>
          <w:color w:val="auto"/>
          <w:sz w:val="24"/>
        </w:rPr>
        <w:t>建设多元的公众服务系统，该系统依托我市现有12345便民（惠企）服务平台，增加与国家12319公众服务号、e福州APP等服务渠道有关城市管理诉求的受理功能，实现对各项服务进行满意度评价回访。</w:t>
      </w:r>
    </w:p>
    <w:p w14:paraId="4C160983">
      <w:pPr>
        <w:ind w:firstLine="480"/>
        <w:rPr>
          <w:rFonts w:ascii="宋体" w:hAnsi="宋体" w:eastAsia="宋体" w:cs="宋体"/>
          <w:color w:val="auto"/>
          <w:sz w:val="24"/>
        </w:rPr>
      </w:pPr>
      <w:r>
        <w:rPr>
          <w:rFonts w:hint="eastAsia" w:ascii="宋体" w:hAnsi="宋体" w:eastAsia="宋体" w:cs="宋体"/>
          <w:color w:val="auto"/>
          <w:sz w:val="24"/>
        </w:rPr>
        <w:t>4、城市自评价系统</w:t>
      </w:r>
    </w:p>
    <w:p w14:paraId="31CEF827">
      <w:pPr>
        <w:ind w:firstLine="480"/>
        <w:rPr>
          <w:rFonts w:ascii="宋体" w:hAnsi="宋体" w:eastAsia="宋体" w:cs="宋体"/>
          <w:color w:val="auto"/>
          <w:sz w:val="24"/>
        </w:rPr>
      </w:pPr>
      <w:r>
        <w:rPr>
          <w:rFonts w:hint="eastAsia" w:ascii="宋体" w:hAnsi="宋体" w:eastAsia="宋体" w:cs="宋体"/>
          <w:color w:val="auto"/>
          <w:sz w:val="24"/>
        </w:rPr>
        <w:t>结合现有数字城管考评系统，融合市政、市容、环卫、园林、渣土、综合执法等行业考评办法，开展全市综合管理城市自评价系统建设，确保平台长效运行。</w:t>
      </w:r>
    </w:p>
    <w:p w14:paraId="635F7A79">
      <w:pPr>
        <w:ind w:firstLine="480"/>
        <w:rPr>
          <w:rFonts w:ascii="宋体" w:hAnsi="宋体" w:eastAsia="宋体" w:cs="宋体"/>
          <w:color w:val="auto"/>
          <w:sz w:val="24"/>
        </w:rPr>
      </w:pPr>
      <w:r>
        <w:rPr>
          <w:rFonts w:hint="eastAsia" w:ascii="宋体" w:hAnsi="宋体" w:eastAsia="宋体" w:cs="宋体"/>
          <w:color w:val="auto"/>
          <w:sz w:val="24"/>
        </w:rPr>
        <w:t>5、舆情监测系统</w:t>
      </w:r>
    </w:p>
    <w:p w14:paraId="057AAFE5">
      <w:pPr>
        <w:ind w:firstLine="480"/>
        <w:rPr>
          <w:rFonts w:ascii="宋体" w:hAnsi="宋体" w:eastAsia="宋体" w:cs="宋体"/>
          <w:color w:val="auto"/>
          <w:sz w:val="24"/>
        </w:rPr>
      </w:pPr>
      <w:r>
        <w:rPr>
          <w:rFonts w:hint="eastAsia" w:ascii="宋体" w:hAnsi="宋体" w:eastAsia="宋体" w:cs="宋体"/>
          <w:color w:val="auto"/>
          <w:sz w:val="24"/>
        </w:rPr>
        <w:t>舆情监测系统用于采集本市范围内的城市运行管理服务相 关舆情监测数据，实时掌握本市城市管理工作舆情、重大负面 舆情，转相关部门办理并跟踪督办。与省级平台舆情监测系统 功能一致，市级平台舆情监测系统应包括舆情采集、舆情督办、 舆情分析和舆情报告等功能模块。</w:t>
      </w:r>
    </w:p>
    <w:p w14:paraId="47F1AD25">
      <w:pPr>
        <w:pStyle w:val="53"/>
        <w:ind w:firstLine="480"/>
        <w:rPr>
          <w:rFonts w:ascii="宋体" w:hAnsi="宋体" w:eastAsia="宋体" w:cs="宋体"/>
          <w:color w:val="auto"/>
          <w:sz w:val="24"/>
        </w:rPr>
      </w:pPr>
      <w:r>
        <w:rPr>
          <w:rFonts w:hint="eastAsia" w:ascii="宋体" w:hAnsi="宋体" w:eastAsia="宋体" w:cs="宋体"/>
          <w:color w:val="auto"/>
          <w:sz w:val="24"/>
        </w:rPr>
        <w:t>6、辅助决策中心系统</w:t>
      </w:r>
    </w:p>
    <w:p w14:paraId="06433BB1">
      <w:pPr>
        <w:pStyle w:val="53"/>
        <w:ind w:firstLine="480"/>
        <w:rPr>
          <w:rFonts w:ascii="宋体" w:hAnsi="宋体" w:eastAsia="宋体" w:cs="宋体"/>
          <w:color w:val="auto"/>
          <w:sz w:val="24"/>
        </w:rPr>
      </w:pPr>
      <w:r>
        <w:rPr>
          <w:rFonts w:hint="eastAsia" w:ascii="宋体" w:hAnsi="宋体" w:eastAsia="宋体" w:cs="宋体"/>
          <w:color w:val="auto"/>
          <w:sz w:val="24"/>
        </w:rPr>
        <w:t>辅助决策中心基于市政公用、市容环卫、园林绿化、城市执法等城市管理行业领域的建设，感知更全面的城市运行态势，目标是让区领导及管理人员方便快速地掌握城市运行信息，为各级领导提供统揽全局的数据支撑。辅助决策中心作为城市综合管理服务平台项目的一部分，充分利用现有的平台和技术能力，在现有的平台基础之上定制开发驾驶舱应用，并实现与现有平台的集成和数据融合。</w:t>
      </w:r>
    </w:p>
    <w:p w14:paraId="2C74ECE9">
      <w:pPr>
        <w:pStyle w:val="53"/>
        <w:ind w:firstLine="480"/>
        <w:rPr>
          <w:rFonts w:ascii="宋体" w:hAnsi="宋体" w:eastAsia="宋体" w:cs="宋体"/>
          <w:color w:val="auto"/>
          <w:sz w:val="24"/>
        </w:rPr>
      </w:pPr>
      <w:r>
        <w:rPr>
          <w:rFonts w:hint="eastAsia" w:ascii="宋体" w:hAnsi="宋体" w:eastAsia="宋体" w:cs="宋体"/>
          <w:color w:val="auto"/>
          <w:sz w:val="24"/>
        </w:rPr>
        <w:t>7、共性服务和支撑平台</w:t>
      </w:r>
    </w:p>
    <w:p w14:paraId="2E2401B6">
      <w:pPr>
        <w:pStyle w:val="53"/>
        <w:ind w:firstLine="480"/>
        <w:rPr>
          <w:rFonts w:ascii="宋体" w:hAnsi="宋体" w:eastAsia="宋体" w:cs="宋体"/>
          <w:color w:val="auto"/>
          <w:sz w:val="24"/>
        </w:rPr>
      </w:pPr>
      <w:r>
        <w:rPr>
          <w:rFonts w:hint="eastAsia" w:ascii="宋体" w:hAnsi="宋体" w:eastAsia="宋体" w:cs="宋体"/>
          <w:color w:val="auto"/>
          <w:sz w:val="24"/>
        </w:rPr>
        <w:t>包括视频统一门户、AI识别系统、融合通信服务、GIS赋能、基础赋能从事件的采集、调度指挥、业务模型、服务提供方式等为指挥协调系统提供应用支撑。</w:t>
      </w:r>
    </w:p>
    <w:p w14:paraId="6482F0F8">
      <w:pPr>
        <w:pStyle w:val="53"/>
        <w:ind w:firstLine="480"/>
        <w:rPr>
          <w:rFonts w:ascii="宋体" w:hAnsi="宋体" w:eastAsia="宋体" w:cs="宋体"/>
          <w:color w:val="auto"/>
          <w:sz w:val="24"/>
        </w:rPr>
      </w:pPr>
      <w:r>
        <w:rPr>
          <w:rFonts w:hint="eastAsia" w:ascii="宋体" w:hAnsi="宋体" w:eastAsia="宋体" w:cs="宋体"/>
          <w:color w:val="auto"/>
          <w:sz w:val="24"/>
        </w:rPr>
        <w:t>统一门户包括：用户权限管理、组织机构管理、统一身份认证。</w:t>
      </w:r>
    </w:p>
    <w:p w14:paraId="15FE8D5A">
      <w:pPr>
        <w:pStyle w:val="53"/>
        <w:ind w:firstLine="480"/>
        <w:rPr>
          <w:rFonts w:ascii="宋体" w:hAnsi="宋体" w:eastAsia="宋体" w:cs="宋体"/>
          <w:color w:val="auto"/>
          <w:sz w:val="24"/>
        </w:rPr>
      </w:pPr>
      <w:r>
        <w:rPr>
          <w:rFonts w:hint="eastAsia" w:ascii="宋体" w:hAnsi="宋体" w:eastAsia="宋体" w:cs="宋体"/>
          <w:color w:val="auto"/>
          <w:sz w:val="24"/>
        </w:rPr>
        <w:t>位置支撑服务包括：实施定位采集、历史轨迹检索、边界告警支撑等。</w:t>
      </w:r>
    </w:p>
    <w:p w14:paraId="5AE0C27B">
      <w:pPr>
        <w:ind w:firstLine="480"/>
        <w:rPr>
          <w:rFonts w:ascii="宋体" w:hAnsi="宋体" w:eastAsia="宋体" w:cs="宋体"/>
          <w:color w:val="auto"/>
          <w:sz w:val="24"/>
        </w:rPr>
      </w:pPr>
      <w:r>
        <w:rPr>
          <w:rFonts w:hint="eastAsia" w:ascii="宋体" w:hAnsi="宋体" w:eastAsia="宋体" w:cs="宋体"/>
          <w:color w:val="auto"/>
          <w:sz w:val="24"/>
        </w:rPr>
        <w:t>融合通信服务包括：语音调度服务、视频调度服务、视频会商服务、通信服务支撑等。</w:t>
      </w:r>
    </w:p>
    <w:p w14:paraId="79238A1E">
      <w:pPr>
        <w:pStyle w:val="53"/>
        <w:ind w:firstLine="480"/>
        <w:rPr>
          <w:rFonts w:ascii="宋体" w:hAnsi="宋体" w:eastAsia="宋体" w:cs="宋体"/>
          <w:color w:val="auto"/>
          <w:sz w:val="24"/>
        </w:rPr>
      </w:pPr>
      <w:r>
        <w:rPr>
          <w:rFonts w:hint="eastAsia" w:ascii="宋体" w:hAnsi="宋体" w:eastAsia="宋体" w:cs="宋体"/>
          <w:color w:val="auto"/>
          <w:sz w:val="24"/>
        </w:rPr>
        <w:t>AI赋能包括：视频识别服务、舆情监测服务、语音识别服务、语义识别服务等。</w:t>
      </w:r>
    </w:p>
    <w:p w14:paraId="459FB16F">
      <w:pPr>
        <w:pStyle w:val="53"/>
        <w:ind w:firstLine="480"/>
        <w:rPr>
          <w:rFonts w:ascii="宋体" w:hAnsi="宋体" w:eastAsia="宋体" w:cs="宋体"/>
          <w:color w:val="auto"/>
          <w:sz w:val="24"/>
        </w:rPr>
      </w:pPr>
      <w:r>
        <w:rPr>
          <w:rFonts w:hint="eastAsia" w:ascii="宋体" w:hAnsi="宋体" w:eastAsia="宋体" w:cs="宋体"/>
          <w:color w:val="auto"/>
          <w:sz w:val="24"/>
        </w:rPr>
        <w:t>GIS赋能包括：数字一张图、部门吸取可视化、地理编码等。</w:t>
      </w:r>
    </w:p>
    <w:p w14:paraId="302C485F">
      <w:pPr>
        <w:pStyle w:val="53"/>
        <w:ind w:firstLine="480"/>
        <w:rPr>
          <w:rFonts w:ascii="宋体" w:hAnsi="宋体" w:eastAsia="宋体" w:cs="宋体"/>
          <w:color w:val="auto"/>
          <w:sz w:val="24"/>
        </w:rPr>
      </w:pPr>
      <w:r>
        <w:rPr>
          <w:rFonts w:hint="eastAsia" w:ascii="宋体" w:hAnsi="宋体" w:eastAsia="宋体" w:cs="宋体"/>
          <w:color w:val="auto"/>
          <w:sz w:val="24"/>
        </w:rPr>
        <w:t>基础赋能：工作流引擎服务、报表引擎服务、全文检索服务等。</w:t>
      </w:r>
    </w:p>
    <w:p w14:paraId="05D99321">
      <w:pPr>
        <w:pStyle w:val="53"/>
        <w:numPr>
          <w:ilvl w:val="0"/>
          <w:numId w:val="5"/>
        </w:numPr>
        <w:ind w:firstLine="480"/>
        <w:rPr>
          <w:rFonts w:ascii="宋体" w:hAnsi="宋体" w:eastAsia="宋体" w:cs="宋体"/>
          <w:color w:val="auto"/>
          <w:sz w:val="24"/>
        </w:rPr>
      </w:pPr>
      <w:r>
        <w:rPr>
          <w:rFonts w:hint="eastAsia" w:ascii="宋体" w:hAnsi="宋体" w:eastAsia="宋体" w:cs="宋体"/>
          <w:color w:val="auto"/>
          <w:sz w:val="24"/>
        </w:rPr>
        <w:t>网格微服务系统</w:t>
      </w:r>
    </w:p>
    <w:p w14:paraId="69FCA4E3">
      <w:pPr>
        <w:pStyle w:val="53"/>
        <w:ind w:firstLine="480"/>
        <w:rPr>
          <w:rFonts w:ascii="宋体" w:hAnsi="宋体" w:eastAsia="宋体" w:cs="宋体"/>
          <w:color w:val="auto"/>
          <w:sz w:val="24"/>
        </w:rPr>
      </w:pPr>
      <w:r>
        <w:rPr>
          <w:rFonts w:hint="eastAsia" w:ascii="宋体" w:hAnsi="宋体" w:eastAsia="宋体" w:cs="宋体"/>
          <w:color w:val="auto"/>
          <w:sz w:val="24"/>
        </w:rPr>
        <w:t>建立容器化、微服务的城市统一网格数据底座，为综合管理平台的各类应用系统提供统一的网格数据与应用共享服务，支撑城市综合管理平台业务。</w:t>
      </w:r>
    </w:p>
    <w:p w14:paraId="46EFAA38">
      <w:pPr>
        <w:pStyle w:val="53"/>
        <w:ind w:firstLine="480"/>
        <w:rPr>
          <w:rFonts w:ascii="宋体" w:hAnsi="宋体" w:eastAsia="宋体" w:cs="宋体"/>
          <w:color w:val="auto"/>
          <w:sz w:val="24"/>
        </w:rPr>
      </w:pPr>
      <w:r>
        <w:rPr>
          <w:rFonts w:hint="eastAsia" w:ascii="宋体" w:hAnsi="宋体" w:eastAsia="宋体" w:cs="宋体"/>
          <w:color w:val="auto"/>
          <w:sz w:val="24"/>
        </w:rPr>
        <w:t>9、数据交换与管理系统</w:t>
      </w:r>
    </w:p>
    <w:p w14:paraId="6643F864">
      <w:pPr>
        <w:pStyle w:val="53"/>
        <w:ind w:firstLine="480"/>
        <w:rPr>
          <w:rFonts w:ascii="宋体" w:hAnsi="宋体" w:eastAsia="宋体" w:cs="宋体"/>
          <w:color w:val="auto"/>
          <w:sz w:val="24"/>
        </w:rPr>
      </w:pPr>
      <w:r>
        <w:rPr>
          <w:rFonts w:hint="eastAsia" w:ascii="宋体" w:hAnsi="宋体" w:eastAsia="宋体" w:cs="宋体"/>
          <w:color w:val="auto"/>
          <w:sz w:val="24"/>
        </w:rPr>
        <w:t>数据交换与管理系统可以将政府各个业务系统割裂的数据进行汇聚、治理、建模加工，消除数据孤岛，实现数据资产化，为决策者提供城市基础数据服务、服务人员画像、业务实时监控等实现数据驱动业务，不仅能有效协调政府资源和行动，还能在政府部门间共享数据服务，避免重复投资，提高计算资源的利用率。同时将原本不同系统相同功能的服务聚合起来，统一标准，统一规范，统一出口，实现业务的整合；还可以通过服务的聚合实现数据资源与能力的共享，从而快速的支撑后续业务的开发与迭代。</w:t>
      </w:r>
    </w:p>
    <w:p w14:paraId="7DC83FF2">
      <w:pPr>
        <w:pStyle w:val="53"/>
        <w:ind w:firstLine="480"/>
        <w:rPr>
          <w:rFonts w:ascii="宋体" w:hAnsi="宋体" w:eastAsia="宋体" w:cs="宋体"/>
          <w:color w:val="auto"/>
          <w:sz w:val="24"/>
        </w:rPr>
      </w:pPr>
      <w:r>
        <w:rPr>
          <w:rFonts w:hint="eastAsia" w:ascii="宋体" w:hAnsi="宋体" w:eastAsia="宋体" w:cs="宋体"/>
          <w:color w:val="auto"/>
          <w:sz w:val="24"/>
        </w:rPr>
        <w:t>平台充分利用福州市政务数据汇聚共享平台，实现数据的获取对接，新增城综平台内部个业务应用之间的数据汇聚、治理及交换应用，实现对内对外的数据共享交换。</w:t>
      </w:r>
    </w:p>
    <w:p w14:paraId="13082ACE">
      <w:pPr>
        <w:pStyle w:val="53"/>
        <w:ind w:firstLine="480"/>
        <w:rPr>
          <w:rFonts w:ascii="宋体" w:hAnsi="宋体" w:eastAsia="宋体" w:cs="宋体"/>
          <w:color w:val="auto"/>
          <w:sz w:val="24"/>
        </w:rPr>
      </w:pPr>
      <w:r>
        <w:rPr>
          <w:rFonts w:hint="eastAsia" w:ascii="宋体" w:hAnsi="宋体" w:eastAsia="宋体" w:cs="宋体"/>
          <w:color w:val="auto"/>
          <w:sz w:val="24"/>
        </w:rPr>
        <w:t>10、容器微服务系统</w:t>
      </w:r>
    </w:p>
    <w:p w14:paraId="6AD9E6B0">
      <w:pPr>
        <w:pStyle w:val="53"/>
        <w:ind w:firstLine="480"/>
        <w:rPr>
          <w:rFonts w:ascii="宋体" w:hAnsi="宋体" w:eastAsia="宋体" w:cs="宋体"/>
          <w:color w:val="auto"/>
          <w:sz w:val="24"/>
        </w:rPr>
      </w:pPr>
      <w:r>
        <w:rPr>
          <w:rFonts w:hint="eastAsia" w:ascii="宋体" w:hAnsi="宋体" w:eastAsia="宋体" w:cs="宋体"/>
          <w:color w:val="auto"/>
          <w:sz w:val="24"/>
        </w:rPr>
        <w:t>构建平台统一的微服务总线，采用面向对象、组件式设计等多项技术，提供的构建系统是跨领域、与具体业务无关、通用的基础服务，提供所有服务的注册、编排、路由、适配、监控等全生命周期的统一管理，是所有服务资源的调度指挥中心，保证能掌握所有服务实时动态，能够实现安全可控、高效有序的调度。</w:t>
      </w:r>
    </w:p>
    <w:p w14:paraId="037F1990">
      <w:pPr>
        <w:pStyle w:val="53"/>
        <w:ind w:firstLine="480"/>
        <w:rPr>
          <w:rFonts w:ascii="宋体" w:hAnsi="宋体" w:eastAsia="宋体" w:cs="宋体"/>
          <w:color w:val="auto"/>
          <w:sz w:val="24"/>
        </w:rPr>
      </w:pPr>
      <w:r>
        <w:rPr>
          <w:rFonts w:hint="eastAsia" w:ascii="宋体" w:hAnsi="宋体" w:eastAsia="宋体" w:cs="宋体"/>
          <w:color w:val="auto"/>
          <w:sz w:val="24"/>
        </w:rPr>
        <w:t>11、知识图谱</w:t>
      </w:r>
      <w:r>
        <w:rPr>
          <w:rFonts w:hint="eastAsia" w:ascii="宋体" w:hAnsi="宋体" w:eastAsia="宋体" w:cs="宋体"/>
          <w:color w:val="auto"/>
          <w:sz w:val="24"/>
          <w:u w:val="dotted"/>
        </w:rPr>
        <w:t>与</w:t>
      </w:r>
      <w:r>
        <w:rPr>
          <w:rFonts w:hint="eastAsia" w:ascii="宋体" w:hAnsi="宋体" w:eastAsia="宋体" w:cs="宋体"/>
          <w:color w:val="auto"/>
          <w:sz w:val="24"/>
        </w:rPr>
        <w:t>人工智能自动化系统</w:t>
      </w:r>
    </w:p>
    <w:p w14:paraId="3B416885">
      <w:pPr>
        <w:pStyle w:val="53"/>
        <w:ind w:firstLine="480"/>
        <w:rPr>
          <w:rFonts w:ascii="宋体" w:hAnsi="宋体" w:eastAsia="宋体" w:cs="宋体"/>
          <w:color w:val="auto"/>
          <w:sz w:val="24"/>
        </w:rPr>
      </w:pPr>
      <w:r>
        <w:rPr>
          <w:rFonts w:hint="eastAsia" w:ascii="宋体" w:hAnsi="宋体" w:eastAsia="宋体" w:cs="宋体"/>
          <w:color w:val="auto"/>
          <w:sz w:val="24"/>
        </w:rPr>
        <w:t>本平台作为城综的核心，需搭建一个高可用性、鲁棒性城市管理的智能化容器云架构，确保支撑城综的城市级的业务持续性要求。这个Kubernetes的平台涵盖了K8S，服务网格，DevOps的相关功能，同时基于智慧树模型，计算张量，开放关联，以泛布计算为基础，提供知识图谱和人工智能自动化系统功能（自然语言处理，计算机视觉和知识图谱功能），该平台的智能化部分提供智能超维树网建模界面，拥有适合大规模分工协作，能无痕嵌入其他系统，自助式学习，易扩展，高速度，高容量，高鲁棒等。</w:t>
      </w:r>
    </w:p>
    <w:p w14:paraId="2F92A322">
      <w:pPr>
        <w:pStyle w:val="53"/>
        <w:ind w:firstLine="480"/>
        <w:rPr>
          <w:rFonts w:ascii="宋体" w:hAnsi="宋体" w:eastAsia="宋体" w:cs="宋体"/>
          <w:color w:val="auto"/>
          <w:sz w:val="24"/>
        </w:rPr>
      </w:pPr>
      <w:r>
        <w:rPr>
          <w:rFonts w:hint="eastAsia" w:ascii="宋体" w:hAnsi="宋体" w:eastAsia="宋体" w:cs="宋体"/>
          <w:color w:val="auto"/>
          <w:sz w:val="24"/>
        </w:rPr>
        <w:t>12、城市事件分类与标准</w:t>
      </w:r>
    </w:p>
    <w:p w14:paraId="217F9ADF">
      <w:pPr>
        <w:pStyle w:val="53"/>
        <w:ind w:firstLine="480"/>
        <w:rPr>
          <w:rFonts w:ascii="宋体" w:hAnsi="宋体" w:eastAsia="宋体" w:cs="宋体"/>
          <w:color w:val="auto"/>
          <w:sz w:val="24"/>
        </w:rPr>
      </w:pPr>
      <w:r>
        <w:rPr>
          <w:rFonts w:hint="eastAsia" w:ascii="宋体" w:hAnsi="宋体" w:eastAsia="宋体" w:cs="宋体"/>
          <w:color w:val="auto"/>
          <w:sz w:val="24"/>
        </w:rPr>
        <w:t>城市事件分类与标准是城市综合管理服务平台的业务范围，涉及了城市城市综合管理服务方方面面的事项，涉及党政工团类、公安政法类、科教文卫类、经济综合类、建设规划类、社会管理类等多个纬度。</w:t>
      </w:r>
    </w:p>
    <w:p w14:paraId="3B4EBB6F">
      <w:pPr>
        <w:pStyle w:val="53"/>
        <w:numPr>
          <w:ilvl w:val="0"/>
          <w:numId w:val="6"/>
        </w:numPr>
        <w:ind w:firstLine="480"/>
        <w:rPr>
          <w:rFonts w:ascii="宋体" w:hAnsi="宋体" w:eastAsia="宋体" w:cs="宋体"/>
          <w:color w:val="auto"/>
          <w:sz w:val="24"/>
        </w:rPr>
      </w:pPr>
      <w:r>
        <w:rPr>
          <w:rFonts w:hint="eastAsia" w:ascii="宋体" w:hAnsi="宋体" w:eastAsia="宋体" w:cs="宋体"/>
          <w:color w:val="auto"/>
          <w:sz w:val="24"/>
        </w:rPr>
        <w:t>系统硬件支撑环境建设</w:t>
      </w:r>
    </w:p>
    <w:p w14:paraId="78EDAFD6">
      <w:pPr>
        <w:pStyle w:val="53"/>
        <w:ind w:firstLine="480"/>
        <w:rPr>
          <w:color w:val="auto"/>
        </w:rPr>
      </w:pPr>
      <w:r>
        <w:rPr>
          <w:rFonts w:hint="eastAsia" w:ascii="宋体" w:hAnsi="宋体" w:eastAsia="宋体" w:cs="宋体"/>
          <w:color w:val="auto"/>
          <w:sz w:val="24"/>
        </w:rPr>
        <w:t>依托福州市政务外网云计算平台，部署本平台的主机系统、存储系统、系统软件、安全系统等软硬件资源设施，同时设计视频AI识别算法并部署视频AI服务器为系统提供人工智能计算平台，通过强大的AI推理和定点运算处理能力，满足了深度学习场景下的算力需求，对共性服务和支撑平台的事件AI赋能提供算力支撑。</w:t>
      </w:r>
    </w:p>
    <w:p w14:paraId="4A993480">
      <w:pPr>
        <w:pStyle w:val="27"/>
        <w:widowControl/>
        <w:spacing w:before="75" w:beforeAutospacing="0" w:after="75" w:afterAutospacing="0"/>
        <w:rPr>
          <w:color w:val="auto"/>
        </w:rPr>
      </w:pPr>
    </w:p>
    <w:p w14:paraId="2D13D8AA">
      <w:pPr>
        <w:pStyle w:val="27"/>
        <w:widowControl/>
        <w:spacing w:before="75" w:beforeAutospacing="0" w:after="75" w:afterAutospacing="0"/>
        <w:outlineLvl w:val="1"/>
        <w:rPr>
          <w:color w:val="auto"/>
        </w:rPr>
      </w:pPr>
      <w:r>
        <w:rPr>
          <w:rFonts w:hint="eastAsia" w:ascii="宋体" w:hAnsi="宋体" w:eastAsia="宋体" w:cs="宋体"/>
          <w:color w:val="auto"/>
        </w:rPr>
        <w:t>二、技术和服务要求</w:t>
      </w:r>
      <w:r>
        <w:rPr>
          <w:rStyle w:val="32"/>
          <w:rFonts w:hint="eastAsia" w:ascii="宋体" w:hAnsi="宋体" w:eastAsia="宋体" w:cs="宋体"/>
          <w:color w:val="auto"/>
        </w:rPr>
        <w:t>（以“★”标示的内容为不允许负偏离的实质性要求）</w:t>
      </w:r>
    </w:p>
    <w:p w14:paraId="4500A7C0">
      <w:pPr>
        <w:pStyle w:val="27"/>
        <w:widowControl/>
        <w:spacing w:before="75" w:beforeAutospacing="0" w:after="75" w:afterAutospacing="0"/>
        <w:ind w:firstLine="281" w:firstLineChars="100"/>
        <w:outlineLvl w:val="1"/>
        <w:rPr>
          <w:b/>
          <w:bCs/>
          <w:color w:val="auto"/>
          <w:sz w:val="28"/>
          <w:szCs w:val="28"/>
        </w:rPr>
      </w:pPr>
      <w:r>
        <w:rPr>
          <w:rFonts w:hint="eastAsia"/>
          <w:b/>
          <w:bCs/>
          <w:color w:val="auto"/>
          <w:sz w:val="28"/>
          <w:szCs w:val="28"/>
        </w:rPr>
        <w:t>合同包1：福州市城市综合管理服务平台技术支撑包。</w:t>
      </w:r>
    </w:p>
    <w:p w14:paraId="1C79DB7B">
      <w:pPr>
        <w:pStyle w:val="27"/>
        <w:widowControl/>
        <w:spacing w:before="75" w:beforeAutospacing="0" w:after="75" w:afterAutospacing="0"/>
        <w:ind w:firstLine="281" w:firstLineChars="100"/>
        <w:rPr>
          <w:b/>
          <w:bCs/>
          <w:color w:val="auto"/>
          <w:sz w:val="28"/>
          <w:szCs w:val="28"/>
        </w:rPr>
      </w:pPr>
    </w:p>
    <w:p w14:paraId="614F1A0D">
      <w:pPr>
        <w:keepNext/>
        <w:keepLines/>
        <w:numPr>
          <w:ilvl w:val="2"/>
          <w:numId w:val="1"/>
        </w:numPr>
        <w:ind w:firstLine="200"/>
        <w:contextualSpacing/>
        <w:jc w:val="left"/>
        <w:outlineLvl w:val="2"/>
        <w:rPr>
          <w:rFonts w:ascii="宋体" w:hAnsi="宋体" w:eastAsia="宋体" w:cs="宋体"/>
          <w:color w:val="auto"/>
          <w:sz w:val="28"/>
          <w:szCs w:val="28"/>
        </w:rPr>
      </w:pPr>
      <w:bookmarkStart w:id="44" w:name="_Toc95404044"/>
      <w:r>
        <w:rPr>
          <w:rFonts w:hint="eastAsia" w:ascii="宋体" w:hAnsi="宋体" w:eastAsia="宋体" w:cs="宋体"/>
          <w:color w:val="auto"/>
          <w:sz w:val="28"/>
          <w:szCs w:val="28"/>
        </w:rPr>
        <w:t>共性服务和支撑平台</w:t>
      </w:r>
      <w:bookmarkEnd w:id="44"/>
      <w:bookmarkStart w:id="45" w:name="_Toc29873"/>
      <w:bookmarkStart w:id="46" w:name="_Toc4851"/>
      <w:bookmarkStart w:id="47" w:name="_Toc7659"/>
      <w:bookmarkStart w:id="48" w:name="_Toc33200787"/>
      <w:bookmarkStart w:id="49" w:name="_Toc40281608"/>
      <w:bookmarkStart w:id="50" w:name="_Toc9687"/>
      <w:bookmarkStart w:id="51" w:name="_Toc28210"/>
      <w:bookmarkStart w:id="52" w:name="_Toc22037"/>
      <w:bookmarkStart w:id="53" w:name="_Toc33200783"/>
    </w:p>
    <w:p w14:paraId="70FDF070">
      <w:pPr>
        <w:pStyle w:val="6"/>
        <w:spacing w:line="240" w:lineRule="auto"/>
        <w:rPr>
          <w:color w:val="auto"/>
        </w:rPr>
      </w:pPr>
      <w:bookmarkStart w:id="54" w:name="_Toc83216266"/>
      <w:r>
        <w:rPr>
          <w:rFonts w:hint="eastAsia"/>
          <w:color w:val="auto"/>
        </w:rPr>
        <w:t>统一门户</w:t>
      </w:r>
      <w:bookmarkEnd w:id="54"/>
    </w:p>
    <w:p w14:paraId="4EBA84C3">
      <w:pPr>
        <w:ind w:firstLine="480" w:firstLineChars="200"/>
        <w:rPr>
          <w:rFonts w:cs="Times New Roman" w:asciiTheme="majorEastAsia" w:hAnsiTheme="majorEastAsia" w:eastAsiaTheme="majorEastAsia"/>
          <w:color w:val="auto"/>
          <w:sz w:val="24"/>
        </w:rPr>
      </w:pPr>
      <w:r>
        <w:rPr>
          <w:rFonts w:hint="eastAsia" w:cs="Arial" w:asciiTheme="majorEastAsia" w:hAnsiTheme="majorEastAsia" w:eastAsiaTheme="majorEastAsia"/>
          <w:color w:val="auto"/>
          <w:sz w:val="24"/>
        </w:rPr>
        <w:t>基础设置为系统用户提供用户权限管理、组织结构管理、统一身份认证和日志管理、消息总线、数据总线六大模块功能。</w:t>
      </w:r>
    </w:p>
    <w:p w14:paraId="30965C76">
      <w:pPr>
        <w:pStyle w:val="7"/>
        <w:spacing w:line="240" w:lineRule="auto"/>
        <w:rPr>
          <w:color w:val="auto"/>
        </w:rPr>
      </w:pPr>
      <w:r>
        <w:rPr>
          <w:rFonts w:hint="eastAsia"/>
          <w:color w:val="auto"/>
        </w:rPr>
        <w:t>用户权限管理</w:t>
      </w:r>
    </w:p>
    <w:p w14:paraId="12BEAA7D">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 xml:space="preserve">系统采用分层分级授权管理方式实现对组织机构、用户身份信息，权限，业务系统， 审计信息的集中管理。基于 Web 界面，系统管理员通过权限管理中心进行统一的管理， 同时支持分层分级授权管理功能，支持总部授权下属单位管理自身的用户，并对其授权， 减少总部管理员的负担。 </w:t>
      </w:r>
    </w:p>
    <w:p w14:paraId="531BF5F9">
      <w:pPr>
        <w:numPr>
          <w:ilvl w:val="0"/>
          <w:numId w:val="7"/>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 xml:space="preserve">权限管理资源 </w:t>
      </w:r>
    </w:p>
    <w:p w14:paraId="5B4A967A">
      <w:pPr>
        <w:ind w:firstLine="480" w:firstLineChars="200"/>
        <w:rPr>
          <w:rFonts w:cs="Arial" w:asciiTheme="majorEastAsia" w:hAnsiTheme="majorEastAsia" w:eastAsiaTheme="majorEastAsia"/>
          <w:color w:val="auto"/>
          <w:sz w:val="24"/>
        </w:rPr>
      </w:pPr>
      <w:r>
        <w:rPr>
          <w:rFonts w:hint="eastAsia" w:cs="Arial" w:asciiTheme="majorEastAsia" w:hAnsiTheme="majorEastAsia" w:eastAsiaTheme="majorEastAsia"/>
          <w:color w:val="auto"/>
          <w:sz w:val="24"/>
        </w:rPr>
        <w:t>在应用系统平台权限管理系统，数据资源包括机构数据、用户数据、岗位数据以及受控的权限资源（数据资源和应用资源）；应用资源是 Web 可操作的资源。</w:t>
      </w:r>
    </w:p>
    <w:p w14:paraId="4F60144F">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rPr>
        <w:t xml:space="preserve">应用系统的目标就是对各应用系统的所关注的数据资源和应用资源进行权限控制， 比如功能导航树（菜单）、界面 UI 控件、表单控件、报表、节点流程、数据列表操作以及各种动态数据的操作。 </w:t>
      </w:r>
    </w:p>
    <w:p w14:paraId="6DEC5D78">
      <w:pPr>
        <w:numPr>
          <w:ilvl w:val="0"/>
          <w:numId w:val="7"/>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功能设计</w:t>
      </w:r>
    </w:p>
    <w:p w14:paraId="2EC64F55">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 xml:space="preserve">权限管理系统主要由四部分构成，机构和用户管理模块、授权管理模块、管控平台模块和访问接口。 </w:t>
      </w:r>
    </w:p>
    <w:p w14:paraId="132B56CE">
      <w:pPr>
        <w:numPr>
          <w:ilvl w:val="0"/>
          <w:numId w:val="7"/>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权限管理</w:t>
      </w:r>
    </w:p>
    <w:p w14:paraId="540F86C6">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 xml:space="preserve">包括对用户、岗位、角色等信息的增删改操作以及权限分配管理。支持多级多路由的分级授权、权限回收、权限等效与权限的集成和过滤，提供统一的访问控制接口。 </w:t>
      </w:r>
    </w:p>
    <w:p w14:paraId="27FA596B">
      <w:pPr>
        <w:numPr>
          <w:ilvl w:val="0"/>
          <w:numId w:val="7"/>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机构用户和资源管理</w:t>
      </w:r>
    </w:p>
    <w:p w14:paraId="728D93ED">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 xml:space="preserve">机构用户和资源管理模块所管辖的机构用户信息作为人员信息的权威信息，体现了当前业务真实机构人员构成状态，也是各应用系统的统一参照。 </w:t>
      </w:r>
    </w:p>
    <w:p w14:paraId="7D81C18F">
      <w:pPr>
        <w:numPr>
          <w:ilvl w:val="0"/>
          <w:numId w:val="7"/>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管控设置</w:t>
      </w:r>
    </w:p>
    <w:p w14:paraId="3437F870">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 xml:space="preserve">管控平台包括，日志管理、审计服务、资源同步和查询服务的功能。（权限管理组件分为权限管理 UI 和应用系统 API 二部分） </w:t>
      </w:r>
    </w:p>
    <w:p w14:paraId="4645E034">
      <w:pPr>
        <w:numPr>
          <w:ilvl w:val="0"/>
          <w:numId w:val="7"/>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访问接口</w:t>
      </w:r>
    </w:p>
    <w:p w14:paraId="65D9FADD">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访问接口提供一系列接口供各应用系统连接，获取权限操作的必备信息。这些信息包括用户对应岗位的信息、岗位对应的角色信息、角色对应的权限信息、权限对应的资源信息以及之间相互关联的信息，其目的是保证统一权限分配策略基础上的统一资源验证的一致性。</w:t>
      </w:r>
    </w:p>
    <w:p w14:paraId="4CA9C1C5">
      <w:pPr>
        <w:numPr>
          <w:ilvl w:val="0"/>
          <w:numId w:val="7"/>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CA 统一认证接口</w:t>
      </w:r>
    </w:p>
    <w:p w14:paraId="07F7BC94">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 xml:space="preserve">权限管理系统的用户通过 CA 统一认证接口获取认证信息，成为合法系统进入用户。 </w:t>
      </w:r>
    </w:p>
    <w:p w14:paraId="129B3492">
      <w:pPr>
        <w:numPr>
          <w:ilvl w:val="0"/>
          <w:numId w:val="7"/>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权限管理</w:t>
      </w:r>
    </w:p>
    <w:p w14:paraId="3CFEA2C5">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 xml:space="preserve">权限系统可初始化设置一个超级用户并拥有系统所有权限，超级用户创建二级管理用户，各应用系统由二级管理用户进行本系统的权限管理，因此角色按照应用系统分类管理。超级用户创建岗位和用户，负责岗位以及岗位与角色的连接操作。超级用户通常在初始修改组织机构、设置二级管理用户之后就不再拥有任何特权。 </w:t>
      </w:r>
    </w:p>
    <w:p w14:paraId="7B4FCB47">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 xml:space="preserve">提供用户关闭/开启功能，一旦用户关闭，将不能登录系统任何系统。开启之后方可恢复所在岗位的权限。 </w:t>
      </w:r>
    </w:p>
    <w:p w14:paraId="44A218D4">
      <w:pPr>
        <w:ind w:firstLine="480" w:firstLineChars="200"/>
        <w:rPr>
          <w:rFonts w:ascii="宋体" w:hAnsi="宋体" w:eastAsia="宋体" w:cs="Arial"/>
          <w:color w:val="auto"/>
          <w:sz w:val="24"/>
        </w:rPr>
      </w:pPr>
      <w:r>
        <w:rPr>
          <w:rFonts w:hint="eastAsia" w:ascii="宋体" w:hAnsi="宋体" w:eastAsia="宋体" w:cs="Arial"/>
          <w:color w:val="auto"/>
          <w:sz w:val="24"/>
        </w:rPr>
        <w:t xml:space="preserve">如果所访问资源没有在权限系统中注册，则该资源的操作权限需要授权访问。 </w:t>
      </w:r>
    </w:p>
    <w:p w14:paraId="0626CD30">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 xml:space="preserve">首先用户按岗位分组，成为权限用户组的最小单位。岗位可以按照“三定原则”产生，与资源管理系统上的机构人员目录保持一致。 </w:t>
      </w:r>
    </w:p>
    <w:p w14:paraId="4AAD22C2">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授权操作以角色为对象，角色对应岗位，岗位分配用户，形成一个四位一体的权限分配模式：</w:t>
      </w:r>
    </w:p>
    <w:p w14:paraId="7A6CB40C">
      <w:pPr>
        <w:ind w:firstLine="480" w:firstLineChars="200"/>
        <w:jc w:val="center"/>
        <w:rPr>
          <w:rFonts w:cs="Arial"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drawing>
          <wp:inline distT="0" distB="0" distL="0" distR="0">
            <wp:extent cx="4648200" cy="2125980"/>
            <wp:effectExtent l="0" t="0" r="0" b="7620"/>
            <wp:docPr id="802" name="图片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图片 8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648200" cy="2125980"/>
                    </a:xfrm>
                    <a:prstGeom prst="rect">
                      <a:avLst/>
                    </a:prstGeom>
                    <a:noFill/>
                    <a:ln>
                      <a:noFill/>
                    </a:ln>
                  </pic:spPr>
                </pic:pic>
              </a:graphicData>
            </a:graphic>
          </wp:inline>
        </w:drawing>
      </w:r>
    </w:p>
    <w:p w14:paraId="75C79089">
      <w:pPr>
        <w:ind w:firstLine="480" w:firstLineChars="200"/>
        <w:jc w:val="center"/>
        <w:rPr>
          <w:rFonts w:cs="Times New Roman" w:asciiTheme="majorEastAsia" w:hAnsiTheme="majorEastAsia" w:eastAsiaTheme="majorEastAsia"/>
          <w:color w:val="auto"/>
          <w:sz w:val="24"/>
          <w:szCs w:val="21"/>
        </w:rPr>
      </w:pPr>
      <w:bookmarkStart w:id="55" w:name="_Toc25905"/>
      <w:bookmarkStart w:id="56" w:name="_Toc44610828"/>
      <w:bookmarkStart w:id="57" w:name="_Toc50994641"/>
      <w:r>
        <w:rPr>
          <w:rFonts w:hint="eastAsia" w:cs="Times New Roman" w:asciiTheme="majorEastAsia" w:hAnsiTheme="majorEastAsia" w:eastAsiaTheme="majorEastAsia"/>
          <w:color w:val="auto"/>
          <w:sz w:val="24"/>
          <w:szCs w:val="21"/>
        </w:rPr>
        <w:t>权限管理系统岗位-角色映射示意图</w:t>
      </w:r>
      <w:bookmarkEnd w:id="55"/>
      <w:bookmarkEnd w:id="56"/>
      <w:bookmarkEnd w:id="57"/>
    </w:p>
    <w:p w14:paraId="6E2ADB89">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 xml:space="preserve">用户拥有被赋予的权限，是从岗位集成来的，除此之外还可以通过直接授权（将用户与角色直接授权）拥有特定的权限。 </w:t>
      </w:r>
    </w:p>
    <w:p w14:paraId="5192A17E">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 xml:space="preserve">权限大分类为“操作”和“管理”两种。“操作”表示角色对资源的增加、删除、修改、查询、审核、执行等的权限，而“管理”表示角色可将资源进行二次授权。为了系统安全，通常“操作”类的权限和“管理”类的权限通常被分给不同类型的用户。“操作”类的分配给系统的业务用户、“管理”类的分配给系统的管理员。同时为了兼顾灵活性，也允许将这两类权限分配给同一个用户。 </w:t>
      </w:r>
    </w:p>
    <w:p w14:paraId="1864F0FA">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 xml:space="preserve">提供权限操作的详细日志和日志数据浏览，方便系统跟踪。 </w:t>
      </w:r>
    </w:p>
    <w:p w14:paraId="631FC08E">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 xml:space="preserve">由于统一授权后的权限操作验证是统一集中式验证，而不是在各应用中分级验证， 从而为不同时期实施的信息化建设带来严重困难。因此，在应用系统平台建设初期，不对统一权限策略建设提出强制要求，而随着信息化建设的深入，通过不断的治理，在权限的统一分配策略的实施环境成熟之后，再逐步推进落实。而对于新应用系统则直接使用权限管理系统实施授权和权限操作。 </w:t>
      </w:r>
    </w:p>
    <w:p w14:paraId="3672CD40">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权限管理系统只要正确维护岗位-角色字典和角色-权限字典，就可以保证权限分配策略的安全性和灵活性。</w:t>
      </w:r>
    </w:p>
    <w:p w14:paraId="0F009475">
      <w:pPr>
        <w:pStyle w:val="7"/>
        <w:spacing w:line="240" w:lineRule="auto"/>
        <w:rPr>
          <w:color w:val="auto"/>
        </w:rPr>
      </w:pPr>
      <w:r>
        <w:rPr>
          <w:rFonts w:hint="eastAsia"/>
          <w:color w:val="auto"/>
        </w:rPr>
        <w:t>组织机构管理</w:t>
      </w:r>
    </w:p>
    <w:p w14:paraId="318CF195">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用来维护系统中的组织结构信息。为了达到体检平台评估平台分级管理目的，系统支持机构定义和部门定义，以图形化的方式为各个机关部门及单位建立树状组织机构图，组织机构图可显示使用者的职责、职称及从属关系等。系统支持机构和部门两种类型的组织，满足不同的业务应用。</w:t>
      </w:r>
    </w:p>
    <w:p w14:paraId="10EFD334">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组织机构是单位建立的一个基本框架，就是在单位里分成不同的部门，部门下又分为不同的岗位，在每个岗位上对应不同的员工，在组织机构中包含有组织信息、岗位管理、虚拟组织等信息。</w:t>
      </w:r>
    </w:p>
    <w:p w14:paraId="3C12DEEE">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本模块主要功能有：</w:t>
      </w:r>
    </w:p>
    <w:p w14:paraId="46DFC9B8">
      <w:pPr>
        <w:numPr>
          <w:ilvl w:val="0"/>
          <w:numId w:val="8"/>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组织管理：创建、删除、查询、修改组织基本信息。</w:t>
      </w:r>
    </w:p>
    <w:p w14:paraId="612E0874">
      <w:pPr>
        <w:numPr>
          <w:ilvl w:val="0"/>
          <w:numId w:val="8"/>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人员管理：对组织人员进行增加和移除，提供查询人员所属组织信息，岗位信息。</w:t>
      </w:r>
    </w:p>
    <w:p w14:paraId="6710DEC3">
      <w:pPr>
        <w:numPr>
          <w:ilvl w:val="0"/>
          <w:numId w:val="8"/>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岗位变动：对组织下属的岗位进行管理如创建、删除、查询、修改。</w:t>
      </w:r>
    </w:p>
    <w:p w14:paraId="0E75C698">
      <w:pPr>
        <w:numPr>
          <w:ilvl w:val="0"/>
          <w:numId w:val="8"/>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权限关联：不同岗位可以赋予不同角色，与权限控制模块配合起来达到权限分级分成配置。</w:t>
      </w:r>
    </w:p>
    <w:p w14:paraId="1BB8EF2B">
      <w:pPr>
        <w:pStyle w:val="7"/>
        <w:spacing w:line="240" w:lineRule="auto"/>
        <w:rPr>
          <w:color w:val="auto"/>
        </w:rPr>
      </w:pPr>
      <w:r>
        <w:rPr>
          <w:rFonts w:hint="eastAsia"/>
          <w:color w:val="auto"/>
        </w:rPr>
        <w:t>统一身份认证</w:t>
      </w:r>
    </w:p>
    <w:p w14:paraId="007F93FF">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本平台集中存储与管理各个应用系统的用户及授权模型，并为各应用系统集中提供统一身份认证、统一授权管理等服务。</w:t>
      </w:r>
    </w:p>
    <w:p w14:paraId="0FC5DC9E">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用户只需要登录一次就可以访问所有相互信任的应用系统，即用户只需要记住一组用户名和密码就可以登录所有有权限的系统。</w:t>
      </w:r>
    </w:p>
    <w:p w14:paraId="0DA2ED44">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本模块主要由四个部分组成：</w:t>
      </w:r>
    </w:p>
    <w:p w14:paraId="4A273B4C">
      <w:pPr>
        <w:numPr>
          <w:ilvl w:val="0"/>
          <w:numId w:val="9"/>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单点登录：采用满足行业及安全规范的最新模拟登录行为技术，实现CS、BS、应用系统的单点登录功能。凭借内嵌的安全场景认证模型、数据安全存储及传输技术、集中审计等核心功能，解决认证安全弱、系统改造难、客户端系统无法接入、应用无法接入等问题。</w:t>
      </w:r>
    </w:p>
    <w:p w14:paraId="4B127397">
      <w:pPr>
        <w:numPr>
          <w:ilvl w:val="0"/>
          <w:numId w:val="9"/>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认证存储：对认证或信任的系统进行存储，对已授权且在有效期之内的系统免去认证提示，用户也可以随时关闭授权取回授权信息。</w:t>
      </w:r>
    </w:p>
    <w:p w14:paraId="55A215E2">
      <w:pPr>
        <w:numPr>
          <w:ilvl w:val="0"/>
          <w:numId w:val="9"/>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认证审计：对授权的系统调用历史进行存储，出现问题时进行溯源。</w:t>
      </w:r>
    </w:p>
    <w:p w14:paraId="76877A56">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单点登录的机制如下图所示，当用户第一次访问应用系统1的时候，因为还没有登录，会被引导到认证系统中进行登录（1）；根据用户提供的登录信息，认证系统进行身份效验，如果通过效验，应该返回给用户一个认证的凭据－－ticket（2）；用户再访问别的应用的时候（3，5）就会将这个ticket 带上，作为自己认证的凭据，应用系统接受到请求之后会把ticket送到认证系统进行效验，检查ticket的合法性（4，6）。如果通过效验，用户就可以在不用再次登录的情况下访问应用系统2和应用系统3了。</w:t>
      </w:r>
    </w:p>
    <w:p w14:paraId="07AAC6FC">
      <w:pPr>
        <w:ind w:firstLine="480" w:firstLineChars="200"/>
        <w:jc w:val="center"/>
        <w:rPr>
          <w:rFonts w:cs="Arial"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drawing>
          <wp:inline distT="0" distB="0" distL="0" distR="0">
            <wp:extent cx="3864610" cy="2110105"/>
            <wp:effectExtent l="0" t="0" r="2540" b="4445"/>
            <wp:docPr id="64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图片 52"/>
                    <pic:cNvPicPr>
                      <a:picLocks noChangeAspect="1" noChangeArrowheads="1"/>
                    </pic:cNvPicPr>
                  </pic:nvPicPr>
                  <pic:blipFill>
                    <a:blip r:embed="rId9" cstate="print"/>
                    <a:srcRect/>
                    <a:stretch>
                      <a:fillRect/>
                    </a:stretch>
                  </pic:blipFill>
                  <pic:spPr>
                    <a:xfrm>
                      <a:off x="0" y="0"/>
                      <a:ext cx="3897131" cy="2128357"/>
                    </a:xfrm>
                    <a:prstGeom prst="rect">
                      <a:avLst/>
                    </a:prstGeom>
                    <a:noFill/>
                    <a:ln w="9525">
                      <a:noFill/>
                      <a:miter lim="800000"/>
                      <a:headEnd/>
                      <a:tailEnd/>
                    </a:ln>
                  </pic:spPr>
                </pic:pic>
              </a:graphicData>
            </a:graphic>
          </wp:inline>
        </w:drawing>
      </w:r>
    </w:p>
    <w:p w14:paraId="20D5F8AD">
      <w:pPr>
        <w:ind w:firstLine="480" w:firstLineChars="200"/>
        <w:jc w:val="center"/>
        <w:rPr>
          <w:rFonts w:cs="Times New Roman" w:asciiTheme="majorEastAsia" w:hAnsiTheme="majorEastAsia" w:eastAsiaTheme="majorEastAsia"/>
          <w:color w:val="auto"/>
          <w:sz w:val="24"/>
          <w:szCs w:val="21"/>
        </w:rPr>
      </w:pPr>
      <w:bookmarkStart w:id="58" w:name="_Toc14107"/>
      <w:bookmarkStart w:id="59" w:name="_Toc50994642"/>
      <w:bookmarkStart w:id="60" w:name="_Toc44610829"/>
      <w:r>
        <w:rPr>
          <w:rFonts w:hint="eastAsia" w:cs="Times New Roman" w:asciiTheme="majorEastAsia" w:hAnsiTheme="majorEastAsia" w:eastAsiaTheme="majorEastAsia"/>
          <w:color w:val="auto"/>
          <w:sz w:val="24"/>
          <w:szCs w:val="21"/>
        </w:rPr>
        <w:t>单点登录机制示意图</w:t>
      </w:r>
      <w:bookmarkEnd w:id="58"/>
      <w:bookmarkEnd w:id="59"/>
      <w:bookmarkEnd w:id="60"/>
    </w:p>
    <w:p w14:paraId="3154296E">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单点登录是提供支持主流的身份协议 (如 SAML，为第三方应用程序提供 SSO 功能的 OAuth）的身份认证平台。SSO使用户一次登录便可实现跨多个系统访问第三方应用程序。</w:t>
      </w:r>
    </w:p>
    <w:p w14:paraId="6BE35796">
      <w:pPr>
        <w:pStyle w:val="7"/>
        <w:spacing w:line="240" w:lineRule="auto"/>
        <w:rPr>
          <w:color w:val="auto"/>
        </w:rPr>
      </w:pPr>
      <w:r>
        <w:rPr>
          <w:rFonts w:hint="eastAsia"/>
          <w:color w:val="auto"/>
        </w:rPr>
        <w:t>日志管理</w:t>
      </w:r>
    </w:p>
    <w:p w14:paraId="62597E7C">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日志管理模块能够对日志信息进行收集，提供非常详尽的日志查询功能，保留用户对系统的每一次操作，且能够自定义日志的生命周期，防止大量的日志文件占用系统空间。日志文件的命名包含用户名称、本地主机名等，当系统出现故障时，确保能够简洁明了的锁定故障原因。能够对日志信息进行收集，提供非常详尽的日志查询功能，保留用户对系统的每一次操作，且能够自定义日志的生命周期，防止大量的日志文件占用系统空间。</w:t>
      </w:r>
    </w:p>
    <w:p w14:paraId="360CB9E3">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日志用于记录内容、来源、作者、日期、操作类型等详细的信息，可自定义统计模型并可按照一定的条件进行灵活的查询。日志类别分为系统日志、应用日志、工作日志等。</w:t>
      </w:r>
    </w:p>
    <w:p w14:paraId="0169532A">
      <w:pPr>
        <w:numPr>
          <w:ilvl w:val="0"/>
          <w:numId w:val="1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系统日志：记录系统中硬件、软件和系统问题的信息，同时还可以监视系统中发生的事件。用户可以通过它来检查错误发生的原因，或者寻找受到攻击时攻击者留下的痕迹。系统日志包括系统日志、应用程序日志和安全日志。</w:t>
      </w:r>
    </w:p>
    <w:p w14:paraId="6C1FBD50">
      <w:pPr>
        <w:numPr>
          <w:ilvl w:val="0"/>
          <w:numId w:val="1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应用日志：记录应用程序运行基本情况的日志，包括启动/关闭时间、调用的后台服务、使用应用系统产生的错误信息。</w:t>
      </w:r>
    </w:p>
    <w:p w14:paraId="42639D61">
      <w:pPr>
        <w:numPr>
          <w:ilvl w:val="0"/>
          <w:numId w:val="1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工作日志：记录用户在使用平台过程中的详细操作、活动信息，包括对系统的登录、退出、使用子系统名称和对数据库的增删改查信息。</w:t>
      </w:r>
    </w:p>
    <w:p w14:paraId="1357E87F">
      <w:pPr>
        <w:pStyle w:val="7"/>
        <w:spacing w:line="240" w:lineRule="auto"/>
        <w:rPr>
          <w:color w:val="auto"/>
        </w:rPr>
      </w:pPr>
      <w:r>
        <w:rPr>
          <w:rFonts w:hint="eastAsia"/>
          <w:color w:val="auto"/>
        </w:rPr>
        <w:t>消息总线</w:t>
      </w:r>
    </w:p>
    <w:p w14:paraId="48DE38CC">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本模块主要是针对短报文类的信息进行采集、存储和计算处理。本系统安装在一个全虚拟化容器中，通过远程访问机制（RemoteAccess）进入这个容器进行管理操作，通过统一管理子系统服务完成。消息总线的组成包括如下几个子功能模块：插件式数据适配器及框架模块、分布式消息中间件模块、数据转换器模块、文档型数据库引擎模块。</w:t>
      </w:r>
    </w:p>
    <w:p w14:paraId="7CB2923B">
      <w:pPr>
        <w:numPr>
          <w:ilvl w:val="0"/>
          <w:numId w:val="11"/>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插件式数据适配器及框架模块</w:t>
      </w:r>
    </w:p>
    <w:p w14:paraId="57EDB17A">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数据适配器是用微服务容器封装起来的软件模块，该模块是专门针对某一类型的传感器或者数据源进行数据采集的。每一种适配器模块适用于一种第三方的数据源，不同的适配器将与数据源的交互的专有协议翻译成系统内部标准数据结构，进行传输。数据适配器本身并不具备业务属性，其业务属性是通过动态嵌入相应业务数据处理方法来实现的，这些业务处理方法是“动态信息数据”中的相应位置和物联网管理系统中的组成部分。其嵌入方法是通过动态加载方式实现的。</w:t>
      </w:r>
    </w:p>
    <w:p w14:paraId="17FFE295">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多种适配器模块集成在一起，接受一个公共软件模块的管理，这个公共的模块称为框架。框架提供适配器的认证和注册功能，并在运行时监控适配器的运行。框架模块起到的作用是对适配器的管理，它们之间使用框架的服务接口进行交互。</w:t>
      </w:r>
    </w:p>
    <w:p w14:paraId="0024E6EE">
      <w:pPr>
        <w:numPr>
          <w:ilvl w:val="0"/>
          <w:numId w:val="11"/>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分布式消息中间件模块</w:t>
      </w:r>
    </w:p>
    <w:p w14:paraId="477018B3">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消息中间件独立于各个系统，是一种能在各个子系统模块和系统运行，支持在任意架构的系统中各个组件之间进行通讯的协议实现组件，负责在各个子系统模块之间实时高效传递消息，主要解决应用耦合、异步消息、流量削峰等问题，实现高性能、高可用、可伸缩和最终一致性架构。是本系统中非常重要的核心信息交换组件。MQ支持同步传输和异步传输，保证数据报文不重复、不丢失、同顺序。</w:t>
      </w:r>
    </w:p>
    <w:p w14:paraId="79F4DFF4">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ELK(elasticsearch, logstash和kibana)中的logstash作为分布式消息中间件的实现，它是一种数据收集处理引擎，支持动态地从各种数据源收集数据，并对数据进行过滤、分析、丰富、统一格式等操作。是一种可以提供实时数据和日志搜集和分析的通用解决方案，如下图所示：</w:t>
      </w:r>
    </w:p>
    <w:p w14:paraId="11D8A4BA">
      <w:pPr>
        <w:ind w:firstLine="480" w:firstLineChars="200"/>
        <w:jc w:val="center"/>
        <w:rPr>
          <w:rFonts w:cs="Arial"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pict>
          <v:shape id="_x0000_i1025" o:spt="75" type="#_x0000_t75" style="height:120pt;width:408pt;" filled="f" o:preferrelative="t" stroked="f" coordsize="21600,21600">
            <v:path/>
            <v:fill on="f" focussize="0,0"/>
            <v:stroke on="f" joinstyle="miter"/>
            <v:imagedata r:id="rId10" o:title=""/>
            <o:lock v:ext="edit" aspectratio="t"/>
            <w10:wrap type="none"/>
            <w10:anchorlock/>
          </v:shape>
        </w:pict>
      </w:r>
    </w:p>
    <w:p w14:paraId="4A021012">
      <w:pPr>
        <w:ind w:firstLine="480" w:firstLineChars="200"/>
        <w:jc w:val="center"/>
        <w:rPr>
          <w:rFonts w:cs="Times New Roman" w:asciiTheme="majorEastAsia" w:hAnsiTheme="majorEastAsia" w:eastAsiaTheme="majorEastAsia"/>
          <w:color w:val="auto"/>
          <w:sz w:val="24"/>
          <w:szCs w:val="21"/>
        </w:rPr>
      </w:pPr>
      <w:bookmarkStart w:id="61" w:name="_Toc13985"/>
      <w:bookmarkStart w:id="62" w:name="_Toc44610830"/>
      <w:bookmarkStart w:id="63" w:name="_Toc50994643"/>
      <w:r>
        <w:rPr>
          <w:rFonts w:hint="eastAsia" w:ascii="Times New Roman" w:hAnsi="Times New Roman" w:eastAsia="宋体" w:cs="Times New Roman"/>
          <w:color w:val="auto"/>
          <w:sz w:val="24"/>
          <w:szCs w:val="21"/>
        </w:rPr>
        <w:t xml:space="preserve"> </w:t>
      </w:r>
      <w:r>
        <w:rPr>
          <w:rFonts w:hint="eastAsia" w:cs="Times New Roman" w:asciiTheme="majorEastAsia" w:hAnsiTheme="majorEastAsia" w:eastAsiaTheme="majorEastAsia"/>
          <w:color w:val="auto"/>
          <w:sz w:val="24"/>
          <w:szCs w:val="21"/>
        </w:rPr>
        <w:t>中间件采集</w:t>
      </w:r>
      <w:bookmarkEnd w:id="61"/>
      <w:bookmarkEnd w:id="62"/>
      <w:bookmarkEnd w:id="63"/>
      <w:r>
        <w:rPr>
          <w:rFonts w:hint="eastAsia" w:cs="Times New Roman" w:asciiTheme="majorEastAsia" w:hAnsiTheme="majorEastAsia" w:eastAsiaTheme="majorEastAsia"/>
          <w:color w:val="auto"/>
          <w:sz w:val="24"/>
          <w:szCs w:val="21"/>
        </w:rPr>
        <w:t>示意图</w:t>
      </w:r>
    </w:p>
    <w:p w14:paraId="52B62F37">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在城市体检评估信息系统简单场景应用下，logstash实例与ElasticSearch（基于Lucene的搜索服务器，简称ES）实例直接相连。Logstash直接通过input插件读取数据源，经过filter插件进行过滤，最后由output将数据写入ES实例中。</w:t>
      </w:r>
    </w:p>
    <w:p w14:paraId="5406D086">
      <w:pPr>
        <w:numPr>
          <w:ilvl w:val="0"/>
          <w:numId w:val="11"/>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数据转换器模块</w:t>
      </w:r>
    </w:p>
    <w:p w14:paraId="2B35E897">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数据转换器是位于消息中间件和数据库服务之间，主要作用是将订阅的消息转换为适合进入数据库的格式，按照指定的分片策略入库。数据转换器是中间件的一种，可以组成集群同时发起服务。分布式消息订阅及发布系统（MQ）作为数据转化器的一种实现方式，可以保证消息的可靠推送且队列容量不受制与机器内存而是机器的硬盘大小，如下图所示：</w:t>
      </w:r>
    </w:p>
    <w:p w14:paraId="1F5144DE">
      <w:pPr>
        <w:ind w:firstLine="480" w:firstLineChars="200"/>
        <w:jc w:val="center"/>
        <w:rPr>
          <w:rFonts w:cs="Arial"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pict>
          <v:shape id="_x0000_i1026" o:spt="75" type="#_x0000_t75" style="height:126pt;width:378.75pt;" filled="f" o:preferrelative="t" stroked="f" coordsize="21600,21600">
            <v:path/>
            <v:fill on="f" focussize="0,0"/>
            <v:stroke on="f" joinstyle="miter"/>
            <v:imagedata r:id="rId11" o:title=""/>
            <o:lock v:ext="edit" aspectratio="t"/>
            <w10:wrap type="none"/>
            <w10:anchorlock/>
          </v:shape>
        </w:pict>
      </w:r>
    </w:p>
    <w:p w14:paraId="191F4179">
      <w:pPr>
        <w:ind w:firstLine="480" w:firstLineChars="200"/>
        <w:jc w:val="center"/>
        <w:rPr>
          <w:rFonts w:cs="Times New Roman" w:asciiTheme="majorEastAsia" w:hAnsiTheme="majorEastAsia" w:eastAsiaTheme="majorEastAsia"/>
          <w:color w:val="auto"/>
          <w:sz w:val="24"/>
          <w:szCs w:val="21"/>
        </w:rPr>
      </w:pPr>
      <w:bookmarkStart w:id="64" w:name="_Toc44610831"/>
      <w:bookmarkStart w:id="65" w:name="_Toc50994644"/>
      <w:bookmarkStart w:id="66" w:name="_Toc27014"/>
      <w:r>
        <w:rPr>
          <w:rFonts w:hint="eastAsia" w:cs="Times New Roman" w:asciiTheme="majorEastAsia" w:hAnsiTheme="majorEastAsia" w:eastAsiaTheme="majorEastAsia"/>
          <w:color w:val="auto"/>
          <w:sz w:val="24"/>
          <w:szCs w:val="21"/>
        </w:rPr>
        <w:t>数据采集示意图</w:t>
      </w:r>
      <w:bookmarkEnd w:id="64"/>
      <w:bookmarkEnd w:id="65"/>
      <w:bookmarkEnd w:id="66"/>
    </w:p>
    <w:p w14:paraId="78FD4020">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该引入消息队列的场景下，多个数据流被logstashshippingagent采集并投递到数据转换器集群中，集群转化数据流并分片进入logstash索引器。而且当logstash接收数据流能力超过ES能力的时候，转换器集群还可以通过队列起到流量削峰作用，保证ES集群接收到的数据不被浪费丢失。</w:t>
      </w:r>
    </w:p>
    <w:p w14:paraId="4D198A37">
      <w:pPr>
        <w:numPr>
          <w:ilvl w:val="0"/>
          <w:numId w:val="11"/>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文档型数据库引擎模块</w:t>
      </w:r>
    </w:p>
    <w:p w14:paraId="2D806972">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本模块是针对数据资源现状设计了海量数据存储库。为了适应短报文类型的数据存储模式，依据本子系统的应用模式和数据特点，本设计方案中选择了“NoSQL”这种非关系型的数据库技术，进行大量的“短报文”类型的数据存储和处理。虽然数据的去结构化可能会使用到更多的存储空间，但随着存储空间价格的不断下降，存储空间和读写速度的变化将弥补这一短板。而由此带来的高性能、可扩展性以及灵活的数据结构等优点又将大大提升应用的各方面性能表现。文档型数据模型不仅简化了数据存取的过程，也大大的提升了数据的灵活性。使用非结构数据库，不仅免去了设计模式这个麻烦的环节，还能很好的适应大数据时代高并发、实时性和分布式的要求。</w:t>
      </w:r>
    </w:p>
    <w:p w14:paraId="1DE0D79A">
      <w:pPr>
        <w:pStyle w:val="7"/>
        <w:spacing w:line="240" w:lineRule="auto"/>
        <w:rPr>
          <w:color w:val="auto"/>
        </w:rPr>
      </w:pPr>
      <w:r>
        <w:rPr>
          <w:rFonts w:hint="eastAsia"/>
          <w:color w:val="auto"/>
        </w:rPr>
        <w:t>数据总线</w:t>
      </w:r>
    </w:p>
    <w:p w14:paraId="783FBBDE">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数据总线是平台应用支撑层的核心支撑组件，为异构的系统之间搭建相互通信的通道，通过建立各级请求管理及应用互操作标准，解决分布式的数据访问和应用系统间互调用问题，将系统及数据有机地联系与整合在一起，实现了分布式信息共享和资源综合利用。</w:t>
      </w:r>
    </w:p>
    <w:p w14:paraId="64214100">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数据总线是基于SOA的服务中间件，满足于不同应用规模用途的共享服务体系，通过叠加各类服务治理手段，推动服务资源实现高可用、高可靠、高性能、高安全。数据总线起到以下关键作用：</w:t>
      </w:r>
    </w:p>
    <w:p w14:paraId="361549D3">
      <w:pPr>
        <w:numPr>
          <w:ilvl w:val="0"/>
          <w:numId w:val="12"/>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实现数据资源与应用之间的管用分离；</w:t>
      </w:r>
    </w:p>
    <w:p w14:paraId="2510B8F8">
      <w:pPr>
        <w:numPr>
          <w:ilvl w:val="0"/>
          <w:numId w:val="12"/>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构建不同规模的共享服务体系，支撑全网分布式信息共享与数据交换；</w:t>
      </w:r>
    </w:p>
    <w:p w14:paraId="744560EB">
      <w:pPr>
        <w:numPr>
          <w:ilvl w:val="0"/>
          <w:numId w:val="12"/>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支持数据接口类服务（查询、检索、比对、布控、标签、模型……）；</w:t>
      </w:r>
    </w:p>
    <w:p w14:paraId="5C52CFDD">
      <w:pPr>
        <w:numPr>
          <w:ilvl w:val="0"/>
          <w:numId w:val="12"/>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支持数据交换类服务（数据汇集、数据分发、数据下载、数据订阅……）；</w:t>
      </w:r>
    </w:p>
    <w:p w14:paraId="196AAEBA">
      <w:pPr>
        <w:numPr>
          <w:ilvl w:val="0"/>
          <w:numId w:val="12"/>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支持业务协同类服务（指令联动、分布式信息流转、分布式分析……）；</w:t>
      </w:r>
    </w:p>
    <w:p w14:paraId="79709C94">
      <w:pPr>
        <w:numPr>
          <w:ilvl w:val="0"/>
          <w:numId w:val="12"/>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支持Web页面调用服务；</w:t>
      </w:r>
    </w:p>
    <w:p w14:paraId="18624CBA">
      <w:pPr>
        <w:numPr>
          <w:ilvl w:val="0"/>
          <w:numId w:val="12"/>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统一服务管理，实现共享服务与应用的注册发布管理，服务访问授权管控；</w:t>
      </w:r>
    </w:p>
    <w:p w14:paraId="3AE98981">
      <w:pPr>
        <w:numPr>
          <w:ilvl w:val="0"/>
          <w:numId w:val="12"/>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集中监控审计，实现请求、服务行为可见、可控，并为安全审计提供日志。</w:t>
      </w:r>
    </w:p>
    <w:p w14:paraId="71178605">
      <w:pPr>
        <w:pStyle w:val="6"/>
        <w:spacing w:line="240" w:lineRule="auto"/>
        <w:rPr>
          <w:color w:val="auto"/>
        </w:rPr>
      </w:pPr>
      <w:bookmarkStart w:id="67" w:name="_Toc83216267"/>
      <w:bookmarkStart w:id="68" w:name="_Toc82449772"/>
      <w:r>
        <w:rPr>
          <w:rFonts w:hint="eastAsia"/>
          <w:color w:val="auto"/>
        </w:rPr>
        <w:t>位置支撑服务</w:t>
      </w:r>
      <w:bookmarkEnd w:id="67"/>
      <w:bookmarkEnd w:id="68"/>
    </w:p>
    <w:p w14:paraId="5EF405F0">
      <w:pPr>
        <w:snapToGrid w:val="0"/>
        <w:ind w:firstLine="480" w:firstLineChars="200"/>
        <w:rPr>
          <w:rFonts w:ascii="宋体" w:hAnsi="宋体" w:eastAsia="宋体" w:cs="Times New Roman"/>
          <w:color w:val="auto"/>
          <w:sz w:val="24"/>
        </w:rPr>
      </w:pPr>
      <w:r>
        <w:rPr>
          <w:rFonts w:hint="eastAsia" w:ascii="宋体" w:hAnsi="宋体" w:eastAsia="宋体" w:cs="Times New Roman"/>
          <w:color w:val="auto"/>
          <w:sz w:val="24"/>
        </w:rPr>
        <w:t>位置支撑服务系统是以多源定位手段（BD、GPS、WIFI、RFID等）为支撑，通过各类信息通讯系统（专网、互联网、微波通讯等），利用地理信息技术、多源实时消息统一接入处理技术、海量分析技术、信息挖掘与应用技术等，构建的综合化、标准化、高扩展、多应用的空间位置应用支撑服务平台，为各类用户提供相应的空间位置应用支撑服务。</w:t>
      </w:r>
    </w:p>
    <w:p w14:paraId="7A1CDE45">
      <w:pPr>
        <w:snapToGrid w:val="0"/>
        <w:ind w:firstLine="480" w:firstLineChars="200"/>
        <w:rPr>
          <w:rFonts w:ascii="宋体" w:hAnsi="宋体" w:eastAsia="宋体" w:cs="Times New Roman"/>
          <w:color w:val="auto"/>
          <w:sz w:val="24"/>
        </w:rPr>
      </w:pPr>
      <w:r>
        <w:rPr>
          <w:rFonts w:hint="eastAsia" w:cs="Times New Roman" w:asciiTheme="majorEastAsia" w:hAnsiTheme="majorEastAsia" w:eastAsiaTheme="majorEastAsia"/>
          <w:color w:val="auto"/>
          <w:sz w:val="24"/>
          <w:szCs w:val="21"/>
        </w:rPr>
        <w:t>借助空间位置应用支撑服务，实现对执勤民警、网格员、车辆、移动通讯车、移动应用终</w:t>
      </w:r>
      <w:r>
        <w:rPr>
          <w:rFonts w:hint="eastAsia" w:ascii="宋体" w:hAnsi="宋体" w:eastAsia="宋体" w:cs="Times New Roman"/>
          <w:color w:val="auto"/>
          <w:sz w:val="24"/>
        </w:rPr>
        <w:t>端、北斗应用终端等各类监控目标的实时定位，在日常指挥协同、抢险救灾、应急指挥和维护社会稳定等任务中发挥作用。满足扁平化应急指挥、快速反应，协同作战的管理需要。</w:t>
      </w:r>
    </w:p>
    <w:p w14:paraId="05590809">
      <w:pPr>
        <w:snapToGrid w:val="0"/>
        <w:ind w:firstLine="480" w:firstLineChars="200"/>
        <w:rPr>
          <w:rFonts w:ascii="宋体" w:hAnsi="宋体" w:eastAsia="宋体" w:cs="Times New Roman"/>
          <w:color w:val="auto"/>
          <w:sz w:val="24"/>
        </w:rPr>
      </w:pPr>
      <w:r>
        <w:rPr>
          <w:rFonts w:hint="eastAsia" w:ascii="宋体" w:hAnsi="宋体" w:eastAsia="宋体" w:cs="Times New Roman"/>
          <w:color w:val="auto"/>
          <w:sz w:val="24"/>
        </w:rPr>
        <w:t>本项目空间位置支撑服务功能模块升级改造情况如下表所示：</w:t>
      </w:r>
    </w:p>
    <w:p w14:paraId="1DC97492">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表 </w:t>
      </w:r>
      <w:bookmarkStart w:id="69" w:name="_Toc28518"/>
      <w:r>
        <w:rPr>
          <w:rFonts w:hint="eastAsia" w:ascii="Times New Roman" w:hAnsi="Times New Roman" w:eastAsia="宋体" w:cs="Times New Roman"/>
          <w:color w:val="auto"/>
          <w:sz w:val="24"/>
          <w:szCs w:val="21"/>
        </w:rPr>
        <w:t>空间支撑模块升级改造情况</w:t>
      </w:r>
      <w:bookmarkEnd w:id="69"/>
    </w:p>
    <w:tbl>
      <w:tblPr>
        <w:tblStyle w:val="30"/>
        <w:tblW w:w="8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087"/>
        <w:gridCol w:w="1630"/>
        <w:gridCol w:w="1303"/>
        <w:gridCol w:w="1303"/>
        <w:gridCol w:w="1522"/>
        <w:gridCol w:w="1130"/>
      </w:tblGrid>
      <w:tr w14:paraId="6BB4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538" w:type="dxa"/>
            <w:shd w:val="clear" w:color="auto" w:fill="auto"/>
            <w:vAlign w:val="center"/>
          </w:tcPr>
          <w:p w14:paraId="785028B7">
            <w:pPr>
              <w:adjustRightInd w:val="0"/>
              <w:snapToGrid w:val="0"/>
              <w:jc w:val="center"/>
              <w:rPr>
                <w:rFonts w:ascii="Times New Roman" w:hAnsi="Times New Roman" w:eastAsia="宋体" w:cs="Times New Roman"/>
                <w:b/>
                <w:bCs/>
                <w:color w:val="auto"/>
                <w:sz w:val="24"/>
                <w:szCs w:val="21"/>
              </w:rPr>
            </w:pPr>
            <w:r>
              <w:rPr>
                <w:rFonts w:hint="eastAsia" w:ascii="Times New Roman" w:hAnsi="Times New Roman" w:eastAsia="宋体" w:cs="Times New Roman"/>
                <w:b/>
                <w:bCs/>
                <w:color w:val="auto"/>
                <w:sz w:val="24"/>
                <w:szCs w:val="21"/>
              </w:rPr>
              <w:t>序号</w:t>
            </w:r>
          </w:p>
        </w:tc>
        <w:tc>
          <w:tcPr>
            <w:tcW w:w="1087" w:type="dxa"/>
            <w:shd w:val="clear" w:color="auto" w:fill="auto"/>
            <w:vAlign w:val="center"/>
          </w:tcPr>
          <w:p w14:paraId="7A1CD055">
            <w:pPr>
              <w:adjustRightInd w:val="0"/>
              <w:snapToGrid w:val="0"/>
              <w:jc w:val="center"/>
              <w:rPr>
                <w:rFonts w:ascii="Times New Roman" w:hAnsi="Times New Roman" w:eastAsia="宋体" w:cs="Times New Roman"/>
                <w:b/>
                <w:bCs/>
                <w:color w:val="auto"/>
                <w:sz w:val="24"/>
                <w:szCs w:val="21"/>
              </w:rPr>
            </w:pPr>
            <w:r>
              <w:rPr>
                <w:rFonts w:ascii="Times New Roman" w:hAnsi="Times New Roman" w:eastAsia="宋体" w:cs="Times New Roman"/>
                <w:b/>
                <w:bCs/>
                <w:color w:val="auto"/>
                <w:sz w:val="24"/>
                <w:szCs w:val="21"/>
              </w:rPr>
              <w:t>E</w:t>
            </w:r>
            <w:r>
              <w:rPr>
                <w:rFonts w:hint="eastAsia" w:ascii="Times New Roman" w:hAnsi="Times New Roman" w:eastAsia="宋体" w:cs="Times New Roman"/>
                <w:b/>
                <w:bCs/>
                <w:color w:val="auto"/>
                <w:sz w:val="24"/>
                <w:szCs w:val="21"/>
              </w:rPr>
              <w:t>福州综合指挥平台</w:t>
            </w:r>
          </w:p>
        </w:tc>
        <w:tc>
          <w:tcPr>
            <w:tcW w:w="1630" w:type="dxa"/>
            <w:tcBorders>
              <w:right w:val="double" w:color="auto" w:sz="4" w:space="0"/>
            </w:tcBorders>
            <w:shd w:val="clear" w:color="auto" w:fill="auto"/>
            <w:vAlign w:val="center"/>
          </w:tcPr>
          <w:p w14:paraId="087A364D">
            <w:pPr>
              <w:adjustRightInd w:val="0"/>
              <w:snapToGrid w:val="0"/>
              <w:jc w:val="center"/>
              <w:rPr>
                <w:rFonts w:ascii="Times New Roman" w:hAnsi="Times New Roman" w:eastAsia="宋体" w:cs="Times New Roman"/>
                <w:b/>
                <w:bCs/>
                <w:color w:val="auto"/>
                <w:sz w:val="24"/>
                <w:szCs w:val="21"/>
              </w:rPr>
            </w:pPr>
            <w:r>
              <w:rPr>
                <w:rFonts w:hint="eastAsia" w:ascii="Times New Roman" w:hAnsi="Times New Roman" w:eastAsia="宋体" w:cs="Times New Roman"/>
                <w:b/>
                <w:bCs/>
                <w:color w:val="auto"/>
                <w:sz w:val="24"/>
                <w:szCs w:val="21"/>
              </w:rPr>
              <w:t>子模块</w:t>
            </w:r>
          </w:p>
        </w:tc>
        <w:tc>
          <w:tcPr>
            <w:tcW w:w="1303" w:type="dxa"/>
            <w:tcBorders>
              <w:left w:val="double" w:color="auto" w:sz="4" w:space="0"/>
            </w:tcBorders>
            <w:shd w:val="clear" w:color="auto" w:fill="auto"/>
            <w:vAlign w:val="center"/>
          </w:tcPr>
          <w:p w14:paraId="4759669D">
            <w:pPr>
              <w:adjustRightInd w:val="0"/>
              <w:snapToGrid w:val="0"/>
              <w:jc w:val="center"/>
              <w:rPr>
                <w:rFonts w:ascii="Times New Roman" w:hAnsi="Times New Roman" w:eastAsia="宋体" w:cs="Times New Roman"/>
                <w:b/>
                <w:bCs/>
                <w:color w:val="auto"/>
                <w:sz w:val="24"/>
                <w:szCs w:val="21"/>
              </w:rPr>
            </w:pPr>
            <w:r>
              <w:rPr>
                <w:rFonts w:hint="eastAsia" w:ascii="Times New Roman" w:hAnsi="Times New Roman" w:eastAsia="宋体" w:cs="Times New Roman"/>
                <w:b/>
                <w:bCs/>
                <w:color w:val="auto"/>
                <w:sz w:val="24"/>
                <w:szCs w:val="21"/>
              </w:rPr>
              <w:t>城市综合管理服务平台</w:t>
            </w:r>
          </w:p>
        </w:tc>
        <w:tc>
          <w:tcPr>
            <w:tcW w:w="1303" w:type="dxa"/>
            <w:shd w:val="clear" w:color="auto" w:fill="auto"/>
            <w:vAlign w:val="center"/>
          </w:tcPr>
          <w:p w14:paraId="00014311">
            <w:pPr>
              <w:adjustRightInd w:val="0"/>
              <w:snapToGrid w:val="0"/>
              <w:jc w:val="center"/>
              <w:rPr>
                <w:rFonts w:ascii="Times New Roman" w:hAnsi="Times New Roman" w:eastAsia="宋体" w:cs="Times New Roman"/>
                <w:b/>
                <w:bCs/>
                <w:color w:val="auto"/>
                <w:sz w:val="24"/>
                <w:szCs w:val="21"/>
              </w:rPr>
            </w:pPr>
            <w:r>
              <w:rPr>
                <w:rFonts w:hint="eastAsia" w:ascii="Times New Roman" w:hAnsi="Times New Roman" w:eastAsia="宋体" w:cs="Times New Roman"/>
                <w:b/>
                <w:bCs/>
                <w:color w:val="auto"/>
                <w:sz w:val="24"/>
                <w:szCs w:val="21"/>
              </w:rPr>
              <w:t>子模块</w:t>
            </w:r>
          </w:p>
        </w:tc>
        <w:tc>
          <w:tcPr>
            <w:tcW w:w="1522" w:type="dxa"/>
            <w:vAlign w:val="center"/>
          </w:tcPr>
          <w:p w14:paraId="59413FA3">
            <w:pPr>
              <w:adjustRightInd w:val="0"/>
              <w:snapToGrid w:val="0"/>
              <w:jc w:val="center"/>
              <w:rPr>
                <w:rFonts w:ascii="Times New Roman" w:hAnsi="Times New Roman" w:eastAsia="宋体" w:cs="Times New Roman"/>
                <w:b/>
                <w:bCs/>
                <w:color w:val="auto"/>
                <w:sz w:val="24"/>
                <w:szCs w:val="21"/>
              </w:rPr>
            </w:pPr>
            <w:r>
              <w:rPr>
                <w:rFonts w:hint="eastAsia" w:ascii="Times New Roman" w:hAnsi="Times New Roman" w:eastAsia="宋体" w:cs="Times New Roman"/>
                <w:b/>
                <w:bCs/>
                <w:color w:val="auto"/>
                <w:sz w:val="24"/>
                <w:szCs w:val="21"/>
              </w:rPr>
              <w:t>子模块</w:t>
            </w:r>
          </w:p>
        </w:tc>
        <w:tc>
          <w:tcPr>
            <w:tcW w:w="1130" w:type="dxa"/>
            <w:shd w:val="clear" w:color="auto" w:fill="auto"/>
            <w:vAlign w:val="center"/>
          </w:tcPr>
          <w:p w14:paraId="5AE322A9">
            <w:pPr>
              <w:adjustRightInd w:val="0"/>
              <w:snapToGrid w:val="0"/>
              <w:jc w:val="center"/>
              <w:rPr>
                <w:rFonts w:ascii="Times New Roman" w:hAnsi="Times New Roman" w:eastAsia="宋体" w:cs="Times New Roman"/>
                <w:b/>
                <w:bCs/>
                <w:color w:val="auto"/>
                <w:sz w:val="24"/>
                <w:szCs w:val="21"/>
              </w:rPr>
            </w:pPr>
            <w:r>
              <w:rPr>
                <w:rFonts w:hint="eastAsia" w:ascii="Times New Roman" w:hAnsi="Times New Roman" w:eastAsia="宋体" w:cs="Times New Roman"/>
                <w:b/>
                <w:bCs/>
                <w:color w:val="auto"/>
                <w:sz w:val="24"/>
                <w:szCs w:val="21"/>
              </w:rPr>
              <w:t>备注</w:t>
            </w:r>
          </w:p>
        </w:tc>
      </w:tr>
      <w:tr w14:paraId="1B93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43691A4E">
            <w:pPr>
              <w:adjustRightInd w:val="0"/>
              <w:snapToGrid w:val="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1</w:t>
            </w:r>
          </w:p>
        </w:tc>
        <w:tc>
          <w:tcPr>
            <w:tcW w:w="1087" w:type="dxa"/>
            <w:vMerge w:val="restart"/>
            <w:shd w:val="clear" w:color="auto" w:fill="auto"/>
            <w:vAlign w:val="center"/>
          </w:tcPr>
          <w:p w14:paraId="509A7A6F">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空间位置支撑服务</w:t>
            </w:r>
          </w:p>
        </w:tc>
        <w:tc>
          <w:tcPr>
            <w:tcW w:w="1630" w:type="dxa"/>
            <w:shd w:val="clear" w:color="auto" w:fill="auto"/>
            <w:vAlign w:val="center"/>
          </w:tcPr>
          <w:p w14:paraId="768017DD">
            <w:pPr>
              <w:adjustRightInd w:val="0"/>
              <w:snapToGrid w:val="0"/>
              <w:jc w:val="center"/>
              <w:rPr>
                <w:rFonts w:ascii="Times New Roman" w:hAnsi="Times New Roman" w:eastAsia="宋体" w:cs="Times New Roman"/>
                <w:color w:val="auto"/>
                <w:sz w:val="24"/>
                <w:szCs w:val="21"/>
              </w:rPr>
            </w:pPr>
            <w:r>
              <w:rPr>
                <w:rFonts w:hint="eastAsia" w:ascii="宋体" w:hAnsi="宋体" w:eastAsia="宋体" w:cs="宋体"/>
                <w:color w:val="auto"/>
                <w:kern w:val="0"/>
                <w:szCs w:val="21"/>
              </w:rPr>
              <w:t>定位数据采集模块</w:t>
            </w:r>
          </w:p>
        </w:tc>
        <w:tc>
          <w:tcPr>
            <w:tcW w:w="1303" w:type="dxa"/>
            <w:vMerge w:val="restart"/>
            <w:tcBorders>
              <w:left w:val="double" w:color="auto" w:sz="4" w:space="0"/>
            </w:tcBorders>
            <w:shd w:val="clear" w:color="auto" w:fill="auto"/>
            <w:vAlign w:val="center"/>
          </w:tcPr>
          <w:p w14:paraId="3FA588AA">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空间位置支撑服务</w:t>
            </w:r>
          </w:p>
        </w:tc>
        <w:tc>
          <w:tcPr>
            <w:tcW w:w="1303" w:type="dxa"/>
            <w:vMerge w:val="restart"/>
            <w:shd w:val="clear" w:color="auto" w:fill="auto"/>
            <w:vAlign w:val="center"/>
          </w:tcPr>
          <w:p w14:paraId="59F1DDD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实时定位采集</w:t>
            </w:r>
          </w:p>
        </w:tc>
        <w:tc>
          <w:tcPr>
            <w:tcW w:w="1522" w:type="dxa"/>
            <w:vMerge w:val="restart"/>
            <w:vAlign w:val="center"/>
          </w:tcPr>
          <w:p w14:paraId="59AD134A">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实时定位采集</w:t>
            </w:r>
          </w:p>
        </w:tc>
        <w:tc>
          <w:tcPr>
            <w:tcW w:w="1130" w:type="dxa"/>
            <w:vMerge w:val="restart"/>
            <w:shd w:val="clear" w:color="auto" w:fill="auto"/>
            <w:vAlign w:val="center"/>
          </w:tcPr>
          <w:p w14:paraId="3BEFEC94">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r>
      <w:tr w14:paraId="6DEE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128A2A6B">
            <w:pPr>
              <w:adjustRightInd w:val="0"/>
              <w:snapToGrid w:val="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2</w:t>
            </w:r>
          </w:p>
        </w:tc>
        <w:tc>
          <w:tcPr>
            <w:tcW w:w="1087" w:type="dxa"/>
            <w:vMerge w:val="continue"/>
            <w:vAlign w:val="center"/>
          </w:tcPr>
          <w:p w14:paraId="26F11357">
            <w:pPr>
              <w:adjustRightInd w:val="0"/>
              <w:snapToGrid w:val="0"/>
              <w:jc w:val="center"/>
              <w:rPr>
                <w:rFonts w:ascii="Times New Roman" w:hAnsi="Times New Roman" w:eastAsia="宋体" w:cs="Times New Roman"/>
                <w:color w:val="auto"/>
                <w:sz w:val="24"/>
                <w:szCs w:val="21"/>
              </w:rPr>
            </w:pPr>
          </w:p>
        </w:tc>
        <w:tc>
          <w:tcPr>
            <w:tcW w:w="1630" w:type="dxa"/>
            <w:shd w:val="clear" w:color="auto" w:fill="auto"/>
            <w:vAlign w:val="center"/>
          </w:tcPr>
          <w:p w14:paraId="10FD6F6E">
            <w:pPr>
              <w:adjustRightInd w:val="0"/>
              <w:snapToGrid w:val="0"/>
              <w:jc w:val="center"/>
              <w:rPr>
                <w:rFonts w:ascii="Times New Roman" w:hAnsi="Times New Roman" w:eastAsia="宋体" w:cs="Times New Roman"/>
                <w:color w:val="auto"/>
                <w:sz w:val="24"/>
                <w:szCs w:val="21"/>
              </w:rPr>
            </w:pPr>
            <w:r>
              <w:rPr>
                <w:rFonts w:hint="eastAsia" w:ascii="宋体" w:hAnsi="宋体" w:eastAsia="宋体" w:cs="宋体"/>
                <w:color w:val="auto"/>
                <w:kern w:val="0"/>
                <w:szCs w:val="21"/>
              </w:rPr>
              <w:t>网间定位采集模块</w:t>
            </w:r>
          </w:p>
        </w:tc>
        <w:tc>
          <w:tcPr>
            <w:tcW w:w="1303" w:type="dxa"/>
            <w:vMerge w:val="continue"/>
            <w:tcBorders>
              <w:left w:val="double" w:color="auto" w:sz="4" w:space="0"/>
            </w:tcBorders>
            <w:shd w:val="clear" w:color="auto" w:fill="auto"/>
            <w:vAlign w:val="center"/>
          </w:tcPr>
          <w:p w14:paraId="11D30F16">
            <w:pPr>
              <w:adjustRightInd w:val="0"/>
              <w:snapToGrid w:val="0"/>
              <w:jc w:val="center"/>
              <w:rPr>
                <w:rFonts w:ascii="Times New Roman" w:hAnsi="Times New Roman" w:eastAsia="宋体" w:cs="Times New Roman"/>
                <w:color w:val="auto"/>
                <w:sz w:val="24"/>
                <w:szCs w:val="21"/>
              </w:rPr>
            </w:pPr>
          </w:p>
        </w:tc>
        <w:tc>
          <w:tcPr>
            <w:tcW w:w="1303" w:type="dxa"/>
            <w:vMerge w:val="continue"/>
            <w:shd w:val="clear" w:color="auto" w:fill="auto"/>
            <w:vAlign w:val="center"/>
          </w:tcPr>
          <w:p w14:paraId="57530165">
            <w:pPr>
              <w:adjustRightInd w:val="0"/>
              <w:snapToGrid w:val="0"/>
              <w:jc w:val="center"/>
              <w:rPr>
                <w:rFonts w:ascii="Times New Roman" w:hAnsi="Times New Roman" w:eastAsia="宋体" w:cs="Times New Roman"/>
                <w:color w:val="auto"/>
                <w:sz w:val="24"/>
                <w:szCs w:val="21"/>
              </w:rPr>
            </w:pPr>
          </w:p>
        </w:tc>
        <w:tc>
          <w:tcPr>
            <w:tcW w:w="1522" w:type="dxa"/>
            <w:vMerge w:val="continue"/>
            <w:vAlign w:val="center"/>
          </w:tcPr>
          <w:p w14:paraId="4087AEBE">
            <w:pPr>
              <w:adjustRightInd w:val="0"/>
              <w:snapToGrid w:val="0"/>
              <w:jc w:val="center"/>
              <w:rPr>
                <w:rFonts w:ascii="Times New Roman" w:hAnsi="Times New Roman" w:eastAsia="宋体" w:cs="Times New Roman"/>
                <w:color w:val="auto"/>
                <w:sz w:val="24"/>
                <w:szCs w:val="21"/>
              </w:rPr>
            </w:pPr>
          </w:p>
        </w:tc>
        <w:tc>
          <w:tcPr>
            <w:tcW w:w="1130" w:type="dxa"/>
            <w:vMerge w:val="continue"/>
            <w:shd w:val="clear" w:color="auto" w:fill="auto"/>
            <w:vAlign w:val="center"/>
          </w:tcPr>
          <w:p w14:paraId="0F96ED9E">
            <w:pPr>
              <w:adjustRightInd w:val="0"/>
              <w:snapToGrid w:val="0"/>
              <w:jc w:val="center"/>
              <w:rPr>
                <w:rFonts w:ascii="Times New Roman" w:hAnsi="Times New Roman" w:eastAsia="宋体" w:cs="Times New Roman"/>
                <w:color w:val="auto"/>
                <w:sz w:val="24"/>
                <w:szCs w:val="21"/>
              </w:rPr>
            </w:pPr>
          </w:p>
        </w:tc>
      </w:tr>
      <w:tr w14:paraId="5A1D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1135F0D1">
            <w:pPr>
              <w:adjustRightInd w:val="0"/>
              <w:snapToGrid w:val="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3</w:t>
            </w:r>
          </w:p>
        </w:tc>
        <w:tc>
          <w:tcPr>
            <w:tcW w:w="1087" w:type="dxa"/>
            <w:vMerge w:val="continue"/>
            <w:vAlign w:val="center"/>
          </w:tcPr>
          <w:p w14:paraId="5B1F429C">
            <w:pPr>
              <w:adjustRightInd w:val="0"/>
              <w:snapToGrid w:val="0"/>
              <w:jc w:val="center"/>
              <w:rPr>
                <w:rFonts w:ascii="Times New Roman" w:hAnsi="Times New Roman" w:eastAsia="宋体" w:cs="Times New Roman"/>
                <w:color w:val="auto"/>
                <w:sz w:val="24"/>
                <w:szCs w:val="21"/>
              </w:rPr>
            </w:pPr>
          </w:p>
        </w:tc>
        <w:tc>
          <w:tcPr>
            <w:tcW w:w="1630" w:type="dxa"/>
            <w:shd w:val="clear" w:color="auto" w:fill="auto"/>
            <w:vAlign w:val="center"/>
          </w:tcPr>
          <w:p w14:paraId="55EE4D7E">
            <w:pPr>
              <w:adjustRightInd w:val="0"/>
              <w:snapToGrid w:val="0"/>
              <w:jc w:val="center"/>
              <w:rPr>
                <w:rFonts w:ascii="Times New Roman" w:hAnsi="Times New Roman" w:eastAsia="宋体" w:cs="Times New Roman"/>
                <w:color w:val="auto"/>
                <w:sz w:val="24"/>
                <w:szCs w:val="21"/>
              </w:rPr>
            </w:pPr>
            <w:r>
              <w:rPr>
                <w:rFonts w:hint="eastAsia" w:ascii="宋体" w:hAnsi="宋体" w:eastAsia="宋体" w:cs="宋体"/>
                <w:color w:val="auto"/>
                <w:kern w:val="0"/>
                <w:szCs w:val="21"/>
              </w:rPr>
              <w:t>实时位置服务模块</w:t>
            </w:r>
          </w:p>
        </w:tc>
        <w:tc>
          <w:tcPr>
            <w:tcW w:w="1303" w:type="dxa"/>
            <w:vMerge w:val="continue"/>
            <w:tcBorders>
              <w:left w:val="double" w:color="auto" w:sz="4" w:space="0"/>
            </w:tcBorders>
            <w:shd w:val="clear" w:color="auto" w:fill="auto"/>
            <w:vAlign w:val="center"/>
          </w:tcPr>
          <w:p w14:paraId="2E373FE3">
            <w:pPr>
              <w:adjustRightInd w:val="0"/>
              <w:snapToGrid w:val="0"/>
              <w:jc w:val="center"/>
              <w:rPr>
                <w:rFonts w:ascii="Times New Roman" w:hAnsi="Times New Roman" w:eastAsia="宋体" w:cs="Times New Roman"/>
                <w:color w:val="auto"/>
                <w:sz w:val="24"/>
                <w:szCs w:val="21"/>
              </w:rPr>
            </w:pPr>
          </w:p>
        </w:tc>
        <w:tc>
          <w:tcPr>
            <w:tcW w:w="1303" w:type="dxa"/>
            <w:vMerge w:val="continue"/>
            <w:shd w:val="clear" w:color="auto" w:fill="auto"/>
            <w:vAlign w:val="center"/>
          </w:tcPr>
          <w:p w14:paraId="492EF38C">
            <w:pPr>
              <w:adjustRightInd w:val="0"/>
              <w:snapToGrid w:val="0"/>
              <w:jc w:val="center"/>
              <w:rPr>
                <w:rFonts w:ascii="Times New Roman" w:hAnsi="Times New Roman" w:eastAsia="宋体" w:cs="Times New Roman"/>
                <w:color w:val="auto"/>
                <w:sz w:val="24"/>
                <w:szCs w:val="21"/>
              </w:rPr>
            </w:pPr>
          </w:p>
        </w:tc>
        <w:tc>
          <w:tcPr>
            <w:tcW w:w="1522" w:type="dxa"/>
            <w:vMerge w:val="continue"/>
            <w:vAlign w:val="center"/>
          </w:tcPr>
          <w:p w14:paraId="2527AE1A">
            <w:pPr>
              <w:adjustRightInd w:val="0"/>
              <w:snapToGrid w:val="0"/>
              <w:jc w:val="center"/>
              <w:rPr>
                <w:rFonts w:ascii="Times New Roman" w:hAnsi="Times New Roman" w:eastAsia="宋体" w:cs="Times New Roman"/>
                <w:color w:val="auto"/>
                <w:sz w:val="24"/>
                <w:szCs w:val="21"/>
              </w:rPr>
            </w:pPr>
          </w:p>
        </w:tc>
        <w:tc>
          <w:tcPr>
            <w:tcW w:w="1130" w:type="dxa"/>
            <w:vMerge w:val="continue"/>
            <w:shd w:val="clear" w:color="auto" w:fill="auto"/>
            <w:vAlign w:val="center"/>
          </w:tcPr>
          <w:p w14:paraId="7EF0AC46">
            <w:pPr>
              <w:adjustRightInd w:val="0"/>
              <w:snapToGrid w:val="0"/>
              <w:jc w:val="center"/>
              <w:rPr>
                <w:rFonts w:ascii="Times New Roman" w:hAnsi="Times New Roman" w:eastAsia="宋体" w:cs="Times New Roman"/>
                <w:color w:val="auto"/>
                <w:sz w:val="24"/>
                <w:szCs w:val="21"/>
              </w:rPr>
            </w:pPr>
          </w:p>
        </w:tc>
      </w:tr>
      <w:tr w14:paraId="0647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5AB835DA">
            <w:pPr>
              <w:adjustRightInd w:val="0"/>
              <w:snapToGrid w:val="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4</w:t>
            </w:r>
          </w:p>
        </w:tc>
        <w:tc>
          <w:tcPr>
            <w:tcW w:w="1087" w:type="dxa"/>
            <w:vMerge w:val="continue"/>
            <w:vAlign w:val="center"/>
          </w:tcPr>
          <w:p w14:paraId="0D2AC33B">
            <w:pPr>
              <w:adjustRightInd w:val="0"/>
              <w:snapToGrid w:val="0"/>
              <w:jc w:val="center"/>
              <w:rPr>
                <w:rFonts w:ascii="Times New Roman" w:hAnsi="Times New Roman" w:eastAsia="宋体" w:cs="Times New Roman"/>
                <w:color w:val="auto"/>
                <w:sz w:val="24"/>
                <w:szCs w:val="21"/>
              </w:rPr>
            </w:pPr>
          </w:p>
        </w:tc>
        <w:tc>
          <w:tcPr>
            <w:tcW w:w="1630" w:type="dxa"/>
            <w:shd w:val="clear" w:color="auto" w:fill="auto"/>
            <w:vAlign w:val="center"/>
          </w:tcPr>
          <w:p w14:paraId="72168026">
            <w:pPr>
              <w:adjustRightInd w:val="0"/>
              <w:snapToGrid w:val="0"/>
              <w:jc w:val="center"/>
              <w:rPr>
                <w:rFonts w:ascii="Times New Roman" w:hAnsi="Times New Roman" w:eastAsia="宋体" w:cs="Times New Roman"/>
                <w:color w:val="auto"/>
                <w:sz w:val="24"/>
                <w:szCs w:val="21"/>
              </w:rPr>
            </w:pPr>
            <w:r>
              <w:rPr>
                <w:rFonts w:hint="eastAsia" w:ascii="宋体" w:hAnsi="宋体" w:eastAsia="宋体" w:cs="宋体"/>
                <w:color w:val="auto"/>
                <w:kern w:val="0"/>
                <w:szCs w:val="21"/>
              </w:rPr>
              <w:t>轨迹回放服务模块</w:t>
            </w:r>
          </w:p>
        </w:tc>
        <w:tc>
          <w:tcPr>
            <w:tcW w:w="1303" w:type="dxa"/>
            <w:vMerge w:val="continue"/>
            <w:tcBorders>
              <w:left w:val="double" w:color="auto" w:sz="4" w:space="0"/>
            </w:tcBorders>
            <w:shd w:val="clear" w:color="auto" w:fill="auto"/>
            <w:vAlign w:val="center"/>
          </w:tcPr>
          <w:p w14:paraId="54C16F24">
            <w:pPr>
              <w:adjustRightInd w:val="0"/>
              <w:snapToGrid w:val="0"/>
              <w:jc w:val="center"/>
              <w:rPr>
                <w:rFonts w:ascii="Times New Roman" w:hAnsi="Times New Roman" w:eastAsia="宋体" w:cs="Times New Roman"/>
                <w:color w:val="auto"/>
                <w:sz w:val="24"/>
                <w:szCs w:val="21"/>
              </w:rPr>
            </w:pPr>
          </w:p>
        </w:tc>
        <w:tc>
          <w:tcPr>
            <w:tcW w:w="1303" w:type="dxa"/>
            <w:shd w:val="clear" w:color="auto" w:fill="auto"/>
            <w:vAlign w:val="center"/>
          </w:tcPr>
          <w:p w14:paraId="35B4E0AB">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历史轨迹检索</w:t>
            </w:r>
          </w:p>
        </w:tc>
        <w:tc>
          <w:tcPr>
            <w:tcW w:w="1522" w:type="dxa"/>
            <w:vAlign w:val="center"/>
          </w:tcPr>
          <w:p w14:paraId="47EBA645">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历史轨迹检索</w:t>
            </w:r>
          </w:p>
        </w:tc>
        <w:tc>
          <w:tcPr>
            <w:tcW w:w="1130" w:type="dxa"/>
            <w:shd w:val="clear" w:color="auto" w:fill="auto"/>
            <w:vAlign w:val="center"/>
          </w:tcPr>
          <w:p w14:paraId="2C6812C8">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r>
      <w:tr w14:paraId="1B1E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240AB5A9">
            <w:pPr>
              <w:adjustRightInd w:val="0"/>
              <w:snapToGrid w:val="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5</w:t>
            </w:r>
          </w:p>
        </w:tc>
        <w:tc>
          <w:tcPr>
            <w:tcW w:w="1087" w:type="dxa"/>
            <w:vMerge w:val="continue"/>
            <w:vAlign w:val="center"/>
          </w:tcPr>
          <w:p w14:paraId="3769CCC4">
            <w:pPr>
              <w:adjustRightInd w:val="0"/>
              <w:snapToGrid w:val="0"/>
              <w:jc w:val="center"/>
              <w:rPr>
                <w:rFonts w:ascii="Times New Roman" w:hAnsi="Times New Roman" w:eastAsia="宋体" w:cs="Times New Roman"/>
                <w:color w:val="auto"/>
                <w:sz w:val="24"/>
                <w:szCs w:val="21"/>
              </w:rPr>
            </w:pPr>
          </w:p>
        </w:tc>
        <w:tc>
          <w:tcPr>
            <w:tcW w:w="1630" w:type="dxa"/>
            <w:shd w:val="clear" w:color="auto" w:fill="auto"/>
            <w:vAlign w:val="center"/>
          </w:tcPr>
          <w:p w14:paraId="3A08E565">
            <w:pPr>
              <w:adjustRightInd w:val="0"/>
              <w:snapToGrid w:val="0"/>
              <w:jc w:val="center"/>
              <w:rPr>
                <w:rFonts w:ascii="Times New Roman" w:hAnsi="Times New Roman" w:eastAsia="宋体" w:cs="Times New Roman"/>
                <w:color w:val="auto"/>
                <w:sz w:val="24"/>
                <w:szCs w:val="21"/>
              </w:rPr>
            </w:pPr>
            <w:r>
              <w:rPr>
                <w:rFonts w:hint="eastAsia" w:ascii="宋体" w:hAnsi="宋体" w:eastAsia="宋体" w:cs="宋体"/>
                <w:color w:val="auto"/>
                <w:kern w:val="0"/>
                <w:szCs w:val="21"/>
              </w:rPr>
              <w:t>消息服务模块</w:t>
            </w:r>
          </w:p>
        </w:tc>
        <w:tc>
          <w:tcPr>
            <w:tcW w:w="1303" w:type="dxa"/>
            <w:vMerge w:val="continue"/>
            <w:tcBorders>
              <w:left w:val="double" w:color="auto" w:sz="4" w:space="0"/>
            </w:tcBorders>
            <w:shd w:val="clear" w:color="auto" w:fill="auto"/>
            <w:vAlign w:val="center"/>
          </w:tcPr>
          <w:p w14:paraId="2DE5F430">
            <w:pPr>
              <w:adjustRightInd w:val="0"/>
              <w:snapToGrid w:val="0"/>
              <w:jc w:val="center"/>
              <w:rPr>
                <w:rFonts w:ascii="Times New Roman" w:hAnsi="Times New Roman" w:eastAsia="宋体" w:cs="Times New Roman"/>
                <w:color w:val="auto"/>
                <w:sz w:val="24"/>
                <w:szCs w:val="21"/>
              </w:rPr>
            </w:pPr>
          </w:p>
        </w:tc>
        <w:tc>
          <w:tcPr>
            <w:tcW w:w="1303" w:type="dxa"/>
            <w:vMerge w:val="restart"/>
            <w:shd w:val="clear" w:color="auto" w:fill="auto"/>
            <w:vAlign w:val="center"/>
          </w:tcPr>
          <w:p w14:paraId="2A6188DF">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边界告警支撑</w:t>
            </w:r>
          </w:p>
        </w:tc>
        <w:tc>
          <w:tcPr>
            <w:tcW w:w="1522" w:type="dxa"/>
            <w:vMerge w:val="restart"/>
            <w:vAlign w:val="center"/>
          </w:tcPr>
          <w:p w14:paraId="2404C76F">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边界告警支撑</w:t>
            </w:r>
          </w:p>
        </w:tc>
        <w:tc>
          <w:tcPr>
            <w:tcW w:w="1130" w:type="dxa"/>
            <w:vMerge w:val="restart"/>
            <w:shd w:val="clear" w:color="auto" w:fill="auto"/>
            <w:vAlign w:val="center"/>
          </w:tcPr>
          <w:p w14:paraId="52075A6E">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r>
      <w:tr w14:paraId="57367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13D7DA03">
            <w:pPr>
              <w:adjustRightInd w:val="0"/>
              <w:snapToGrid w:val="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6</w:t>
            </w:r>
          </w:p>
        </w:tc>
        <w:tc>
          <w:tcPr>
            <w:tcW w:w="1087" w:type="dxa"/>
            <w:vMerge w:val="continue"/>
            <w:vAlign w:val="center"/>
          </w:tcPr>
          <w:p w14:paraId="7477A9F5">
            <w:pPr>
              <w:adjustRightInd w:val="0"/>
              <w:snapToGrid w:val="0"/>
              <w:jc w:val="center"/>
              <w:rPr>
                <w:rFonts w:ascii="Times New Roman" w:hAnsi="Times New Roman" w:eastAsia="宋体" w:cs="Times New Roman"/>
                <w:color w:val="auto"/>
                <w:sz w:val="24"/>
                <w:szCs w:val="21"/>
              </w:rPr>
            </w:pPr>
          </w:p>
        </w:tc>
        <w:tc>
          <w:tcPr>
            <w:tcW w:w="1630" w:type="dxa"/>
            <w:shd w:val="clear" w:color="auto" w:fill="auto"/>
            <w:vAlign w:val="center"/>
          </w:tcPr>
          <w:p w14:paraId="429C5451">
            <w:pPr>
              <w:adjustRightInd w:val="0"/>
              <w:snapToGrid w:val="0"/>
              <w:jc w:val="center"/>
              <w:rPr>
                <w:rFonts w:ascii="Times New Roman" w:hAnsi="Times New Roman" w:eastAsia="宋体" w:cs="Times New Roman"/>
                <w:color w:val="auto"/>
                <w:sz w:val="24"/>
                <w:szCs w:val="21"/>
              </w:rPr>
            </w:pPr>
            <w:r>
              <w:rPr>
                <w:rFonts w:hint="eastAsia" w:ascii="宋体" w:hAnsi="宋体" w:eastAsia="宋体" w:cs="宋体"/>
                <w:color w:val="auto"/>
                <w:kern w:val="0"/>
                <w:szCs w:val="21"/>
              </w:rPr>
              <w:t>通信接口模块</w:t>
            </w:r>
          </w:p>
        </w:tc>
        <w:tc>
          <w:tcPr>
            <w:tcW w:w="1303" w:type="dxa"/>
            <w:vMerge w:val="continue"/>
            <w:tcBorders>
              <w:left w:val="double" w:color="auto" w:sz="4" w:space="0"/>
            </w:tcBorders>
            <w:shd w:val="clear" w:color="auto" w:fill="auto"/>
            <w:vAlign w:val="center"/>
          </w:tcPr>
          <w:p w14:paraId="0D1BB409">
            <w:pPr>
              <w:adjustRightInd w:val="0"/>
              <w:snapToGrid w:val="0"/>
              <w:jc w:val="center"/>
              <w:rPr>
                <w:rFonts w:ascii="Times New Roman" w:hAnsi="Times New Roman" w:eastAsia="宋体" w:cs="Times New Roman"/>
                <w:color w:val="auto"/>
                <w:sz w:val="24"/>
                <w:szCs w:val="21"/>
              </w:rPr>
            </w:pPr>
          </w:p>
        </w:tc>
        <w:tc>
          <w:tcPr>
            <w:tcW w:w="1303" w:type="dxa"/>
            <w:vMerge w:val="continue"/>
            <w:shd w:val="clear" w:color="auto" w:fill="auto"/>
            <w:vAlign w:val="center"/>
          </w:tcPr>
          <w:p w14:paraId="668C9C00">
            <w:pPr>
              <w:adjustRightInd w:val="0"/>
              <w:snapToGrid w:val="0"/>
              <w:jc w:val="center"/>
              <w:rPr>
                <w:rFonts w:ascii="Times New Roman" w:hAnsi="Times New Roman" w:eastAsia="宋体" w:cs="Times New Roman"/>
                <w:color w:val="auto"/>
                <w:sz w:val="24"/>
                <w:szCs w:val="21"/>
              </w:rPr>
            </w:pPr>
          </w:p>
        </w:tc>
        <w:tc>
          <w:tcPr>
            <w:tcW w:w="1522" w:type="dxa"/>
            <w:vMerge w:val="continue"/>
            <w:vAlign w:val="center"/>
          </w:tcPr>
          <w:p w14:paraId="76E9437F">
            <w:pPr>
              <w:adjustRightInd w:val="0"/>
              <w:snapToGrid w:val="0"/>
              <w:jc w:val="center"/>
              <w:rPr>
                <w:rFonts w:ascii="Times New Roman" w:hAnsi="Times New Roman" w:eastAsia="宋体" w:cs="Times New Roman"/>
                <w:color w:val="auto"/>
                <w:sz w:val="24"/>
                <w:szCs w:val="21"/>
              </w:rPr>
            </w:pPr>
          </w:p>
        </w:tc>
        <w:tc>
          <w:tcPr>
            <w:tcW w:w="1130" w:type="dxa"/>
            <w:vMerge w:val="continue"/>
            <w:shd w:val="clear" w:color="auto" w:fill="auto"/>
            <w:vAlign w:val="center"/>
          </w:tcPr>
          <w:p w14:paraId="762FEC28">
            <w:pPr>
              <w:adjustRightInd w:val="0"/>
              <w:snapToGrid w:val="0"/>
              <w:jc w:val="center"/>
              <w:rPr>
                <w:rFonts w:ascii="Times New Roman" w:hAnsi="Times New Roman" w:eastAsia="宋体" w:cs="Times New Roman"/>
                <w:color w:val="auto"/>
                <w:sz w:val="24"/>
                <w:szCs w:val="21"/>
              </w:rPr>
            </w:pPr>
          </w:p>
        </w:tc>
      </w:tr>
    </w:tbl>
    <w:p w14:paraId="56C2FB60">
      <w:pPr>
        <w:pStyle w:val="7"/>
        <w:spacing w:line="240" w:lineRule="auto"/>
        <w:rPr>
          <w:color w:val="auto"/>
        </w:rPr>
      </w:pPr>
      <w:r>
        <w:rPr>
          <w:rFonts w:hint="eastAsia"/>
          <w:color w:val="auto"/>
        </w:rPr>
        <w:t>实时定位采集</w:t>
      </w:r>
    </w:p>
    <w:p w14:paraId="63E2946D">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平台对接或位置服务协议通信，实现各种不同通信协议的终端定位信息的统一接入与标准转换，并将采集到的数据转化为平台统一协议格式，方便后续系统处理。接入网关具备终端接入、采集终端数据、向终端发送信息的功能，支持向其它子系统提供统一的终端控制接口。</w:t>
      </w:r>
    </w:p>
    <w:p w14:paraId="7BAEAFB5">
      <w:pPr>
        <w:pStyle w:val="7"/>
        <w:spacing w:line="240" w:lineRule="auto"/>
        <w:rPr>
          <w:color w:val="auto"/>
        </w:rPr>
      </w:pPr>
      <w:r>
        <w:rPr>
          <w:rFonts w:hint="eastAsia"/>
          <w:color w:val="auto"/>
        </w:rPr>
        <w:t>历史轨迹检索</w:t>
      </w:r>
    </w:p>
    <w:p w14:paraId="19DEB0A4">
      <w:pPr>
        <w:ind w:firstLine="480" w:firstLineChars="200"/>
        <w:rPr>
          <w:rFonts w:cs="仿宋_GB2312" w:asciiTheme="majorEastAsia" w:hAnsiTheme="majorEastAsia" w:eastAsiaTheme="majorEastAsia"/>
          <w:color w:val="auto"/>
          <w:sz w:val="24"/>
          <w:szCs w:val="21"/>
        </w:rPr>
      </w:pPr>
      <w:r>
        <w:rPr>
          <w:rFonts w:hint="eastAsia" w:cs="仿宋_GB2312" w:asciiTheme="majorEastAsia" w:hAnsiTheme="majorEastAsia" w:eastAsiaTheme="majorEastAsia"/>
          <w:color w:val="auto"/>
          <w:sz w:val="24"/>
          <w:szCs w:val="21"/>
        </w:rPr>
        <w:t xml:space="preserve">提供定位目标的轨迹查询与回放数据提供服务，支持根据起止时间查询目标轨迹数据信息。 </w:t>
      </w:r>
    </w:p>
    <w:p w14:paraId="79DA524F">
      <w:pPr>
        <w:pStyle w:val="7"/>
        <w:spacing w:line="240" w:lineRule="auto"/>
        <w:rPr>
          <w:color w:val="auto"/>
        </w:rPr>
      </w:pPr>
      <w:r>
        <w:rPr>
          <w:rFonts w:hint="eastAsia"/>
          <w:color w:val="auto"/>
        </w:rPr>
        <w:t>边界告警支撑</w:t>
      </w:r>
    </w:p>
    <w:p w14:paraId="2F816C7D">
      <w:pPr>
        <w:ind w:firstLine="480" w:firstLineChars="200"/>
        <w:rPr>
          <w:rFonts w:cs="仿宋_GB2312" w:asciiTheme="majorEastAsia" w:hAnsiTheme="majorEastAsia" w:eastAsiaTheme="majorEastAsia"/>
          <w:color w:val="auto"/>
          <w:sz w:val="24"/>
          <w:szCs w:val="21"/>
        </w:rPr>
      </w:pPr>
      <w:r>
        <w:rPr>
          <w:rFonts w:hint="eastAsia" w:cs="仿宋_GB2312" w:asciiTheme="majorEastAsia" w:hAnsiTheme="majorEastAsia" w:eastAsiaTheme="majorEastAsia"/>
          <w:color w:val="auto"/>
          <w:sz w:val="24"/>
          <w:szCs w:val="21"/>
        </w:rPr>
        <w:t>实现对人、车、物等边界设防及越界告警。</w:t>
      </w:r>
    </w:p>
    <w:p w14:paraId="507EFC65">
      <w:pPr>
        <w:pStyle w:val="6"/>
        <w:spacing w:line="240" w:lineRule="auto"/>
        <w:rPr>
          <w:color w:val="auto"/>
        </w:rPr>
      </w:pPr>
      <w:bookmarkStart w:id="70" w:name="_Toc83216268"/>
      <w:bookmarkStart w:id="71" w:name="_Toc82449771"/>
      <w:r>
        <w:rPr>
          <w:rFonts w:hint="eastAsia"/>
          <w:color w:val="auto"/>
        </w:rPr>
        <w:t>融合通信服务</w:t>
      </w:r>
      <w:bookmarkEnd w:id="70"/>
      <w:bookmarkEnd w:id="71"/>
    </w:p>
    <w:p w14:paraId="369A5B99">
      <w:pPr>
        <w:ind w:firstLine="480" w:firstLineChars="200"/>
        <w:rPr>
          <w:rFonts w:cs="Times New Roman" w:asciiTheme="majorEastAsia" w:hAnsiTheme="majorEastAsia" w:eastAsiaTheme="majorEastAsia"/>
          <w:color w:val="auto"/>
          <w:sz w:val="24"/>
          <w:szCs w:val="21"/>
          <w:lang w:val="zh-CN"/>
        </w:rPr>
      </w:pPr>
      <w:r>
        <w:rPr>
          <w:rFonts w:cs="Times New Roman" w:asciiTheme="majorEastAsia" w:hAnsiTheme="majorEastAsia" w:eastAsiaTheme="majorEastAsia"/>
          <w:color w:val="auto"/>
          <w:sz w:val="24"/>
          <w:szCs w:val="21"/>
          <w:lang w:val="zh-CN"/>
        </w:rPr>
        <w:t>基于e福州综合指挥平台融合通信能力，利用音视频融合技术、多媒体IP通信技术、数据通讯技术、智能中控技术等技术，构建一个统一的城市综合管理融合通信支撑服务平台，实现城市管理事件的视频通话管理、视频会商管理、语音通信调度等功能。构建一套广域、行业间可相互隔离、多类型终端接入统一的融合通信管理系统，为城市突发事件指挥调度提供语音、数据、视频通信支撑，达到对突发事件的监测监控、信息报送、数据采集、实时沟通、资源调配、联动指挥、集群对讲、视频调度、远程会商等统一调度管理。</w:t>
      </w:r>
    </w:p>
    <w:p w14:paraId="5C5CA997">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本项目融合通信服务功能模块升级改造情况如下表所示：</w:t>
      </w:r>
    </w:p>
    <w:p w14:paraId="4AA4E57E">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72" w:name="_Toc1264"/>
      <w:r>
        <w:rPr>
          <w:rFonts w:hint="eastAsia" w:ascii="Times New Roman" w:hAnsi="Times New Roman" w:eastAsia="宋体" w:cs="Times New Roman"/>
          <w:color w:val="auto"/>
          <w:sz w:val="24"/>
          <w:szCs w:val="21"/>
        </w:rPr>
        <w:t>融合通信服务模块升级改造情况</w:t>
      </w:r>
      <w:bookmarkEnd w:id="72"/>
      <w:r>
        <w:rPr>
          <w:rFonts w:hint="eastAsia" w:ascii="Times New Roman" w:hAnsi="Times New Roman" w:eastAsia="宋体" w:cs="Times New Roman"/>
          <w:color w:val="auto"/>
          <w:sz w:val="24"/>
          <w:szCs w:val="21"/>
        </w:rPr>
        <w:t>表</w:t>
      </w:r>
    </w:p>
    <w:tbl>
      <w:tblPr>
        <w:tblStyle w:val="30"/>
        <w:tblW w:w="8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297"/>
        <w:gridCol w:w="1323"/>
        <w:gridCol w:w="1400"/>
        <w:gridCol w:w="1000"/>
        <w:gridCol w:w="1637"/>
        <w:gridCol w:w="1318"/>
      </w:tblGrid>
      <w:tr w14:paraId="2A38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538" w:type="dxa"/>
            <w:shd w:val="clear" w:color="auto" w:fill="auto"/>
            <w:vAlign w:val="center"/>
          </w:tcPr>
          <w:p w14:paraId="253E7FA5">
            <w:pPr>
              <w:adjustRightInd w:val="0"/>
              <w:snapToGrid w:val="0"/>
              <w:jc w:val="center"/>
              <w:rPr>
                <w:rFonts w:ascii="宋体" w:hAnsi="宋体" w:eastAsia="宋体" w:cs="宋体"/>
                <w:b/>
                <w:bCs/>
                <w:color w:val="auto"/>
                <w:sz w:val="22"/>
                <w:szCs w:val="22"/>
              </w:rPr>
            </w:pPr>
            <w:r>
              <w:rPr>
                <w:rFonts w:hint="eastAsia" w:ascii="宋体" w:hAnsi="宋体" w:eastAsia="宋体" w:cs="宋体"/>
                <w:b/>
                <w:bCs/>
                <w:color w:val="auto"/>
                <w:sz w:val="22"/>
                <w:szCs w:val="22"/>
              </w:rPr>
              <w:t>序号</w:t>
            </w:r>
          </w:p>
        </w:tc>
        <w:tc>
          <w:tcPr>
            <w:tcW w:w="1297" w:type="dxa"/>
            <w:shd w:val="clear" w:color="auto" w:fill="auto"/>
            <w:vAlign w:val="center"/>
          </w:tcPr>
          <w:p w14:paraId="1B9A715B">
            <w:pPr>
              <w:adjustRightInd w:val="0"/>
              <w:snapToGrid w:val="0"/>
              <w:jc w:val="center"/>
              <w:rPr>
                <w:rFonts w:ascii="宋体" w:hAnsi="宋体" w:eastAsia="宋体" w:cs="宋体"/>
                <w:b/>
                <w:bCs/>
                <w:color w:val="auto"/>
                <w:sz w:val="22"/>
                <w:szCs w:val="22"/>
              </w:rPr>
            </w:pPr>
            <w:r>
              <w:rPr>
                <w:rFonts w:hint="eastAsia" w:ascii="宋体" w:hAnsi="宋体" w:eastAsia="宋体" w:cs="宋体"/>
                <w:b/>
                <w:bCs/>
                <w:color w:val="auto"/>
                <w:sz w:val="22"/>
                <w:szCs w:val="22"/>
              </w:rPr>
              <w:t>E福州综合指挥平台</w:t>
            </w:r>
          </w:p>
        </w:tc>
        <w:tc>
          <w:tcPr>
            <w:tcW w:w="1323" w:type="dxa"/>
            <w:tcBorders>
              <w:right w:val="double" w:color="auto" w:sz="4" w:space="0"/>
            </w:tcBorders>
            <w:shd w:val="clear" w:color="auto" w:fill="auto"/>
            <w:vAlign w:val="center"/>
          </w:tcPr>
          <w:p w14:paraId="389F07E1">
            <w:pPr>
              <w:adjustRightInd w:val="0"/>
              <w:snapToGrid w:val="0"/>
              <w:jc w:val="center"/>
              <w:rPr>
                <w:rFonts w:ascii="宋体" w:hAnsi="宋体" w:eastAsia="宋体" w:cs="宋体"/>
                <w:b/>
                <w:bCs/>
                <w:color w:val="auto"/>
                <w:sz w:val="22"/>
                <w:szCs w:val="22"/>
              </w:rPr>
            </w:pPr>
            <w:r>
              <w:rPr>
                <w:rFonts w:hint="eastAsia" w:ascii="宋体" w:hAnsi="宋体" w:eastAsia="宋体" w:cs="宋体"/>
                <w:b/>
                <w:bCs/>
                <w:color w:val="auto"/>
                <w:sz w:val="22"/>
                <w:szCs w:val="22"/>
              </w:rPr>
              <w:t>子模块</w:t>
            </w:r>
          </w:p>
        </w:tc>
        <w:tc>
          <w:tcPr>
            <w:tcW w:w="1400" w:type="dxa"/>
            <w:tcBorders>
              <w:left w:val="double" w:color="auto" w:sz="4" w:space="0"/>
            </w:tcBorders>
            <w:shd w:val="clear" w:color="auto" w:fill="auto"/>
            <w:vAlign w:val="center"/>
          </w:tcPr>
          <w:p w14:paraId="0714E1B2">
            <w:pPr>
              <w:adjustRightInd w:val="0"/>
              <w:snapToGrid w:val="0"/>
              <w:jc w:val="center"/>
              <w:rPr>
                <w:rFonts w:ascii="宋体" w:hAnsi="宋体" w:eastAsia="宋体" w:cs="宋体"/>
                <w:b/>
                <w:bCs/>
                <w:color w:val="auto"/>
                <w:sz w:val="22"/>
                <w:szCs w:val="22"/>
              </w:rPr>
            </w:pPr>
            <w:r>
              <w:rPr>
                <w:rFonts w:hint="eastAsia" w:ascii="宋体" w:hAnsi="宋体" w:eastAsia="宋体" w:cs="宋体"/>
                <w:b/>
                <w:bCs/>
                <w:color w:val="auto"/>
                <w:sz w:val="22"/>
                <w:szCs w:val="22"/>
              </w:rPr>
              <w:t>城市综合管理服务平台</w:t>
            </w:r>
          </w:p>
        </w:tc>
        <w:tc>
          <w:tcPr>
            <w:tcW w:w="1000" w:type="dxa"/>
            <w:shd w:val="clear" w:color="auto" w:fill="auto"/>
            <w:vAlign w:val="center"/>
          </w:tcPr>
          <w:p w14:paraId="24F991B9">
            <w:pPr>
              <w:adjustRightInd w:val="0"/>
              <w:snapToGrid w:val="0"/>
              <w:jc w:val="center"/>
              <w:rPr>
                <w:rFonts w:ascii="宋体" w:hAnsi="宋体" w:eastAsia="宋体" w:cs="宋体"/>
                <w:b/>
                <w:bCs/>
                <w:color w:val="auto"/>
                <w:sz w:val="22"/>
                <w:szCs w:val="22"/>
              </w:rPr>
            </w:pPr>
            <w:r>
              <w:rPr>
                <w:rFonts w:hint="eastAsia" w:ascii="宋体" w:hAnsi="宋体" w:eastAsia="宋体" w:cs="宋体"/>
                <w:b/>
                <w:bCs/>
                <w:color w:val="auto"/>
                <w:sz w:val="22"/>
                <w:szCs w:val="22"/>
              </w:rPr>
              <w:t>子模块</w:t>
            </w:r>
          </w:p>
        </w:tc>
        <w:tc>
          <w:tcPr>
            <w:tcW w:w="1637" w:type="dxa"/>
            <w:vAlign w:val="center"/>
          </w:tcPr>
          <w:p w14:paraId="0B8B3F0A">
            <w:pPr>
              <w:adjustRightInd w:val="0"/>
              <w:snapToGrid w:val="0"/>
              <w:jc w:val="center"/>
              <w:rPr>
                <w:rFonts w:ascii="宋体" w:hAnsi="宋体" w:eastAsia="宋体" w:cs="宋体"/>
                <w:b/>
                <w:bCs/>
                <w:color w:val="auto"/>
                <w:sz w:val="22"/>
                <w:szCs w:val="22"/>
              </w:rPr>
            </w:pPr>
            <w:r>
              <w:rPr>
                <w:rFonts w:hint="eastAsia" w:ascii="宋体" w:hAnsi="宋体" w:eastAsia="宋体" w:cs="宋体"/>
                <w:b/>
                <w:bCs/>
                <w:color w:val="auto"/>
                <w:sz w:val="22"/>
                <w:szCs w:val="22"/>
              </w:rPr>
              <w:t>子模块</w:t>
            </w:r>
          </w:p>
        </w:tc>
        <w:tc>
          <w:tcPr>
            <w:tcW w:w="1318" w:type="dxa"/>
            <w:shd w:val="clear" w:color="auto" w:fill="auto"/>
            <w:vAlign w:val="center"/>
          </w:tcPr>
          <w:p w14:paraId="5F5A8EB2">
            <w:pPr>
              <w:adjustRightInd w:val="0"/>
              <w:snapToGrid w:val="0"/>
              <w:jc w:val="center"/>
              <w:rPr>
                <w:rFonts w:ascii="宋体" w:hAnsi="宋体" w:eastAsia="宋体" w:cs="宋体"/>
                <w:b/>
                <w:bCs/>
                <w:color w:val="auto"/>
                <w:sz w:val="22"/>
                <w:szCs w:val="22"/>
              </w:rPr>
            </w:pPr>
            <w:r>
              <w:rPr>
                <w:rFonts w:hint="eastAsia" w:ascii="宋体" w:hAnsi="宋体" w:eastAsia="宋体" w:cs="宋体"/>
                <w:b/>
                <w:bCs/>
                <w:color w:val="auto"/>
                <w:sz w:val="22"/>
                <w:szCs w:val="22"/>
              </w:rPr>
              <w:t>备注</w:t>
            </w:r>
          </w:p>
        </w:tc>
      </w:tr>
      <w:tr w14:paraId="73C9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75EA625A">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1</w:t>
            </w:r>
          </w:p>
        </w:tc>
        <w:tc>
          <w:tcPr>
            <w:tcW w:w="1297" w:type="dxa"/>
            <w:vMerge w:val="restart"/>
            <w:shd w:val="clear" w:color="auto" w:fill="auto"/>
            <w:vAlign w:val="center"/>
          </w:tcPr>
          <w:p w14:paraId="0BE2DC76">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融合通信调度应用支撑服务</w:t>
            </w:r>
          </w:p>
        </w:tc>
        <w:tc>
          <w:tcPr>
            <w:tcW w:w="1323" w:type="dxa"/>
            <w:vMerge w:val="restart"/>
            <w:tcBorders>
              <w:right w:val="double" w:color="auto" w:sz="4" w:space="0"/>
            </w:tcBorders>
            <w:shd w:val="clear" w:color="auto" w:fill="auto"/>
            <w:vAlign w:val="center"/>
          </w:tcPr>
          <w:p w14:paraId="16F07D53">
            <w:pPr>
              <w:adjustRightInd w:val="0"/>
              <w:snapToGrid w:val="0"/>
              <w:jc w:val="center"/>
              <w:rPr>
                <w:rFonts w:ascii="宋体" w:hAnsi="宋体" w:eastAsia="宋体" w:cs="宋体"/>
                <w:color w:val="auto"/>
                <w:sz w:val="22"/>
                <w:szCs w:val="22"/>
              </w:rPr>
            </w:pPr>
            <w:r>
              <w:rPr>
                <w:rFonts w:hint="eastAsia" w:ascii="宋体" w:hAnsi="宋体" w:eastAsia="宋体" w:cs="宋体"/>
                <w:color w:val="auto"/>
                <w:kern w:val="0"/>
                <w:sz w:val="22"/>
                <w:szCs w:val="22"/>
              </w:rPr>
              <w:t>基于语音的调度</w:t>
            </w:r>
          </w:p>
        </w:tc>
        <w:tc>
          <w:tcPr>
            <w:tcW w:w="1400" w:type="dxa"/>
            <w:vMerge w:val="restart"/>
            <w:tcBorders>
              <w:left w:val="double" w:color="auto" w:sz="4" w:space="0"/>
            </w:tcBorders>
            <w:shd w:val="clear" w:color="auto" w:fill="auto"/>
            <w:vAlign w:val="center"/>
          </w:tcPr>
          <w:p w14:paraId="41066492">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融合通信服务</w:t>
            </w:r>
          </w:p>
        </w:tc>
        <w:tc>
          <w:tcPr>
            <w:tcW w:w="1000" w:type="dxa"/>
            <w:vMerge w:val="restart"/>
            <w:shd w:val="clear" w:color="auto" w:fill="auto"/>
            <w:vAlign w:val="center"/>
          </w:tcPr>
          <w:p w14:paraId="660CDBFB">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语音通信调度</w:t>
            </w:r>
          </w:p>
        </w:tc>
        <w:tc>
          <w:tcPr>
            <w:tcW w:w="1637" w:type="dxa"/>
            <w:vAlign w:val="center"/>
          </w:tcPr>
          <w:p w14:paraId="02018CB4">
            <w:pPr>
              <w:adjustRightInd w:val="0"/>
              <w:snapToGrid w:val="0"/>
              <w:jc w:val="center"/>
              <w:rPr>
                <w:rFonts w:ascii="宋体" w:hAnsi="宋体" w:eastAsia="宋体" w:cs="宋体"/>
                <w:color w:val="auto"/>
                <w:sz w:val="22"/>
                <w:szCs w:val="22"/>
              </w:rPr>
            </w:pPr>
            <w:r>
              <w:rPr>
                <w:rFonts w:hint="eastAsia" w:ascii="宋体" w:hAnsi="宋体" w:eastAsia="宋体" w:cs="宋体"/>
                <w:color w:val="auto"/>
                <w:kern w:val="0"/>
                <w:sz w:val="22"/>
                <w:szCs w:val="22"/>
                <w:lang w:bidi="ar"/>
              </w:rPr>
              <w:t>音频调度功能</w:t>
            </w:r>
          </w:p>
        </w:tc>
        <w:tc>
          <w:tcPr>
            <w:tcW w:w="1318" w:type="dxa"/>
            <w:shd w:val="clear" w:color="auto" w:fill="auto"/>
            <w:vAlign w:val="center"/>
          </w:tcPr>
          <w:p w14:paraId="7EB8ED55">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容器化改造</w:t>
            </w:r>
          </w:p>
        </w:tc>
      </w:tr>
      <w:tr w14:paraId="1940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27752212">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2</w:t>
            </w:r>
          </w:p>
        </w:tc>
        <w:tc>
          <w:tcPr>
            <w:tcW w:w="1297" w:type="dxa"/>
            <w:vMerge w:val="continue"/>
            <w:vAlign w:val="center"/>
          </w:tcPr>
          <w:p w14:paraId="077E0165">
            <w:pPr>
              <w:adjustRightInd w:val="0"/>
              <w:snapToGrid w:val="0"/>
              <w:jc w:val="center"/>
              <w:rPr>
                <w:rFonts w:ascii="宋体" w:hAnsi="宋体" w:eastAsia="宋体" w:cs="宋体"/>
                <w:color w:val="auto"/>
                <w:sz w:val="22"/>
                <w:szCs w:val="22"/>
              </w:rPr>
            </w:pPr>
          </w:p>
        </w:tc>
        <w:tc>
          <w:tcPr>
            <w:tcW w:w="1323" w:type="dxa"/>
            <w:vMerge w:val="continue"/>
            <w:tcBorders>
              <w:right w:val="double" w:color="auto" w:sz="4" w:space="0"/>
            </w:tcBorders>
            <w:shd w:val="clear" w:color="auto" w:fill="auto"/>
            <w:vAlign w:val="center"/>
          </w:tcPr>
          <w:p w14:paraId="163B9DA0">
            <w:pPr>
              <w:adjustRightInd w:val="0"/>
              <w:snapToGrid w:val="0"/>
              <w:jc w:val="center"/>
              <w:rPr>
                <w:rFonts w:ascii="宋体" w:hAnsi="宋体" w:eastAsia="宋体" w:cs="宋体"/>
                <w:color w:val="auto"/>
                <w:sz w:val="22"/>
                <w:szCs w:val="22"/>
              </w:rPr>
            </w:pPr>
          </w:p>
        </w:tc>
        <w:tc>
          <w:tcPr>
            <w:tcW w:w="1400" w:type="dxa"/>
            <w:vMerge w:val="continue"/>
            <w:tcBorders>
              <w:left w:val="double" w:color="auto" w:sz="4" w:space="0"/>
            </w:tcBorders>
            <w:shd w:val="clear" w:color="auto" w:fill="auto"/>
            <w:vAlign w:val="center"/>
          </w:tcPr>
          <w:p w14:paraId="58072BD8">
            <w:pPr>
              <w:adjustRightInd w:val="0"/>
              <w:snapToGrid w:val="0"/>
              <w:jc w:val="center"/>
              <w:rPr>
                <w:rFonts w:ascii="宋体" w:hAnsi="宋体" w:eastAsia="宋体" w:cs="宋体"/>
                <w:color w:val="auto"/>
                <w:sz w:val="22"/>
                <w:szCs w:val="22"/>
              </w:rPr>
            </w:pPr>
          </w:p>
        </w:tc>
        <w:tc>
          <w:tcPr>
            <w:tcW w:w="1000" w:type="dxa"/>
            <w:vMerge w:val="continue"/>
            <w:shd w:val="clear" w:color="auto" w:fill="auto"/>
            <w:vAlign w:val="center"/>
          </w:tcPr>
          <w:p w14:paraId="0604C960">
            <w:pPr>
              <w:adjustRightInd w:val="0"/>
              <w:snapToGrid w:val="0"/>
              <w:jc w:val="center"/>
              <w:rPr>
                <w:rFonts w:ascii="宋体" w:hAnsi="宋体" w:eastAsia="宋体" w:cs="宋体"/>
                <w:color w:val="auto"/>
                <w:sz w:val="22"/>
                <w:szCs w:val="22"/>
              </w:rPr>
            </w:pPr>
          </w:p>
        </w:tc>
        <w:tc>
          <w:tcPr>
            <w:tcW w:w="1637" w:type="dxa"/>
            <w:vAlign w:val="center"/>
          </w:tcPr>
          <w:p w14:paraId="6777E19A">
            <w:pPr>
              <w:adjustRightInd w:val="0"/>
              <w:snapToGrid w:val="0"/>
              <w:jc w:val="center"/>
              <w:rPr>
                <w:rFonts w:ascii="宋体" w:hAnsi="宋体" w:eastAsia="宋体" w:cs="宋体"/>
                <w:color w:val="auto"/>
                <w:sz w:val="22"/>
                <w:szCs w:val="22"/>
              </w:rPr>
            </w:pPr>
            <w:r>
              <w:rPr>
                <w:rFonts w:hint="eastAsia" w:ascii="宋体" w:hAnsi="宋体" w:eastAsia="宋体" w:cs="宋体"/>
                <w:color w:val="auto"/>
                <w:kern w:val="0"/>
                <w:sz w:val="22"/>
                <w:szCs w:val="22"/>
                <w:lang w:bidi="ar"/>
              </w:rPr>
              <w:t>音频会议功能</w:t>
            </w:r>
          </w:p>
        </w:tc>
        <w:tc>
          <w:tcPr>
            <w:tcW w:w="1318" w:type="dxa"/>
            <w:shd w:val="clear" w:color="auto" w:fill="auto"/>
            <w:vAlign w:val="center"/>
          </w:tcPr>
          <w:p w14:paraId="7763CB44">
            <w:pPr>
              <w:adjustRightInd w:val="0"/>
              <w:snapToGrid w:val="0"/>
              <w:jc w:val="center"/>
              <w:rPr>
                <w:rFonts w:ascii="宋体" w:hAnsi="宋体" w:eastAsia="宋体" w:cs="宋体"/>
                <w:color w:val="auto"/>
                <w:sz w:val="22"/>
                <w:szCs w:val="22"/>
              </w:rPr>
            </w:pPr>
          </w:p>
        </w:tc>
      </w:tr>
      <w:tr w14:paraId="248E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4D9A8535">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3</w:t>
            </w:r>
          </w:p>
        </w:tc>
        <w:tc>
          <w:tcPr>
            <w:tcW w:w="1297" w:type="dxa"/>
            <w:vMerge w:val="continue"/>
            <w:vAlign w:val="center"/>
          </w:tcPr>
          <w:p w14:paraId="2E8D0353">
            <w:pPr>
              <w:adjustRightInd w:val="0"/>
              <w:snapToGrid w:val="0"/>
              <w:jc w:val="center"/>
              <w:rPr>
                <w:rFonts w:ascii="宋体" w:hAnsi="宋体" w:eastAsia="宋体" w:cs="宋体"/>
                <w:color w:val="auto"/>
                <w:sz w:val="22"/>
                <w:szCs w:val="22"/>
              </w:rPr>
            </w:pPr>
          </w:p>
        </w:tc>
        <w:tc>
          <w:tcPr>
            <w:tcW w:w="1323" w:type="dxa"/>
            <w:vMerge w:val="restart"/>
            <w:tcBorders>
              <w:right w:val="double" w:color="auto" w:sz="4" w:space="0"/>
            </w:tcBorders>
            <w:shd w:val="clear" w:color="auto" w:fill="auto"/>
            <w:vAlign w:val="center"/>
          </w:tcPr>
          <w:p w14:paraId="58DC19B7">
            <w:pPr>
              <w:adjustRightInd w:val="0"/>
              <w:snapToGrid w:val="0"/>
              <w:jc w:val="center"/>
              <w:rPr>
                <w:rFonts w:ascii="宋体" w:hAnsi="宋体" w:eastAsia="宋体" w:cs="宋体"/>
                <w:color w:val="auto"/>
                <w:sz w:val="22"/>
                <w:szCs w:val="22"/>
              </w:rPr>
            </w:pPr>
            <w:r>
              <w:rPr>
                <w:rFonts w:hint="eastAsia" w:ascii="宋体" w:hAnsi="宋体" w:eastAsia="宋体" w:cs="宋体"/>
                <w:color w:val="auto"/>
                <w:kern w:val="0"/>
                <w:sz w:val="22"/>
                <w:szCs w:val="22"/>
              </w:rPr>
              <w:t>基于视频的调度</w:t>
            </w:r>
          </w:p>
        </w:tc>
        <w:tc>
          <w:tcPr>
            <w:tcW w:w="1400" w:type="dxa"/>
            <w:vMerge w:val="continue"/>
            <w:tcBorders>
              <w:left w:val="double" w:color="auto" w:sz="4" w:space="0"/>
            </w:tcBorders>
            <w:shd w:val="clear" w:color="auto" w:fill="auto"/>
            <w:vAlign w:val="center"/>
          </w:tcPr>
          <w:p w14:paraId="65E0A81D">
            <w:pPr>
              <w:adjustRightInd w:val="0"/>
              <w:snapToGrid w:val="0"/>
              <w:jc w:val="center"/>
              <w:rPr>
                <w:rFonts w:ascii="宋体" w:hAnsi="宋体" w:eastAsia="宋体" w:cs="宋体"/>
                <w:color w:val="auto"/>
                <w:sz w:val="22"/>
                <w:szCs w:val="22"/>
              </w:rPr>
            </w:pPr>
          </w:p>
        </w:tc>
        <w:tc>
          <w:tcPr>
            <w:tcW w:w="1000" w:type="dxa"/>
            <w:vMerge w:val="restart"/>
            <w:shd w:val="clear" w:color="auto" w:fill="auto"/>
            <w:vAlign w:val="center"/>
          </w:tcPr>
          <w:p w14:paraId="52240B84">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视频监控调度</w:t>
            </w:r>
          </w:p>
        </w:tc>
        <w:tc>
          <w:tcPr>
            <w:tcW w:w="1637" w:type="dxa"/>
            <w:vAlign w:val="center"/>
          </w:tcPr>
          <w:p w14:paraId="24614370">
            <w:pPr>
              <w:adjustRightInd w:val="0"/>
              <w:snapToGrid w:val="0"/>
              <w:jc w:val="center"/>
              <w:rPr>
                <w:rFonts w:ascii="宋体" w:hAnsi="宋体" w:eastAsia="宋体" w:cs="宋体"/>
                <w:color w:val="auto"/>
                <w:sz w:val="22"/>
                <w:szCs w:val="22"/>
              </w:rPr>
            </w:pPr>
            <w:r>
              <w:rPr>
                <w:rFonts w:hint="eastAsia" w:ascii="宋体" w:hAnsi="宋体" w:eastAsia="宋体" w:cs="宋体"/>
                <w:color w:val="auto"/>
                <w:kern w:val="0"/>
                <w:sz w:val="22"/>
                <w:szCs w:val="22"/>
                <w:lang w:bidi="ar"/>
              </w:rPr>
              <w:t>视频监控调度服务</w:t>
            </w:r>
          </w:p>
        </w:tc>
        <w:tc>
          <w:tcPr>
            <w:tcW w:w="1318" w:type="dxa"/>
            <w:shd w:val="clear" w:color="auto" w:fill="auto"/>
            <w:vAlign w:val="center"/>
          </w:tcPr>
          <w:p w14:paraId="52F71722">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容器化改造</w:t>
            </w:r>
          </w:p>
        </w:tc>
      </w:tr>
      <w:tr w14:paraId="6383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0366FA86">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4</w:t>
            </w:r>
          </w:p>
        </w:tc>
        <w:tc>
          <w:tcPr>
            <w:tcW w:w="1297" w:type="dxa"/>
            <w:vMerge w:val="continue"/>
            <w:vAlign w:val="center"/>
          </w:tcPr>
          <w:p w14:paraId="29EC6E82">
            <w:pPr>
              <w:adjustRightInd w:val="0"/>
              <w:snapToGrid w:val="0"/>
              <w:jc w:val="center"/>
              <w:rPr>
                <w:rFonts w:ascii="宋体" w:hAnsi="宋体" w:eastAsia="宋体" w:cs="宋体"/>
                <w:color w:val="auto"/>
                <w:sz w:val="22"/>
                <w:szCs w:val="22"/>
              </w:rPr>
            </w:pPr>
          </w:p>
        </w:tc>
        <w:tc>
          <w:tcPr>
            <w:tcW w:w="1323" w:type="dxa"/>
            <w:vMerge w:val="continue"/>
            <w:tcBorders>
              <w:right w:val="double" w:color="auto" w:sz="4" w:space="0"/>
            </w:tcBorders>
            <w:shd w:val="clear" w:color="auto" w:fill="auto"/>
            <w:vAlign w:val="center"/>
          </w:tcPr>
          <w:p w14:paraId="66845C80">
            <w:pPr>
              <w:adjustRightInd w:val="0"/>
              <w:snapToGrid w:val="0"/>
              <w:jc w:val="center"/>
              <w:rPr>
                <w:rFonts w:ascii="宋体" w:hAnsi="宋体" w:eastAsia="宋体" w:cs="宋体"/>
                <w:color w:val="auto"/>
                <w:sz w:val="22"/>
                <w:szCs w:val="22"/>
              </w:rPr>
            </w:pPr>
          </w:p>
        </w:tc>
        <w:tc>
          <w:tcPr>
            <w:tcW w:w="1400" w:type="dxa"/>
            <w:vMerge w:val="continue"/>
            <w:tcBorders>
              <w:left w:val="double" w:color="auto" w:sz="4" w:space="0"/>
            </w:tcBorders>
            <w:shd w:val="clear" w:color="auto" w:fill="auto"/>
            <w:vAlign w:val="center"/>
          </w:tcPr>
          <w:p w14:paraId="3CA38E61">
            <w:pPr>
              <w:adjustRightInd w:val="0"/>
              <w:snapToGrid w:val="0"/>
              <w:jc w:val="center"/>
              <w:rPr>
                <w:rFonts w:ascii="宋体" w:hAnsi="宋体" w:eastAsia="宋体" w:cs="宋体"/>
                <w:color w:val="auto"/>
                <w:sz w:val="22"/>
                <w:szCs w:val="22"/>
              </w:rPr>
            </w:pPr>
          </w:p>
        </w:tc>
        <w:tc>
          <w:tcPr>
            <w:tcW w:w="1000" w:type="dxa"/>
            <w:vMerge w:val="continue"/>
            <w:shd w:val="clear" w:color="auto" w:fill="auto"/>
            <w:vAlign w:val="center"/>
          </w:tcPr>
          <w:p w14:paraId="791B412D">
            <w:pPr>
              <w:adjustRightInd w:val="0"/>
              <w:snapToGrid w:val="0"/>
              <w:jc w:val="center"/>
              <w:rPr>
                <w:rFonts w:ascii="宋体" w:hAnsi="宋体" w:eastAsia="宋体" w:cs="宋体"/>
                <w:color w:val="auto"/>
                <w:sz w:val="22"/>
                <w:szCs w:val="22"/>
              </w:rPr>
            </w:pPr>
          </w:p>
        </w:tc>
        <w:tc>
          <w:tcPr>
            <w:tcW w:w="1637" w:type="dxa"/>
            <w:vAlign w:val="center"/>
          </w:tcPr>
          <w:p w14:paraId="09453D2C">
            <w:pPr>
              <w:adjustRightInd w:val="0"/>
              <w:snapToGrid w:val="0"/>
              <w:jc w:val="center"/>
              <w:rPr>
                <w:rFonts w:ascii="宋体" w:hAnsi="宋体" w:eastAsia="宋体" w:cs="宋体"/>
                <w:color w:val="auto"/>
                <w:sz w:val="22"/>
                <w:szCs w:val="22"/>
              </w:rPr>
            </w:pPr>
            <w:r>
              <w:rPr>
                <w:rFonts w:hint="eastAsia" w:ascii="宋体" w:hAnsi="宋体" w:eastAsia="宋体" w:cs="宋体"/>
                <w:color w:val="auto"/>
                <w:kern w:val="0"/>
                <w:sz w:val="22"/>
                <w:szCs w:val="22"/>
                <w:lang w:bidi="ar"/>
              </w:rPr>
              <w:t>视频通话调度服务</w:t>
            </w:r>
          </w:p>
        </w:tc>
        <w:tc>
          <w:tcPr>
            <w:tcW w:w="1318" w:type="dxa"/>
            <w:shd w:val="clear" w:color="auto" w:fill="auto"/>
            <w:vAlign w:val="center"/>
          </w:tcPr>
          <w:p w14:paraId="166DC1BD">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容器化改造</w:t>
            </w:r>
          </w:p>
        </w:tc>
      </w:tr>
      <w:tr w14:paraId="624C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42677F30">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5</w:t>
            </w:r>
          </w:p>
        </w:tc>
        <w:tc>
          <w:tcPr>
            <w:tcW w:w="1297" w:type="dxa"/>
            <w:vMerge w:val="continue"/>
            <w:vAlign w:val="center"/>
          </w:tcPr>
          <w:p w14:paraId="7ADB99FA">
            <w:pPr>
              <w:adjustRightInd w:val="0"/>
              <w:snapToGrid w:val="0"/>
              <w:jc w:val="center"/>
              <w:rPr>
                <w:rFonts w:ascii="宋体" w:hAnsi="宋体" w:eastAsia="宋体" w:cs="宋体"/>
                <w:color w:val="auto"/>
                <w:sz w:val="22"/>
                <w:szCs w:val="22"/>
              </w:rPr>
            </w:pPr>
          </w:p>
        </w:tc>
        <w:tc>
          <w:tcPr>
            <w:tcW w:w="1323" w:type="dxa"/>
            <w:vMerge w:val="restart"/>
            <w:tcBorders>
              <w:right w:val="double" w:color="auto" w:sz="4" w:space="0"/>
            </w:tcBorders>
            <w:shd w:val="clear" w:color="auto" w:fill="auto"/>
            <w:vAlign w:val="center"/>
          </w:tcPr>
          <w:p w14:paraId="442ECF6D">
            <w:pPr>
              <w:adjustRightInd w:val="0"/>
              <w:snapToGrid w:val="0"/>
              <w:jc w:val="center"/>
              <w:rPr>
                <w:rFonts w:ascii="宋体" w:hAnsi="宋体" w:eastAsia="宋体" w:cs="宋体"/>
                <w:color w:val="auto"/>
                <w:sz w:val="22"/>
                <w:szCs w:val="22"/>
              </w:rPr>
            </w:pPr>
            <w:r>
              <w:rPr>
                <w:rFonts w:hint="eastAsia" w:ascii="宋体" w:hAnsi="宋体" w:eastAsia="宋体" w:cs="宋体"/>
                <w:color w:val="auto"/>
                <w:kern w:val="0"/>
                <w:sz w:val="22"/>
                <w:szCs w:val="22"/>
              </w:rPr>
              <w:t>基于空间的调度</w:t>
            </w:r>
          </w:p>
        </w:tc>
        <w:tc>
          <w:tcPr>
            <w:tcW w:w="1400" w:type="dxa"/>
            <w:vMerge w:val="continue"/>
            <w:tcBorders>
              <w:left w:val="double" w:color="auto" w:sz="4" w:space="0"/>
            </w:tcBorders>
            <w:shd w:val="clear" w:color="auto" w:fill="auto"/>
            <w:vAlign w:val="center"/>
          </w:tcPr>
          <w:p w14:paraId="5E4E447C">
            <w:pPr>
              <w:adjustRightInd w:val="0"/>
              <w:snapToGrid w:val="0"/>
              <w:jc w:val="center"/>
              <w:rPr>
                <w:rFonts w:ascii="宋体" w:hAnsi="宋体" w:eastAsia="宋体" w:cs="宋体"/>
                <w:color w:val="auto"/>
                <w:sz w:val="22"/>
                <w:szCs w:val="22"/>
              </w:rPr>
            </w:pPr>
          </w:p>
        </w:tc>
        <w:tc>
          <w:tcPr>
            <w:tcW w:w="1000" w:type="dxa"/>
            <w:vMerge w:val="restart"/>
            <w:shd w:val="clear" w:color="auto" w:fill="auto"/>
            <w:vAlign w:val="center"/>
          </w:tcPr>
          <w:p w14:paraId="0C8BAFDA">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应急会商调度</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39E31">
            <w:pPr>
              <w:adjustRightInd w:val="0"/>
              <w:snapToGrid w:val="0"/>
              <w:jc w:val="center"/>
              <w:rPr>
                <w:rFonts w:ascii="宋体" w:hAnsi="宋体" w:eastAsia="宋体" w:cs="宋体"/>
                <w:color w:val="auto"/>
                <w:sz w:val="22"/>
                <w:szCs w:val="22"/>
              </w:rPr>
            </w:pPr>
            <w:r>
              <w:rPr>
                <w:rFonts w:hint="eastAsia" w:ascii="宋体" w:hAnsi="宋体" w:eastAsia="宋体" w:cs="宋体"/>
                <w:color w:val="auto"/>
                <w:kern w:val="0"/>
                <w:sz w:val="22"/>
                <w:szCs w:val="22"/>
                <w:lang w:bidi="ar"/>
              </w:rPr>
              <w:t>视频会商调度服务</w:t>
            </w:r>
          </w:p>
        </w:tc>
        <w:tc>
          <w:tcPr>
            <w:tcW w:w="1318" w:type="dxa"/>
            <w:shd w:val="clear" w:color="auto" w:fill="auto"/>
            <w:vAlign w:val="center"/>
          </w:tcPr>
          <w:p w14:paraId="716C898F">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容器化改造</w:t>
            </w:r>
          </w:p>
        </w:tc>
      </w:tr>
      <w:tr w14:paraId="212F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369A7952">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6</w:t>
            </w:r>
          </w:p>
        </w:tc>
        <w:tc>
          <w:tcPr>
            <w:tcW w:w="1297" w:type="dxa"/>
            <w:vMerge w:val="continue"/>
            <w:vAlign w:val="center"/>
          </w:tcPr>
          <w:p w14:paraId="3F7CD79A">
            <w:pPr>
              <w:adjustRightInd w:val="0"/>
              <w:snapToGrid w:val="0"/>
              <w:jc w:val="center"/>
              <w:rPr>
                <w:rFonts w:ascii="宋体" w:hAnsi="宋体" w:eastAsia="宋体" w:cs="宋体"/>
                <w:color w:val="auto"/>
                <w:sz w:val="22"/>
                <w:szCs w:val="22"/>
              </w:rPr>
            </w:pPr>
          </w:p>
        </w:tc>
        <w:tc>
          <w:tcPr>
            <w:tcW w:w="1323" w:type="dxa"/>
            <w:vMerge w:val="continue"/>
            <w:tcBorders>
              <w:right w:val="double" w:color="auto" w:sz="4" w:space="0"/>
            </w:tcBorders>
            <w:shd w:val="clear" w:color="auto" w:fill="auto"/>
            <w:vAlign w:val="center"/>
          </w:tcPr>
          <w:p w14:paraId="589BEDDA">
            <w:pPr>
              <w:adjustRightInd w:val="0"/>
              <w:snapToGrid w:val="0"/>
              <w:jc w:val="center"/>
              <w:rPr>
                <w:rFonts w:ascii="宋体" w:hAnsi="宋体" w:eastAsia="宋体" w:cs="宋体"/>
                <w:color w:val="auto"/>
                <w:sz w:val="22"/>
                <w:szCs w:val="22"/>
              </w:rPr>
            </w:pPr>
          </w:p>
        </w:tc>
        <w:tc>
          <w:tcPr>
            <w:tcW w:w="1400" w:type="dxa"/>
            <w:vMerge w:val="continue"/>
            <w:tcBorders>
              <w:left w:val="double" w:color="auto" w:sz="4" w:space="0"/>
            </w:tcBorders>
            <w:shd w:val="clear" w:color="auto" w:fill="auto"/>
            <w:vAlign w:val="center"/>
          </w:tcPr>
          <w:p w14:paraId="71C15689">
            <w:pPr>
              <w:adjustRightInd w:val="0"/>
              <w:snapToGrid w:val="0"/>
              <w:jc w:val="center"/>
              <w:rPr>
                <w:rFonts w:ascii="宋体" w:hAnsi="宋体" w:eastAsia="宋体" w:cs="宋体"/>
                <w:color w:val="auto"/>
                <w:sz w:val="22"/>
                <w:szCs w:val="22"/>
              </w:rPr>
            </w:pPr>
          </w:p>
        </w:tc>
        <w:tc>
          <w:tcPr>
            <w:tcW w:w="1000" w:type="dxa"/>
            <w:vMerge w:val="continue"/>
            <w:shd w:val="clear" w:color="auto" w:fill="auto"/>
            <w:vAlign w:val="center"/>
          </w:tcPr>
          <w:p w14:paraId="7697B16B">
            <w:pPr>
              <w:adjustRightInd w:val="0"/>
              <w:snapToGrid w:val="0"/>
              <w:jc w:val="center"/>
              <w:rPr>
                <w:rFonts w:ascii="宋体" w:hAnsi="宋体" w:eastAsia="宋体" w:cs="宋体"/>
                <w:color w:val="auto"/>
                <w:sz w:val="22"/>
                <w:szCs w:val="22"/>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F86A">
            <w:pPr>
              <w:adjustRightInd w:val="0"/>
              <w:snapToGrid w:val="0"/>
              <w:jc w:val="center"/>
              <w:rPr>
                <w:rFonts w:ascii="宋体" w:hAnsi="宋体" w:eastAsia="宋体" w:cs="宋体"/>
                <w:color w:val="auto"/>
                <w:sz w:val="22"/>
                <w:szCs w:val="22"/>
              </w:rPr>
            </w:pPr>
            <w:r>
              <w:rPr>
                <w:rFonts w:hint="eastAsia" w:ascii="宋体" w:hAnsi="宋体" w:eastAsia="宋体" w:cs="宋体"/>
                <w:color w:val="auto"/>
                <w:kern w:val="0"/>
                <w:sz w:val="22"/>
                <w:szCs w:val="22"/>
                <w:lang w:bidi="ar"/>
              </w:rPr>
              <w:t>视频会议调度服务</w:t>
            </w:r>
          </w:p>
        </w:tc>
        <w:tc>
          <w:tcPr>
            <w:tcW w:w="1318" w:type="dxa"/>
            <w:shd w:val="clear" w:color="auto" w:fill="auto"/>
            <w:vAlign w:val="center"/>
          </w:tcPr>
          <w:p w14:paraId="3BD412BA">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容器化改造</w:t>
            </w:r>
          </w:p>
        </w:tc>
      </w:tr>
      <w:tr w14:paraId="7E10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63949C74">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7</w:t>
            </w:r>
          </w:p>
        </w:tc>
        <w:tc>
          <w:tcPr>
            <w:tcW w:w="1297" w:type="dxa"/>
            <w:vMerge w:val="continue"/>
            <w:vAlign w:val="center"/>
          </w:tcPr>
          <w:p w14:paraId="3230A750">
            <w:pPr>
              <w:adjustRightInd w:val="0"/>
              <w:snapToGrid w:val="0"/>
              <w:jc w:val="center"/>
              <w:rPr>
                <w:rFonts w:ascii="宋体" w:hAnsi="宋体" w:eastAsia="宋体" w:cs="宋体"/>
                <w:color w:val="auto"/>
                <w:sz w:val="22"/>
                <w:szCs w:val="22"/>
              </w:rPr>
            </w:pPr>
          </w:p>
        </w:tc>
        <w:tc>
          <w:tcPr>
            <w:tcW w:w="1323" w:type="dxa"/>
            <w:tcBorders>
              <w:right w:val="double" w:color="auto" w:sz="4" w:space="0"/>
            </w:tcBorders>
            <w:shd w:val="clear" w:color="auto" w:fill="auto"/>
            <w:vAlign w:val="center"/>
          </w:tcPr>
          <w:p w14:paraId="2D07EFBF">
            <w:pPr>
              <w:adjustRightInd w:val="0"/>
              <w:snapToGrid w:val="0"/>
              <w:jc w:val="center"/>
              <w:rPr>
                <w:rFonts w:ascii="宋体" w:hAnsi="宋体" w:eastAsia="宋体" w:cs="宋体"/>
                <w:color w:val="auto"/>
                <w:sz w:val="22"/>
                <w:szCs w:val="22"/>
              </w:rPr>
            </w:pPr>
            <w:r>
              <w:rPr>
                <w:rFonts w:hint="eastAsia" w:ascii="宋体" w:hAnsi="宋体" w:eastAsia="宋体" w:cs="宋体"/>
                <w:color w:val="auto"/>
                <w:kern w:val="0"/>
                <w:sz w:val="22"/>
                <w:szCs w:val="22"/>
              </w:rPr>
              <w:t>综合通信调度服务</w:t>
            </w:r>
          </w:p>
        </w:tc>
        <w:tc>
          <w:tcPr>
            <w:tcW w:w="1400" w:type="dxa"/>
            <w:vMerge w:val="continue"/>
            <w:tcBorders>
              <w:left w:val="double" w:color="auto" w:sz="4" w:space="0"/>
            </w:tcBorders>
            <w:shd w:val="clear" w:color="auto" w:fill="auto"/>
            <w:vAlign w:val="center"/>
          </w:tcPr>
          <w:p w14:paraId="7E7A3D3C">
            <w:pPr>
              <w:adjustRightInd w:val="0"/>
              <w:snapToGrid w:val="0"/>
              <w:jc w:val="center"/>
              <w:rPr>
                <w:rFonts w:ascii="宋体" w:hAnsi="宋体" w:eastAsia="宋体" w:cs="宋体"/>
                <w:color w:val="auto"/>
                <w:sz w:val="22"/>
                <w:szCs w:val="22"/>
              </w:rPr>
            </w:pPr>
          </w:p>
        </w:tc>
        <w:tc>
          <w:tcPr>
            <w:tcW w:w="1000" w:type="dxa"/>
            <w:shd w:val="clear" w:color="auto" w:fill="auto"/>
            <w:vAlign w:val="center"/>
          </w:tcPr>
          <w:p w14:paraId="6261AACF">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短信调度</w:t>
            </w:r>
          </w:p>
        </w:tc>
        <w:tc>
          <w:tcPr>
            <w:tcW w:w="1637" w:type="dxa"/>
            <w:vAlign w:val="center"/>
          </w:tcPr>
          <w:p w14:paraId="0BCDCE22">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短信调度</w:t>
            </w:r>
          </w:p>
        </w:tc>
        <w:tc>
          <w:tcPr>
            <w:tcW w:w="1318" w:type="dxa"/>
            <w:shd w:val="clear" w:color="auto" w:fill="auto"/>
            <w:vAlign w:val="center"/>
          </w:tcPr>
          <w:p w14:paraId="4FB9476A">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新建</w:t>
            </w:r>
          </w:p>
        </w:tc>
      </w:tr>
      <w:tr w14:paraId="252B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31C70EAF">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8</w:t>
            </w:r>
          </w:p>
        </w:tc>
        <w:tc>
          <w:tcPr>
            <w:tcW w:w="1297" w:type="dxa"/>
            <w:vMerge w:val="continue"/>
            <w:vAlign w:val="center"/>
          </w:tcPr>
          <w:p w14:paraId="008702D6">
            <w:pPr>
              <w:adjustRightInd w:val="0"/>
              <w:snapToGrid w:val="0"/>
              <w:jc w:val="center"/>
              <w:rPr>
                <w:rFonts w:ascii="宋体" w:hAnsi="宋体" w:eastAsia="宋体" w:cs="宋体"/>
                <w:color w:val="auto"/>
                <w:sz w:val="22"/>
                <w:szCs w:val="22"/>
              </w:rPr>
            </w:pPr>
          </w:p>
        </w:tc>
        <w:tc>
          <w:tcPr>
            <w:tcW w:w="1323" w:type="dxa"/>
            <w:tcBorders>
              <w:right w:val="double" w:color="auto" w:sz="4" w:space="0"/>
            </w:tcBorders>
            <w:shd w:val="clear" w:color="auto" w:fill="auto"/>
            <w:vAlign w:val="center"/>
          </w:tcPr>
          <w:p w14:paraId="1CC49457">
            <w:pPr>
              <w:adjustRightInd w:val="0"/>
              <w:snapToGrid w:val="0"/>
              <w:jc w:val="center"/>
              <w:rPr>
                <w:rFonts w:ascii="宋体" w:hAnsi="宋体" w:eastAsia="宋体" w:cs="宋体"/>
                <w:color w:val="auto"/>
                <w:sz w:val="22"/>
                <w:szCs w:val="22"/>
              </w:rPr>
            </w:pPr>
            <w:r>
              <w:rPr>
                <w:rFonts w:hint="eastAsia" w:ascii="宋体" w:hAnsi="宋体" w:eastAsia="宋体" w:cs="宋体"/>
                <w:color w:val="auto"/>
                <w:kern w:val="0"/>
                <w:sz w:val="22"/>
                <w:szCs w:val="22"/>
              </w:rPr>
              <w:t>基于预案的调度</w:t>
            </w:r>
          </w:p>
        </w:tc>
        <w:tc>
          <w:tcPr>
            <w:tcW w:w="1400" w:type="dxa"/>
            <w:vMerge w:val="continue"/>
            <w:tcBorders>
              <w:left w:val="double" w:color="auto" w:sz="4" w:space="0"/>
            </w:tcBorders>
            <w:shd w:val="clear" w:color="auto" w:fill="auto"/>
            <w:vAlign w:val="center"/>
          </w:tcPr>
          <w:p w14:paraId="63898B26">
            <w:pPr>
              <w:adjustRightInd w:val="0"/>
              <w:snapToGrid w:val="0"/>
              <w:jc w:val="center"/>
              <w:rPr>
                <w:rFonts w:ascii="宋体" w:hAnsi="宋体" w:eastAsia="宋体" w:cs="宋体"/>
                <w:color w:val="auto"/>
                <w:sz w:val="22"/>
                <w:szCs w:val="22"/>
              </w:rPr>
            </w:pPr>
          </w:p>
        </w:tc>
        <w:tc>
          <w:tcPr>
            <w:tcW w:w="1000" w:type="dxa"/>
            <w:shd w:val="clear" w:color="auto" w:fill="auto"/>
            <w:vAlign w:val="center"/>
          </w:tcPr>
          <w:p w14:paraId="42782804">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w:t>
            </w:r>
          </w:p>
        </w:tc>
        <w:tc>
          <w:tcPr>
            <w:tcW w:w="1637" w:type="dxa"/>
            <w:vAlign w:val="center"/>
          </w:tcPr>
          <w:p w14:paraId="3D084DAF">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w:t>
            </w:r>
          </w:p>
        </w:tc>
        <w:tc>
          <w:tcPr>
            <w:tcW w:w="1318" w:type="dxa"/>
            <w:shd w:val="clear" w:color="auto" w:fill="auto"/>
            <w:vAlign w:val="center"/>
          </w:tcPr>
          <w:p w14:paraId="4188920E">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移至指挥协调系统</w:t>
            </w:r>
          </w:p>
        </w:tc>
      </w:tr>
      <w:tr w14:paraId="3BBE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38" w:type="dxa"/>
            <w:shd w:val="clear" w:color="auto" w:fill="auto"/>
            <w:vAlign w:val="center"/>
          </w:tcPr>
          <w:p w14:paraId="6ABB0828">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9</w:t>
            </w:r>
          </w:p>
        </w:tc>
        <w:tc>
          <w:tcPr>
            <w:tcW w:w="1297" w:type="dxa"/>
            <w:vMerge w:val="continue"/>
            <w:vAlign w:val="center"/>
          </w:tcPr>
          <w:p w14:paraId="5B37F445">
            <w:pPr>
              <w:adjustRightInd w:val="0"/>
              <w:snapToGrid w:val="0"/>
              <w:jc w:val="center"/>
              <w:rPr>
                <w:rFonts w:ascii="宋体" w:hAnsi="宋体" w:eastAsia="宋体" w:cs="宋体"/>
                <w:color w:val="auto"/>
                <w:sz w:val="22"/>
                <w:szCs w:val="22"/>
              </w:rPr>
            </w:pPr>
          </w:p>
        </w:tc>
        <w:tc>
          <w:tcPr>
            <w:tcW w:w="1323" w:type="dxa"/>
            <w:tcBorders>
              <w:right w:val="double" w:color="auto" w:sz="4" w:space="0"/>
            </w:tcBorders>
            <w:shd w:val="clear" w:color="auto" w:fill="auto"/>
            <w:vAlign w:val="center"/>
          </w:tcPr>
          <w:p w14:paraId="724CF985">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w:t>
            </w:r>
          </w:p>
        </w:tc>
        <w:tc>
          <w:tcPr>
            <w:tcW w:w="1400" w:type="dxa"/>
            <w:vMerge w:val="continue"/>
            <w:tcBorders>
              <w:left w:val="double" w:color="auto" w:sz="4" w:space="0"/>
            </w:tcBorders>
            <w:shd w:val="clear" w:color="auto" w:fill="auto"/>
            <w:vAlign w:val="center"/>
          </w:tcPr>
          <w:p w14:paraId="4FE1DAF2">
            <w:pPr>
              <w:adjustRightInd w:val="0"/>
              <w:snapToGrid w:val="0"/>
              <w:jc w:val="center"/>
              <w:rPr>
                <w:rFonts w:ascii="宋体" w:hAnsi="宋体" w:eastAsia="宋体" w:cs="宋体"/>
                <w:color w:val="auto"/>
                <w:sz w:val="22"/>
                <w:szCs w:val="22"/>
              </w:rPr>
            </w:pPr>
          </w:p>
        </w:tc>
        <w:tc>
          <w:tcPr>
            <w:tcW w:w="1000" w:type="dxa"/>
            <w:vMerge w:val="restart"/>
            <w:shd w:val="clear" w:color="auto" w:fill="auto"/>
            <w:vAlign w:val="center"/>
          </w:tcPr>
          <w:p w14:paraId="3AEBEBC3">
            <w:pPr>
              <w:adjustRightInd w:val="0"/>
              <w:snapToGrid w:val="0"/>
              <w:rPr>
                <w:rFonts w:ascii="宋体" w:hAnsi="宋体" w:eastAsia="宋体" w:cs="宋体"/>
                <w:color w:val="auto"/>
                <w:sz w:val="22"/>
                <w:szCs w:val="22"/>
              </w:rPr>
            </w:pPr>
            <w:r>
              <w:rPr>
                <w:rFonts w:hint="eastAsia" w:ascii="宋体" w:hAnsi="宋体" w:eastAsia="宋体" w:cs="宋体"/>
                <w:color w:val="auto"/>
                <w:sz w:val="22"/>
                <w:szCs w:val="22"/>
              </w:rPr>
              <w:t>通信服务支撑</w:t>
            </w:r>
          </w:p>
        </w:tc>
        <w:tc>
          <w:tcPr>
            <w:tcW w:w="1637" w:type="dxa"/>
            <w:vAlign w:val="center"/>
          </w:tcPr>
          <w:p w14:paraId="6F87217B">
            <w:pPr>
              <w:adjustRightInd w:val="0"/>
              <w:snapToGrid w:val="0"/>
              <w:jc w:val="center"/>
              <w:rPr>
                <w:rFonts w:ascii="宋体" w:hAnsi="宋体" w:eastAsia="宋体" w:cs="宋体"/>
                <w:color w:val="auto"/>
                <w:sz w:val="22"/>
                <w:szCs w:val="22"/>
              </w:rPr>
            </w:pPr>
            <w:r>
              <w:rPr>
                <w:rFonts w:hint="eastAsia" w:ascii="宋体" w:hAnsi="宋体" w:eastAsia="宋体" w:cs="宋体"/>
                <w:color w:val="auto"/>
                <w:kern w:val="0"/>
                <w:sz w:val="22"/>
                <w:szCs w:val="22"/>
                <w:lang w:bidi="ar"/>
              </w:rPr>
              <w:t>网络控制管理</w:t>
            </w:r>
          </w:p>
        </w:tc>
        <w:tc>
          <w:tcPr>
            <w:tcW w:w="1318" w:type="dxa"/>
            <w:shd w:val="clear" w:color="auto" w:fill="auto"/>
            <w:vAlign w:val="center"/>
          </w:tcPr>
          <w:p w14:paraId="25FCBD24">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容器化改造</w:t>
            </w:r>
          </w:p>
        </w:tc>
      </w:tr>
      <w:tr w14:paraId="0AB1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38" w:type="dxa"/>
            <w:shd w:val="clear" w:color="auto" w:fill="auto"/>
            <w:vAlign w:val="center"/>
          </w:tcPr>
          <w:p w14:paraId="67C5BE5A">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10</w:t>
            </w:r>
          </w:p>
        </w:tc>
        <w:tc>
          <w:tcPr>
            <w:tcW w:w="1297" w:type="dxa"/>
            <w:vMerge w:val="continue"/>
            <w:vAlign w:val="center"/>
          </w:tcPr>
          <w:p w14:paraId="52F26668">
            <w:pPr>
              <w:adjustRightInd w:val="0"/>
              <w:snapToGrid w:val="0"/>
              <w:jc w:val="center"/>
              <w:rPr>
                <w:rFonts w:ascii="宋体" w:hAnsi="宋体" w:eastAsia="宋体" w:cs="宋体"/>
                <w:color w:val="auto"/>
                <w:sz w:val="22"/>
                <w:szCs w:val="22"/>
              </w:rPr>
            </w:pPr>
          </w:p>
        </w:tc>
        <w:tc>
          <w:tcPr>
            <w:tcW w:w="1323" w:type="dxa"/>
            <w:tcBorders>
              <w:right w:val="double" w:color="auto" w:sz="4" w:space="0"/>
            </w:tcBorders>
            <w:shd w:val="clear" w:color="auto" w:fill="auto"/>
            <w:vAlign w:val="center"/>
          </w:tcPr>
          <w:p w14:paraId="7F0AC84C">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w:t>
            </w:r>
          </w:p>
        </w:tc>
        <w:tc>
          <w:tcPr>
            <w:tcW w:w="1400" w:type="dxa"/>
            <w:vMerge w:val="continue"/>
            <w:tcBorders>
              <w:left w:val="double" w:color="auto" w:sz="4" w:space="0"/>
            </w:tcBorders>
            <w:shd w:val="clear" w:color="auto" w:fill="auto"/>
            <w:vAlign w:val="center"/>
          </w:tcPr>
          <w:p w14:paraId="07F4F2EB">
            <w:pPr>
              <w:adjustRightInd w:val="0"/>
              <w:snapToGrid w:val="0"/>
              <w:jc w:val="center"/>
              <w:rPr>
                <w:rFonts w:ascii="宋体" w:hAnsi="宋体" w:eastAsia="宋体" w:cs="宋体"/>
                <w:color w:val="auto"/>
                <w:sz w:val="22"/>
                <w:szCs w:val="22"/>
              </w:rPr>
            </w:pPr>
          </w:p>
        </w:tc>
        <w:tc>
          <w:tcPr>
            <w:tcW w:w="1000" w:type="dxa"/>
            <w:vMerge w:val="continue"/>
            <w:shd w:val="clear" w:color="auto" w:fill="auto"/>
            <w:vAlign w:val="center"/>
          </w:tcPr>
          <w:p w14:paraId="004A7CBA">
            <w:pPr>
              <w:adjustRightInd w:val="0"/>
              <w:snapToGrid w:val="0"/>
              <w:jc w:val="center"/>
              <w:rPr>
                <w:rFonts w:ascii="宋体" w:hAnsi="宋体" w:eastAsia="宋体" w:cs="宋体"/>
                <w:color w:val="auto"/>
                <w:sz w:val="22"/>
                <w:szCs w:val="22"/>
              </w:rPr>
            </w:pPr>
          </w:p>
        </w:tc>
        <w:tc>
          <w:tcPr>
            <w:tcW w:w="1637" w:type="dxa"/>
            <w:vAlign w:val="center"/>
          </w:tcPr>
          <w:p w14:paraId="16E2DB9D">
            <w:pPr>
              <w:adjustRightInd w:val="0"/>
              <w:snapToGrid w:val="0"/>
              <w:jc w:val="center"/>
              <w:rPr>
                <w:rFonts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多点资源管理</w:t>
            </w:r>
          </w:p>
        </w:tc>
        <w:tc>
          <w:tcPr>
            <w:tcW w:w="1318" w:type="dxa"/>
            <w:shd w:val="clear" w:color="auto" w:fill="auto"/>
            <w:vAlign w:val="center"/>
          </w:tcPr>
          <w:p w14:paraId="21B1ACA2">
            <w:pPr>
              <w:adjustRightInd w:val="0"/>
              <w:snapToGrid w:val="0"/>
              <w:jc w:val="center"/>
              <w:rPr>
                <w:rFonts w:ascii="宋体" w:hAnsi="宋体" w:eastAsia="宋体" w:cs="宋体"/>
                <w:color w:val="auto"/>
                <w:sz w:val="22"/>
                <w:szCs w:val="22"/>
              </w:rPr>
            </w:pPr>
            <w:r>
              <w:rPr>
                <w:rFonts w:hint="eastAsia" w:ascii="宋体" w:hAnsi="宋体" w:eastAsia="宋体" w:cs="宋体"/>
                <w:color w:val="auto"/>
                <w:sz w:val="22"/>
                <w:szCs w:val="22"/>
              </w:rPr>
              <w:t>容器化改造</w:t>
            </w:r>
          </w:p>
        </w:tc>
      </w:tr>
    </w:tbl>
    <w:p w14:paraId="10EB65D0">
      <w:pPr>
        <w:pStyle w:val="7"/>
        <w:spacing w:line="240" w:lineRule="auto"/>
        <w:rPr>
          <w:color w:val="auto"/>
        </w:rPr>
      </w:pPr>
      <w:r>
        <w:rPr>
          <w:color w:val="auto"/>
        </w:rPr>
        <w:t>视频通话管理</w:t>
      </w:r>
    </w:p>
    <w:p w14:paraId="49602D2A">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视频通话管理主要实现应急指挥中心与各业务单位不同体制和网络的视频系统的统一接入与管理。</w:t>
      </w:r>
      <w:r>
        <w:rPr>
          <w:rFonts w:cs="Times New Roman" w:asciiTheme="majorEastAsia" w:hAnsiTheme="majorEastAsia" w:eastAsiaTheme="majorEastAsia"/>
          <w:color w:val="auto"/>
          <w:spacing w:val="-6"/>
          <w:sz w:val="24"/>
          <w:szCs w:val="21"/>
        </w:rPr>
        <w:t>当突发事件发生时，指挥中心可以通过集群系统传递语音、图片、图像、数据于一体的多媒体信息，及时了解现场状况及相应人员情况，有利于指挥中心及时、正确的集群</w:t>
      </w:r>
      <w:r>
        <w:rPr>
          <w:rFonts w:cs="Times New Roman" w:asciiTheme="majorEastAsia" w:hAnsiTheme="majorEastAsia" w:eastAsiaTheme="majorEastAsia"/>
          <w:color w:val="auto"/>
          <w:sz w:val="24"/>
          <w:szCs w:val="21"/>
        </w:rPr>
        <w:t>指挥调度。</w:t>
      </w:r>
    </w:p>
    <w:p w14:paraId="4B60B0A9">
      <w:pPr>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包括视频监控监控调度服务</w:t>
      </w:r>
      <w:r>
        <w:rPr>
          <w:rFonts w:hint="eastAsia" w:cs="Times New Roman" w:asciiTheme="majorEastAsia" w:hAnsiTheme="majorEastAsia" w:eastAsiaTheme="majorEastAsia"/>
          <w:color w:val="auto"/>
          <w:sz w:val="24"/>
          <w:szCs w:val="21"/>
        </w:rPr>
        <w:t>和视频通话调度服务</w:t>
      </w:r>
      <w:r>
        <w:rPr>
          <w:rFonts w:cs="Times New Roman" w:asciiTheme="majorEastAsia" w:hAnsiTheme="majorEastAsia" w:eastAsiaTheme="majorEastAsia"/>
          <w:color w:val="auto"/>
          <w:sz w:val="24"/>
          <w:szCs w:val="21"/>
        </w:rPr>
        <w:t>。</w:t>
      </w:r>
    </w:p>
    <w:p w14:paraId="742750E4">
      <w:pPr>
        <w:pStyle w:val="8"/>
        <w:spacing w:line="240" w:lineRule="auto"/>
        <w:rPr>
          <w:color w:val="auto"/>
        </w:rPr>
      </w:pPr>
      <w:r>
        <w:rPr>
          <w:rFonts w:hint="eastAsia"/>
          <w:color w:val="auto"/>
        </w:rPr>
        <w:t>视频监控调度服务</w:t>
      </w:r>
    </w:p>
    <w:p w14:paraId="3ACAD26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系统提供视频监控融合调度服务，与视频监控服务器配合实现全网视频监控统一接入管理、控制、调度、上墙显示等功能。</w:t>
      </w:r>
    </w:p>
    <w:p w14:paraId="0E7837CD">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利用网络、通信、图像编解码及融合通信等先进技术，实现在不同时期建设、不同的技术、不同厂家视频监控系统的统一接入管理，实现统一监控、分级控制、分域管理的综合视频监控管理调度，通过资源的有效共享，形成充分的资源优势和整体优势，满足应急指挥调度全局化、整体化的应用需求。</w:t>
      </w:r>
    </w:p>
    <w:p w14:paraId="52C4480B">
      <w:pPr>
        <w:pStyle w:val="8"/>
        <w:spacing w:line="240" w:lineRule="auto"/>
        <w:rPr>
          <w:color w:val="auto"/>
        </w:rPr>
      </w:pPr>
      <w:r>
        <w:rPr>
          <w:rFonts w:hint="eastAsia"/>
          <w:color w:val="auto"/>
        </w:rPr>
        <w:t>视频通话调度服务</w:t>
      </w:r>
    </w:p>
    <w:p w14:paraId="7ECB11D0">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系统提供视频通话调度服务，实现指挥中心场</w:t>
      </w:r>
      <w:r>
        <w:rPr>
          <w:rFonts w:cs="Times New Roman" w:asciiTheme="majorEastAsia" w:hAnsiTheme="majorEastAsia" w:eastAsiaTheme="majorEastAsia"/>
          <w:color w:val="auto"/>
          <w:sz w:val="24"/>
          <w:szCs w:val="21"/>
        </w:rPr>
        <w:t>景的一体式控制</w:t>
      </w:r>
      <w:r>
        <w:rPr>
          <w:rFonts w:hint="eastAsia" w:cs="Times New Roman" w:asciiTheme="majorEastAsia" w:hAnsiTheme="majorEastAsia" w:eastAsiaTheme="majorEastAsia"/>
          <w:color w:val="auto"/>
          <w:sz w:val="24"/>
          <w:szCs w:val="21"/>
        </w:rPr>
        <w:t>，包括矩阵控制、灯光控制、音响控制、投影控制、摄像头控制、窗帘控制等。支持与其它应用服务器配合及协同调度等各种调度服务功能。</w:t>
      </w:r>
    </w:p>
    <w:p w14:paraId="331A348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系统支持指挥中心大厅的统一信息资源大屏展示及调度，支持指挥中心各业务系统在大屏上的灵活调度展示服务。</w:t>
      </w:r>
    </w:p>
    <w:p w14:paraId="5656450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支持指挥中心坐席终端与大屏的互动调度，支持各坐席终端的直接随机上屏及下屏管理，支持坐席一键上屏上墙控制。</w:t>
      </w:r>
    </w:p>
    <w:p w14:paraId="4BD7694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支持指挥中心场景的灵活自定义，一键式调度，实现场景间便捷切换。</w:t>
      </w:r>
    </w:p>
    <w:p w14:paraId="04AD4515">
      <w:pPr>
        <w:pStyle w:val="7"/>
        <w:spacing w:line="240" w:lineRule="auto"/>
        <w:rPr>
          <w:color w:val="auto"/>
        </w:rPr>
      </w:pPr>
      <w:r>
        <w:rPr>
          <w:color w:val="auto"/>
        </w:rPr>
        <w:t>视频会商管理</w:t>
      </w:r>
    </w:p>
    <w:p w14:paraId="02B049F4">
      <w:pPr>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依托</w:t>
      </w:r>
      <w:r>
        <w:rPr>
          <w:rFonts w:hint="eastAsia" w:cs="Times New Roman" w:asciiTheme="majorEastAsia" w:hAnsiTheme="majorEastAsia" w:eastAsiaTheme="majorEastAsia"/>
          <w:color w:val="auto"/>
          <w:sz w:val="24"/>
          <w:szCs w:val="21"/>
        </w:rPr>
        <w:t>e福州综合指挥平台</w:t>
      </w:r>
      <w:r>
        <w:rPr>
          <w:rFonts w:cs="Times New Roman" w:asciiTheme="majorEastAsia" w:hAnsiTheme="majorEastAsia" w:eastAsiaTheme="majorEastAsia"/>
          <w:color w:val="auto"/>
          <w:sz w:val="24"/>
          <w:szCs w:val="21"/>
        </w:rPr>
        <w:t>融合通信系统和视频会议系统，实现与各相关单位</w:t>
      </w:r>
      <w:r>
        <w:rPr>
          <w:rFonts w:hint="eastAsia" w:cs="Times New Roman" w:asciiTheme="majorEastAsia" w:hAnsiTheme="majorEastAsia" w:eastAsiaTheme="majorEastAsia"/>
          <w:color w:val="auto"/>
          <w:sz w:val="24"/>
          <w:szCs w:val="21"/>
        </w:rPr>
        <w:t>、指挥调度</w:t>
      </w:r>
      <w:r>
        <w:rPr>
          <w:rFonts w:cs="Times New Roman" w:asciiTheme="majorEastAsia" w:hAnsiTheme="majorEastAsia" w:eastAsiaTheme="majorEastAsia"/>
          <w:color w:val="auto"/>
          <w:sz w:val="24"/>
          <w:szCs w:val="21"/>
        </w:rPr>
        <w:t>现场的音视频会商通信，通过语音和视频沟通事故处置情况，有效提高现场应急处置效率。视频会商过程中，可发起文字会商、即时通信、文件共享、数据共享，多元化的会商场景最大限度的满足协同会商中各种需求，为满足指挥中心、各调度室准确客观的了解现场情况，做出正确决策，指挥中心可通过调阅现场监控信号与视频会议信号融合，全方位了解事故现场，为指挥中心领导决策提供依据。包括视频会商融合调度服务</w:t>
      </w: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视频会议管理功能</w:t>
      </w:r>
      <w:r>
        <w:rPr>
          <w:rFonts w:hint="eastAsia" w:cs="Times New Roman" w:asciiTheme="majorEastAsia" w:hAnsiTheme="majorEastAsia" w:eastAsiaTheme="majorEastAsia"/>
          <w:color w:val="auto"/>
          <w:sz w:val="24"/>
          <w:szCs w:val="21"/>
        </w:rPr>
        <w:t>。</w:t>
      </w:r>
    </w:p>
    <w:p w14:paraId="2909A012">
      <w:pPr>
        <w:pStyle w:val="8"/>
        <w:spacing w:line="240" w:lineRule="auto"/>
        <w:rPr>
          <w:color w:val="auto"/>
        </w:rPr>
      </w:pPr>
      <w:r>
        <w:rPr>
          <w:rFonts w:hint="eastAsia"/>
          <w:color w:val="auto"/>
        </w:rPr>
        <w:t>视频会商调度服务</w:t>
      </w:r>
    </w:p>
    <w:p w14:paraId="286B829D">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视频调度服务功能主要实现各类视频源的接入，并通过系统实现对各类视频源的转码、转发、分发等功能，接入的视频源包括图像接入系统、视频会议系统、移动图传、宽带集群终端、可视话机、移动布控球、移动APP等各类视频源。包括图像接入平台图像调用、视频物联前端视频上拉、终端视频上拉、视频分发、分发转码、全双工视频对讲、视频拍照/录像、云台控制等功能。</w:t>
      </w:r>
    </w:p>
    <w:p w14:paraId="305C171B">
      <w:pPr>
        <w:numPr>
          <w:ilvl w:val="0"/>
          <w:numId w:val="13"/>
        </w:numPr>
        <w:spacing w:before="159" w:after="159"/>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图像接入平台图像调用</w:t>
      </w:r>
    </w:p>
    <w:p w14:paraId="3F57B99C">
      <w:pPr>
        <w:ind w:firstLine="480"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color w:val="auto"/>
          <w:sz w:val="24"/>
          <w:szCs w:val="21"/>
        </w:rPr>
        <w:t>支持与图像接入平台通过GB/T 28181实现系统级互联。支持多种协议的视频源接入，支持高标清混合接入;支持多源，多协议、多码率，多分辨率自动转码。</w:t>
      </w:r>
    </w:p>
    <w:p w14:paraId="26300FE0">
      <w:pPr>
        <w:numPr>
          <w:ilvl w:val="0"/>
          <w:numId w:val="13"/>
        </w:numPr>
        <w:spacing w:before="159" w:after="159"/>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视频物联前端视频上拉</w:t>
      </w:r>
    </w:p>
    <w:p w14:paraId="568DAB2C">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可对接入的视频物联前端(平台或单独视频物联前端)进行视频查看操作，支持播放高达1080P的高清图像。</w:t>
      </w:r>
    </w:p>
    <w:p w14:paraId="17775D8D">
      <w:pPr>
        <w:numPr>
          <w:ilvl w:val="0"/>
          <w:numId w:val="13"/>
        </w:numPr>
        <w:spacing w:before="159" w:after="159"/>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终端视频上拉</w:t>
      </w:r>
    </w:p>
    <w:p w14:paraId="6C15580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可对执法仪、移动布控球、移动图传、移动APP、可视话机等设备的视频进行上拉播放。</w:t>
      </w:r>
    </w:p>
    <w:p w14:paraId="7D4F4031">
      <w:pPr>
        <w:numPr>
          <w:ilvl w:val="0"/>
          <w:numId w:val="13"/>
        </w:numPr>
        <w:spacing w:before="159" w:after="159"/>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视频分发</w:t>
      </w:r>
    </w:p>
    <w:p w14:paraId="5272F23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通过调度台，可将从视频物联前端、执法仪等终端上拉的视频实时推送转发给其它调度台、终端等具备视频接收的设备进行播放。同一路上拉视频可以同时分发给多个终端设备。</w:t>
      </w:r>
    </w:p>
    <w:p w14:paraId="7E3C361F">
      <w:pPr>
        <w:numPr>
          <w:ilvl w:val="0"/>
          <w:numId w:val="13"/>
        </w:numPr>
        <w:spacing w:before="159" w:after="159"/>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分发转码</w:t>
      </w:r>
    </w:p>
    <w:p w14:paraId="21045B9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在视频分发中当接收终端无法接收原视频时(如原视频为1080P,但终端仅能接收播放720P)，则系统提供转码功能可以将原视频实时转码再分发。</w:t>
      </w:r>
    </w:p>
    <w:p w14:paraId="5B7163E6">
      <w:pPr>
        <w:numPr>
          <w:ilvl w:val="0"/>
          <w:numId w:val="13"/>
        </w:numPr>
        <w:spacing w:before="159" w:after="159"/>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全双工视频对讲</w:t>
      </w:r>
    </w:p>
    <w:p w14:paraId="679394A9">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调度台可以选择具备全双工视频对讲的终端如移动APP、可视话机、调度台等发起视频对讲。通讯中双方可相互看到对方的实时视频画面，并听到对方实时的语音。</w:t>
      </w:r>
    </w:p>
    <w:p w14:paraId="2B69442F">
      <w:pPr>
        <w:numPr>
          <w:ilvl w:val="0"/>
          <w:numId w:val="13"/>
        </w:numPr>
        <w:spacing w:before="159" w:after="159"/>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视频拍照/录像</w:t>
      </w:r>
    </w:p>
    <w:p w14:paraId="296D8F23">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对正在进行视频调度的视频画面进行静态图像抓取或动态图像的录制，并保存到系统存储空间，供后续查询和调用查看。</w:t>
      </w:r>
    </w:p>
    <w:p w14:paraId="66365E13">
      <w:pPr>
        <w:pStyle w:val="8"/>
        <w:spacing w:line="240" w:lineRule="auto"/>
        <w:rPr>
          <w:color w:val="auto"/>
        </w:rPr>
      </w:pPr>
      <w:r>
        <w:rPr>
          <w:color w:val="auto"/>
        </w:rPr>
        <w:t>视频</w:t>
      </w:r>
      <w:r>
        <w:rPr>
          <w:rFonts w:hint="eastAsia"/>
          <w:color w:val="auto"/>
        </w:rPr>
        <w:t>会议管理功能</w:t>
      </w:r>
    </w:p>
    <w:p w14:paraId="1CDFCD0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基于e福州综合指挥平台的多终端广泛接入及媒体处理能力，在面对重大事件处置时，能够组织多方视频融合会商调度服务，与视频会议服务器配合实现有线视频会议终端与移动智能终端的视频会商互通等功能，实现包括视频会议、远程监控、现场（3G、4G）图像传输、卫星传输等视频资源的融合调度服务，为参会领导及相关人员提供全面现场信息，并在会商中实时沟通，快速形成处置意见。</w:t>
      </w:r>
    </w:p>
    <w:p w14:paraId="4FFC41BD">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调度台可以选择视频会议终端、移动APP、PAD平板、可视话机等进行视频会商，同时可通过语音方式加入固话、移动电话等，在会商过程中可拉取现场视频物联前端、移动布控球的实时画面。</w:t>
      </w:r>
    </w:p>
    <w:p w14:paraId="18B31A7E">
      <w:pPr>
        <w:numPr>
          <w:ilvl w:val="0"/>
          <w:numId w:val="14"/>
        </w:numPr>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多终端的混合视频组会</w:t>
      </w:r>
    </w:p>
    <w:p w14:paraId="6B156830">
      <w:pPr>
        <w:ind w:firstLine="480"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color w:val="auto"/>
          <w:sz w:val="24"/>
          <w:szCs w:val="21"/>
        </w:rPr>
        <w:t>可召集视频会议终端、手机、固话、视频话机、调度台电脑、视频物联前端、移动APP、移动布控球、移动图传等进行混合终端的视频融合会议。其中部分终端如手机、固话等不支持视频的设备可以通过音频方式接入会议。</w:t>
      </w:r>
    </w:p>
    <w:p w14:paraId="3188B7F1">
      <w:pPr>
        <w:numPr>
          <w:ilvl w:val="0"/>
          <w:numId w:val="14"/>
        </w:numPr>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会场控制</w:t>
      </w:r>
    </w:p>
    <w:p w14:paraId="196E0192">
      <w:pPr>
        <w:ind w:firstLine="480"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color w:val="auto"/>
          <w:sz w:val="24"/>
          <w:szCs w:val="21"/>
        </w:rPr>
        <w:t>包括对参会人员通话状态查看，静音/恢复等控制操作。</w:t>
      </w:r>
    </w:p>
    <w:p w14:paraId="4D8A2AA6">
      <w:pPr>
        <w:numPr>
          <w:ilvl w:val="0"/>
          <w:numId w:val="14"/>
        </w:numPr>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多会议管理</w:t>
      </w:r>
    </w:p>
    <w:p w14:paraId="121615D5">
      <w:pPr>
        <w:ind w:firstLine="480"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color w:val="auto"/>
          <w:sz w:val="24"/>
          <w:szCs w:val="21"/>
        </w:rPr>
        <w:t>实时查看系统当前正在进行会议的会场音视频内容，可将会场成员转移到另一个会议中，可同时查看多个正在进行的会议，可对正在进行的会议进行关闭、延时、加入会议等操控。</w:t>
      </w:r>
    </w:p>
    <w:p w14:paraId="2CDD171F">
      <w:pPr>
        <w:numPr>
          <w:ilvl w:val="0"/>
          <w:numId w:val="14"/>
        </w:numPr>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成员管理</w:t>
      </w:r>
    </w:p>
    <w:p w14:paraId="124234E3">
      <w:pPr>
        <w:ind w:firstLine="480"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color w:val="auto"/>
          <w:sz w:val="24"/>
          <w:szCs w:val="21"/>
        </w:rPr>
        <w:t>在融合会商过程中，调度台可选择挂断参会方使其离开当前会议，也可以选择新的参会方或挂断参会房加入到会议中。</w:t>
      </w:r>
    </w:p>
    <w:p w14:paraId="635A09FA">
      <w:pPr>
        <w:numPr>
          <w:ilvl w:val="0"/>
          <w:numId w:val="14"/>
        </w:numPr>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视频追呼</w:t>
      </w:r>
    </w:p>
    <w:p w14:paraId="2060904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在融合会商进行时，调度员可选择通过追呼的方式加入新的参会方，系统会发起对新成员的呼叫若出现占线、关机等情况导致呼叫失败则系统间隔一定时间后自动重呼再次发起呼叫直至呼叫成功或会议结束。</w:t>
      </w:r>
    </w:p>
    <w:p w14:paraId="3712822F">
      <w:pPr>
        <w:numPr>
          <w:ilvl w:val="0"/>
          <w:numId w:val="14"/>
        </w:numPr>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画面控制</w:t>
      </w:r>
    </w:p>
    <w:p w14:paraId="04E3D191">
      <w:pPr>
        <w:ind w:firstLine="480"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color w:val="auto"/>
          <w:sz w:val="24"/>
          <w:szCs w:val="21"/>
        </w:rPr>
        <w:t>会议管理人员可通过调度台菜单控制会场画面构成数量(如2画面、1大4小画面等)、画面位置(调整各画面显示的参会方)等。</w:t>
      </w:r>
    </w:p>
    <w:p w14:paraId="00266A8C">
      <w:pPr>
        <w:numPr>
          <w:ilvl w:val="0"/>
          <w:numId w:val="14"/>
        </w:numPr>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摄像头/移动终端入会</w:t>
      </w:r>
    </w:p>
    <w:p w14:paraId="10A42235">
      <w:pPr>
        <w:ind w:firstLine="480"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color w:val="auto"/>
          <w:sz w:val="24"/>
          <w:szCs w:val="21"/>
        </w:rPr>
        <w:t>可以在会议召开后选择将任意摄像头或移动终端的画面加入到会议。</w:t>
      </w:r>
    </w:p>
    <w:p w14:paraId="04E2781B">
      <w:pPr>
        <w:numPr>
          <w:ilvl w:val="0"/>
          <w:numId w:val="14"/>
        </w:numPr>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实时字幕</w:t>
      </w:r>
    </w:p>
    <w:p w14:paraId="69BFD387">
      <w:pPr>
        <w:ind w:firstLine="480"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color w:val="auto"/>
          <w:sz w:val="24"/>
          <w:szCs w:val="21"/>
        </w:rPr>
        <w:t>操作员可以编写字幕内容并在会场中发布，用于重要信息的提示。</w:t>
      </w:r>
    </w:p>
    <w:p w14:paraId="095D4244">
      <w:pPr>
        <w:numPr>
          <w:ilvl w:val="0"/>
          <w:numId w:val="14"/>
        </w:numPr>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会议预案</w:t>
      </w:r>
    </w:p>
    <w:p w14:paraId="2D5A4B7F">
      <w:pPr>
        <w:ind w:firstLine="480"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color w:val="auto"/>
          <w:sz w:val="24"/>
          <w:szCs w:val="21"/>
        </w:rPr>
        <w:t>用户可提前编制会议预案设定参会成员、开始时间、会议时长、画面布局、会议字幕、成员标签等信息。编制完成的预案可以自动或手动开启并按照录入的要求执行视频会议。</w:t>
      </w:r>
    </w:p>
    <w:p w14:paraId="3F7904C6">
      <w:pPr>
        <w:numPr>
          <w:ilvl w:val="0"/>
          <w:numId w:val="14"/>
        </w:numPr>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视频混码</w:t>
      </w:r>
    </w:p>
    <w:p w14:paraId="34960A6B">
      <w:pPr>
        <w:ind w:firstLine="480"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color w:val="auto"/>
          <w:sz w:val="24"/>
          <w:szCs w:val="21"/>
        </w:rPr>
        <w:t>融合会商支持视频混码功能，不同的终端可以上传不同的视频码流(如720P、1080P等)，同时系统可以根据各个终端的媒体能力下发不同的视频码流(如720P、1080P 等)。</w:t>
      </w:r>
    </w:p>
    <w:p w14:paraId="61F02866">
      <w:pPr>
        <w:numPr>
          <w:ilvl w:val="0"/>
          <w:numId w:val="14"/>
        </w:numPr>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分组会议</w:t>
      </w:r>
    </w:p>
    <w:p w14:paraId="5F0D153A">
      <w:pPr>
        <w:ind w:firstLine="480"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color w:val="auto"/>
          <w:sz w:val="24"/>
          <w:szCs w:val="21"/>
        </w:rPr>
        <w:t>根据大会场中成员的标签属性--键实现会场拆分形成多个分组小会场(小会场间互不影响)，支持将小会场重新合并到大会场中，也可通过手工指定成员的方式进行会场分拆及会场合并。</w:t>
      </w:r>
    </w:p>
    <w:p w14:paraId="7B5F682A">
      <w:pPr>
        <w:numPr>
          <w:ilvl w:val="0"/>
          <w:numId w:val="14"/>
        </w:numPr>
        <w:ind w:left="0"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接入会议</w:t>
      </w:r>
    </w:p>
    <w:p w14:paraId="59D5CD0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对于入驻式视频会议系统与终端可采用标准协议即H.323/SIP进行对接，视频融合网关通过IP网络对会议终端直接发起呼叫将其拉入融合会场中。也可与视频会议MCU实现级联对接，将MCU的子会议接入融合会场中。</w:t>
      </w:r>
    </w:p>
    <w:p w14:paraId="295D1FD6">
      <w:pPr>
        <w:pStyle w:val="7"/>
        <w:spacing w:line="240" w:lineRule="auto"/>
        <w:rPr>
          <w:color w:val="auto"/>
        </w:rPr>
      </w:pPr>
      <w:r>
        <w:rPr>
          <w:color w:val="auto"/>
        </w:rPr>
        <w:t>语音通信调度</w:t>
      </w:r>
    </w:p>
    <w:p w14:paraId="5BFA161B">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一体化语音通信调度组件，融合了固定电话、移动电话、VOIP电话、宽带集群/Tetra/P25/VHF/UHF等多种语音，不仅仅集成了各类语音通信的能力，和各类语音网络进行语音媒体的交互，还作为一个语音融合的枢纽，实现指挥中心拉通多种语音媒体，跨语音网络建立一个包含了公网语音、集群语音、VOIP语音的统一融合会议，实现一体化的信息沟通及指挥，满足应急行业及时、高效、无障碍的沟通需求。</w:t>
      </w:r>
      <w:r>
        <w:rPr>
          <w:rFonts w:cs="Times New Roman" w:asciiTheme="majorEastAsia" w:hAnsiTheme="majorEastAsia" w:eastAsiaTheme="majorEastAsia"/>
          <w:color w:val="auto"/>
          <w:sz w:val="24"/>
        </w:rPr>
        <w:t>满足突发事件集群指挥调度的需要，提供组呼、单呼、广播呼叫、优先呼叫、紧急呼叫、动态重组、组呼迟入、组呼并入、呼入呼出限制、强插强拆、状态消息、单站通信（故障弱化）、系统录音录像等基于语音调度的补充业务</w:t>
      </w:r>
      <w:r>
        <w:rPr>
          <w:rFonts w:hint="eastAsia" w:cs="Times New Roman" w:asciiTheme="majorEastAsia" w:hAnsiTheme="majorEastAsia" w:eastAsiaTheme="majorEastAsia"/>
          <w:color w:val="auto"/>
          <w:sz w:val="24"/>
        </w:rPr>
        <w:t>，</w:t>
      </w:r>
      <w:r>
        <w:rPr>
          <w:rFonts w:cs="Times New Roman" w:asciiTheme="majorEastAsia" w:hAnsiTheme="majorEastAsia" w:eastAsiaTheme="majorEastAsia"/>
          <w:color w:val="auto"/>
          <w:sz w:val="24"/>
        </w:rPr>
        <w:t>可广泛应用于需要团队协作的场合，如重大活动调度、现场救灾协调等。</w:t>
      </w:r>
    </w:p>
    <w:p w14:paraId="2C46E9AE">
      <w:pPr>
        <w:pStyle w:val="8"/>
        <w:spacing w:line="240" w:lineRule="auto"/>
        <w:rPr>
          <w:color w:val="auto"/>
        </w:rPr>
      </w:pPr>
      <w:r>
        <w:rPr>
          <w:rFonts w:hint="eastAsia"/>
          <w:color w:val="auto"/>
        </w:rPr>
        <w:t>音频调度功能</w:t>
      </w:r>
    </w:p>
    <w:p w14:paraId="16264CEE">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点呼</w:t>
      </w:r>
    </w:p>
    <w:p w14:paraId="4964224F">
      <w:pPr>
        <w:ind w:firstLine="480" w:firstLineChars="200"/>
        <w:rPr>
          <w:rFonts w:cs="Times New Roman" w:asciiTheme="majorEastAsia" w:hAnsiTheme="majorEastAsia" w:eastAsiaTheme="majorEastAsia"/>
          <w:color w:val="auto"/>
          <w:sz w:val="24"/>
        </w:rPr>
      </w:pPr>
      <w:r>
        <w:rPr>
          <w:rFonts w:cs="Times New Roman" w:asciiTheme="majorEastAsia" w:hAnsiTheme="majorEastAsia" w:eastAsiaTheme="majorEastAsia"/>
          <w:color w:val="auto"/>
          <w:sz w:val="24"/>
        </w:rPr>
        <w:t>音通信调度组件实现</w:t>
      </w:r>
      <w:r>
        <w:rPr>
          <w:rFonts w:hint="eastAsia" w:cs="Times New Roman" w:asciiTheme="majorEastAsia" w:hAnsiTheme="majorEastAsia" w:eastAsiaTheme="majorEastAsia"/>
          <w:color w:val="auto"/>
          <w:sz w:val="24"/>
        </w:rPr>
        <w:t>单</w:t>
      </w:r>
      <w:r>
        <w:rPr>
          <w:rFonts w:cs="Times New Roman" w:asciiTheme="majorEastAsia" w:hAnsiTheme="majorEastAsia" w:eastAsiaTheme="majorEastAsia"/>
          <w:color w:val="auto"/>
          <w:sz w:val="24"/>
        </w:rPr>
        <w:t>呼功能</w:t>
      </w:r>
      <w:r>
        <w:rPr>
          <w:rFonts w:hint="eastAsia" w:cs="Times New Roman" w:asciiTheme="majorEastAsia" w:hAnsiTheme="majorEastAsia" w:eastAsiaTheme="majorEastAsia"/>
          <w:color w:val="auto"/>
          <w:sz w:val="24"/>
        </w:rPr>
        <w:t>，单</w:t>
      </w:r>
      <w:r>
        <w:rPr>
          <w:rFonts w:cs="Times New Roman" w:asciiTheme="majorEastAsia" w:hAnsiTheme="majorEastAsia" w:eastAsiaTheme="majorEastAsia"/>
          <w:color w:val="auto"/>
          <w:sz w:val="24"/>
        </w:rPr>
        <w:t>呼是无线集群用户之间、无线集群用户与调度台用户之间可发起一对一的呼叫</w:t>
      </w:r>
      <w:r>
        <w:rPr>
          <w:rFonts w:hint="eastAsia" w:cs="Times New Roman" w:asciiTheme="majorEastAsia" w:hAnsiTheme="majorEastAsia" w:eastAsiaTheme="majorEastAsia"/>
          <w:color w:val="auto"/>
          <w:sz w:val="24"/>
        </w:rPr>
        <w:t>，单</w:t>
      </w:r>
      <w:r>
        <w:rPr>
          <w:rFonts w:cs="Times New Roman" w:asciiTheme="majorEastAsia" w:hAnsiTheme="majorEastAsia" w:eastAsiaTheme="majorEastAsia"/>
          <w:color w:val="auto"/>
          <w:sz w:val="24"/>
        </w:rPr>
        <w:t>呼是点到点全双工通信，当处于点呼中，仅通话双方可以听到通信内容。</w:t>
      </w:r>
      <w:r>
        <w:rPr>
          <w:rFonts w:hint="eastAsia" w:cs="Times New Roman" w:asciiTheme="majorEastAsia" w:hAnsiTheme="majorEastAsia" w:eastAsiaTheme="majorEastAsia"/>
          <w:color w:val="auto"/>
          <w:sz w:val="24"/>
        </w:rPr>
        <w:t>调度台通过选择语音调度终端成员的图标，点击呼叫实现单呼，也可用拨号盘，对外部号码终端进行单呼。此外，所有调度台之间也可以相互选择进行单呼。</w:t>
      </w:r>
    </w:p>
    <w:p w14:paraId="743F49F3">
      <w:pPr>
        <w:ind w:firstLine="480" w:firstLineChars="200"/>
        <w:rPr>
          <w:rFonts w:cs="Times New Roman" w:asciiTheme="majorEastAsia" w:hAnsiTheme="majorEastAsia" w:eastAsiaTheme="majorEastAsia"/>
          <w:color w:val="auto"/>
          <w:sz w:val="24"/>
        </w:rPr>
      </w:pPr>
      <w:r>
        <w:rPr>
          <w:rFonts w:cs="Times New Roman" w:asciiTheme="majorEastAsia" w:hAnsiTheme="majorEastAsia" w:eastAsiaTheme="majorEastAsia"/>
          <w:color w:val="auto"/>
          <w:sz w:val="24"/>
        </w:rPr>
        <w:t>在指挥调度过程中，</w:t>
      </w:r>
      <w:r>
        <w:rPr>
          <w:rFonts w:hint="eastAsia" w:cs="Times New Roman" w:asciiTheme="majorEastAsia" w:hAnsiTheme="majorEastAsia" w:eastAsiaTheme="majorEastAsia"/>
          <w:color w:val="auto"/>
          <w:sz w:val="24"/>
        </w:rPr>
        <w:t>指挥员</w:t>
      </w:r>
      <w:r>
        <w:rPr>
          <w:rFonts w:cs="Times New Roman" w:asciiTheme="majorEastAsia" w:hAnsiTheme="majorEastAsia" w:eastAsiaTheme="majorEastAsia"/>
          <w:color w:val="auto"/>
          <w:sz w:val="24"/>
        </w:rPr>
        <w:t>呼叫某个处置单位进行语音方式任务指派，可直接通过系统</w:t>
      </w:r>
      <w:r>
        <w:rPr>
          <w:rFonts w:hint="eastAsia" w:cs="Times New Roman" w:asciiTheme="majorEastAsia" w:hAnsiTheme="majorEastAsia" w:eastAsiaTheme="majorEastAsia"/>
          <w:color w:val="auto"/>
          <w:sz w:val="24"/>
        </w:rPr>
        <w:t>界面</w:t>
      </w:r>
      <w:r>
        <w:rPr>
          <w:rFonts w:cs="Times New Roman" w:asciiTheme="majorEastAsia" w:hAnsiTheme="majorEastAsia" w:eastAsiaTheme="majorEastAsia"/>
          <w:color w:val="auto"/>
          <w:sz w:val="24"/>
        </w:rPr>
        <w:t>操作对已经加入到处置单位列表中的处置单位直接发起电话呼叫并通过语音下发指令。</w:t>
      </w:r>
    </w:p>
    <w:p w14:paraId="576DB5E5">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集群组呼</w:t>
      </w:r>
    </w:p>
    <w:p w14:paraId="21690273">
      <w:pPr>
        <w:ind w:firstLine="480" w:firstLineChars="200"/>
        <w:rPr>
          <w:rFonts w:cs="Times New Roman" w:asciiTheme="majorEastAsia" w:hAnsiTheme="majorEastAsia" w:eastAsiaTheme="majorEastAsia"/>
          <w:color w:val="auto"/>
          <w:sz w:val="24"/>
        </w:rPr>
      </w:pPr>
      <w:r>
        <w:rPr>
          <w:rFonts w:cs="Times New Roman" w:asciiTheme="majorEastAsia" w:hAnsiTheme="majorEastAsia" w:eastAsiaTheme="majorEastAsia"/>
          <w:color w:val="auto"/>
          <w:sz w:val="24"/>
        </w:rPr>
        <w:t>语音通信调度组件实现集群组呼功能</w:t>
      </w:r>
      <w:r>
        <w:rPr>
          <w:rFonts w:hint="eastAsia" w:cs="Times New Roman" w:asciiTheme="majorEastAsia" w:hAnsiTheme="majorEastAsia" w:eastAsiaTheme="majorEastAsia"/>
          <w:color w:val="auto"/>
          <w:sz w:val="24"/>
        </w:rPr>
        <w:t>，</w:t>
      </w:r>
      <w:r>
        <w:rPr>
          <w:rFonts w:cs="Times New Roman" w:asciiTheme="majorEastAsia" w:hAnsiTheme="majorEastAsia" w:eastAsiaTheme="majorEastAsia"/>
          <w:color w:val="auto"/>
          <w:sz w:val="24"/>
        </w:rPr>
        <w:t>集群组呼指将若干号码合并为一组，按组呼键即同时呼叫该组的</w:t>
      </w:r>
      <w:r>
        <w:rPr>
          <w:rFonts w:hint="eastAsia" w:cs="Times New Roman" w:asciiTheme="majorEastAsia" w:hAnsiTheme="majorEastAsia" w:eastAsiaTheme="majorEastAsia"/>
          <w:color w:val="auto"/>
          <w:sz w:val="24"/>
          <w:szCs w:val="21"/>
        </w:rPr>
        <w:t>所有</w:t>
      </w:r>
      <w:r>
        <w:rPr>
          <w:rFonts w:cs="Times New Roman" w:asciiTheme="majorEastAsia" w:hAnsiTheme="majorEastAsia" w:eastAsiaTheme="majorEastAsia"/>
          <w:color w:val="auto"/>
          <w:sz w:val="24"/>
        </w:rPr>
        <w:t>电话。集群组呼是点对多点通信，其工作方式是半双工且不用摘机就可通信。</w:t>
      </w:r>
    </w:p>
    <w:p w14:paraId="3D4419F2">
      <w:pPr>
        <w:ind w:firstLine="480" w:firstLineChars="200"/>
        <w:rPr>
          <w:rFonts w:cs="Times New Roman" w:asciiTheme="majorEastAsia" w:hAnsiTheme="majorEastAsia" w:eastAsiaTheme="majorEastAsia"/>
          <w:color w:val="auto"/>
          <w:sz w:val="24"/>
        </w:rPr>
      </w:pPr>
      <w:r>
        <w:rPr>
          <w:rFonts w:cs="Times New Roman" w:asciiTheme="majorEastAsia" w:hAnsiTheme="majorEastAsia" w:eastAsiaTheme="majorEastAsia"/>
          <w:color w:val="auto"/>
          <w:sz w:val="24"/>
        </w:rPr>
        <w:t>集群组呼为</w:t>
      </w:r>
      <w:r>
        <w:rPr>
          <w:rFonts w:hint="eastAsia" w:cs="Times New Roman" w:asciiTheme="majorEastAsia" w:hAnsiTheme="majorEastAsia" w:eastAsiaTheme="majorEastAsia"/>
          <w:color w:val="auto"/>
          <w:sz w:val="24"/>
        </w:rPr>
        <w:t>智慧院</w:t>
      </w:r>
      <w:r>
        <w:rPr>
          <w:rFonts w:hint="eastAsia" w:cs="Times New Roman" w:asciiTheme="majorEastAsia" w:hAnsiTheme="majorEastAsia" w:eastAsiaTheme="majorEastAsia"/>
          <w:color w:val="auto"/>
          <w:sz w:val="24"/>
          <w:szCs w:val="21"/>
        </w:rPr>
        <w:t>建立</w:t>
      </w:r>
      <w:r>
        <w:rPr>
          <w:rFonts w:cs="Times New Roman" w:asciiTheme="majorEastAsia" w:hAnsiTheme="majorEastAsia" w:eastAsiaTheme="majorEastAsia"/>
          <w:color w:val="auto"/>
          <w:sz w:val="24"/>
        </w:rPr>
        <w:t>群组通话，其基本功能包含：</w:t>
      </w:r>
    </w:p>
    <w:p w14:paraId="0D545A09">
      <w:pPr>
        <w:numPr>
          <w:ilvl w:val="0"/>
          <w:numId w:val="16"/>
        </w:numPr>
        <w:ind w:left="0" w:firstLine="895"/>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群组建立</w:t>
      </w:r>
    </w:p>
    <w:p w14:paraId="2527A0E0">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指挥员通过按无线手台终端的</w:t>
      </w:r>
      <w:r>
        <w:rPr>
          <w:rFonts w:cs="Times New Roman" w:asciiTheme="majorEastAsia" w:hAnsiTheme="majorEastAsia" w:eastAsiaTheme="majorEastAsia"/>
          <w:color w:val="auto"/>
          <w:sz w:val="24"/>
        </w:rPr>
        <w:t>PTT</w:t>
      </w:r>
      <w:r>
        <w:rPr>
          <w:rFonts w:hint="eastAsia" w:cs="Times New Roman" w:asciiTheme="majorEastAsia" w:hAnsiTheme="majorEastAsia" w:eastAsiaTheme="majorEastAsia"/>
          <w:color w:val="auto"/>
          <w:sz w:val="24"/>
        </w:rPr>
        <w:t>键，发起群组建立的过程。系统为该群组分配群组资源，并通知群组签约的所有用户群组建立，发起者此时可以发起讲话，其他签约用户可以选择收听该群组。</w:t>
      </w:r>
    </w:p>
    <w:p w14:paraId="0A7E48A1">
      <w:pPr>
        <w:numPr>
          <w:ilvl w:val="0"/>
          <w:numId w:val="16"/>
        </w:numPr>
        <w:ind w:left="0" w:firstLine="895"/>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话权申请</w:t>
      </w:r>
    </w:p>
    <w:p w14:paraId="5A6099A5">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群组建立后，群组中用户可以按终端</w:t>
      </w:r>
      <w:r>
        <w:rPr>
          <w:rFonts w:cs="Times New Roman" w:asciiTheme="majorEastAsia" w:hAnsiTheme="majorEastAsia" w:eastAsiaTheme="majorEastAsia"/>
          <w:color w:val="auto"/>
          <w:sz w:val="24"/>
        </w:rPr>
        <w:t>PTT</w:t>
      </w:r>
      <w:r>
        <w:rPr>
          <w:rFonts w:hint="eastAsia" w:cs="Times New Roman" w:asciiTheme="majorEastAsia" w:hAnsiTheme="majorEastAsia" w:eastAsiaTheme="majorEastAsia"/>
          <w:color w:val="auto"/>
          <w:sz w:val="24"/>
        </w:rPr>
        <w:t>键发起话权的申请。用户签约信息中有优先级的划分，高优先级比低优先级用户先获得话权。用户优先级划分为</w:t>
      </w:r>
      <w:r>
        <w:rPr>
          <w:rFonts w:cs="Times New Roman" w:asciiTheme="majorEastAsia" w:hAnsiTheme="majorEastAsia" w:eastAsiaTheme="majorEastAsia"/>
          <w:color w:val="auto"/>
          <w:sz w:val="24"/>
        </w:rPr>
        <w:t>0–15</w:t>
      </w:r>
      <w:r>
        <w:rPr>
          <w:rFonts w:hint="eastAsia" w:cs="Times New Roman" w:asciiTheme="majorEastAsia" w:hAnsiTheme="majorEastAsia" w:eastAsiaTheme="majorEastAsia"/>
          <w:color w:val="auto"/>
          <w:sz w:val="24"/>
        </w:rPr>
        <w:t>级，其中</w:t>
      </w:r>
      <w:r>
        <w:rPr>
          <w:rFonts w:cs="Times New Roman" w:asciiTheme="majorEastAsia" w:hAnsiTheme="majorEastAsia" w:eastAsiaTheme="majorEastAsia"/>
          <w:color w:val="auto"/>
          <w:sz w:val="24"/>
        </w:rPr>
        <w:t>1–15</w:t>
      </w:r>
      <w:r>
        <w:rPr>
          <w:rFonts w:hint="eastAsia" w:cs="Times New Roman" w:asciiTheme="majorEastAsia" w:hAnsiTheme="majorEastAsia" w:eastAsiaTheme="majorEastAsia"/>
          <w:color w:val="auto"/>
          <w:sz w:val="24"/>
        </w:rPr>
        <w:t>级可配，</w:t>
      </w:r>
      <w:r>
        <w:rPr>
          <w:rFonts w:cs="Times New Roman" w:asciiTheme="majorEastAsia" w:hAnsiTheme="majorEastAsia" w:eastAsiaTheme="majorEastAsia"/>
          <w:color w:val="auto"/>
          <w:sz w:val="24"/>
        </w:rPr>
        <w:t>0</w:t>
      </w:r>
      <w:r>
        <w:rPr>
          <w:rFonts w:hint="eastAsia" w:cs="Times New Roman" w:asciiTheme="majorEastAsia" w:hAnsiTheme="majorEastAsia" w:eastAsiaTheme="majorEastAsia"/>
          <w:color w:val="auto"/>
          <w:sz w:val="24"/>
        </w:rPr>
        <w:t>级不可配，</w:t>
      </w:r>
      <w:r>
        <w:rPr>
          <w:rFonts w:cs="Times New Roman" w:asciiTheme="majorEastAsia" w:hAnsiTheme="majorEastAsia" w:eastAsiaTheme="majorEastAsia"/>
          <w:color w:val="auto"/>
          <w:sz w:val="24"/>
        </w:rPr>
        <w:t>0</w:t>
      </w:r>
      <w:r>
        <w:rPr>
          <w:rFonts w:hint="eastAsia" w:cs="Times New Roman" w:asciiTheme="majorEastAsia" w:hAnsiTheme="majorEastAsia" w:eastAsiaTheme="majorEastAsia"/>
          <w:color w:val="auto"/>
          <w:sz w:val="24"/>
        </w:rPr>
        <w:t>级有最高优先级代表紧急呼叫。</w:t>
      </w:r>
    </w:p>
    <w:p w14:paraId="7F03BB27">
      <w:pPr>
        <w:numPr>
          <w:ilvl w:val="0"/>
          <w:numId w:val="16"/>
        </w:numPr>
        <w:ind w:left="0" w:firstLine="895"/>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话权释放</w:t>
      </w:r>
    </w:p>
    <w:p w14:paraId="736BE0D5">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群组中用户不能无限时的使用讲话权利，话权释放包括用户主动释放话权、或在达到系统配置的一定时间后讲话被迫中止、用户的优先级较低，通话将被高优先级抢占。</w:t>
      </w:r>
    </w:p>
    <w:p w14:paraId="67533F33">
      <w:pPr>
        <w:numPr>
          <w:ilvl w:val="0"/>
          <w:numId w:val="16"/>
        </w:numPr>
        <w:ind w:left="0" w:firstLine="895"/>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加入群组</w:t>
      </w:r>
    </w:p>
    <w:p w14:paraId="74F52DB5">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指挥员可以同时签约多个群组，同时只能监听一个群组或在一个群组中做主讲。在监听和使用群组前要先加入群组，以便网络根据用户期望进行动态基站分配。</w:t>
      </w:r>
    </w:p>
    <w:p w14:paraId="7A8F72D9">
      <w:pPr>
        <w:numPr>
          <w:ilvl w:val="0"/>
          <w:numId w:val="16"/>
        </w:numPr>
        <w:ind w:left="0" w:firstLine="895"/>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群组关闭</w:t>
      </w:r>
    </w:p>
    <w:p w14:paraId="3C302600">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为保证群组的建立和使用流畅，达到最小的使用时延，群组在使用时间达到系统配置的上限或者调度员要求关闭时关闭，群组也可以由群组的建立者发起关闭。</w:t>
      </w:r>
    </w:p>
    <w:p w14:paraId="1CA5F6A7">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单呼功能是指调度台向被呼叫者进行单--呼叫，完成--对一的快速通话。调度台通过选择语音调度终端成员的图标，点击呼叫实现单呼;也可用拨号盘，对外部号码终端进行单呼。此外，所有调度台之间也可以相互选择进行单呼。</w:t>
      </w:r>
    </w:p>
    <w:p w14:paraId="769B5A54">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点名</w:t>
      </w:r>
    </w:p>
    <w:p w14:paraId="349FD512">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调度台可预先选择多个不同终端进行点名，系统会按顺序进行逐一的呼叫，被叫方应答挂断后或是呼叫失败(包括无应答)后系统将自动选择下一号码进行呼叫。</w:t>
      </w:r>
    </w:p>
    <w:p w14:paraId="5F43E9E3">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轮询</w:t>
      </w:r>
    </w:p>
    <w:p w14:paraId="20D585C3">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调度台可预先选择多个不同终端进行咨询，系统会按顺序进行逐一的呼叫，若呼叫失败(包括无应答)后系统将自动选择下一号码进行呼叫，直到有一个电话应答成功后将不再呼叫后面号码。</w:t>
      </w:r>
    </w:p>
    <w:p w14:paraId="3EE90808">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强插</w:t>
      </w:r>
    </w:p>
    <w:p w14:paraId="4A3F90F6">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调度台A在进行通话时，具有强插权限的调度台B可选择A执行强插操作，系统将形成三方通话。</w:t>
      </w:r>
    </w:p>
    <w:p w14:paraId="5925F189">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强拆</w:t>
      </w:r>
    </w:p>
    <w:p w14:paraId="63AC58F9">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某调度台A在进行通话时，具有强拆权限的调度台B可以选择A执行强拆，这样强制挂断A的通话。</w:t>
      </w:r>
    </w:p>
    <w:p w14:paraId="30C060FE">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禁话</w:t>
      </w:r>
    </w:p>
    <w:p w14:paraId="70B399F6">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具有禁话权限的调度台，可将暂时无人使用或需被禁止使用的调度台设置为禁话状态。被禁话的调度台无法接听也无法拨打电话。</w:t>
      </w:r>
    </w:p>
    <w:p w14:paraId="1F74F2A8">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夜服</w:t>
      </w:r>
    </w:p>
    <w:p w14:paraId="42C48774">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将某调度台启动夜服功能，可将所有对该调度台的呼入电话直接无条件转移到指定的调度台或其他终端上。在无人职守时，通过开启夜服状态，设定夜服号码(如夜间值班的IP电话)，以保障来电随时有人接听。</w:t>
      </w:r>
    </w:p>
    <w:p w14:paraId="4E200768">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呼叫保持</w:t>
      </w:r>
    </w:p>
    <w:p w14:paraId="213BCDD0">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当有重要电话打到调度台时若调度员已经在通话，则可使用呼叫保持将前一个电话保持(被呼叫保持的用户开始听背景音乐)。调度员可接听重要电话，待电话接听完毕，再选中被保持的电话，恢复和该用户通话。</w:t>
      </w:r>
    </w:p>
    <w:p w14:paraId="36C7D4B6">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通话转移/自动转接</w:t>
      </w:r>
    </w:p>
    <w:p w14:paraId="7D8D7844">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调度台与用户A在通话时，可以选择另一个用户B并执行通话转移功能。系统将会把与A的通话转到B,实现A与B的直接通话而调度台将会挂断退出。</w:t>
      </w:r>
    </w:p>
    <w:p w14:paraId="161FA54B">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三方通话</w:t>
      </w:r>
    </w:p>
    <w:p w14:paraId="01B9E458">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调度员与用户A通话时，若遇到复杂情况则可快速将用户B拉入到会议中形成三方通话。</w:t>
      </w:r>
    </w:p>
    <w:p w14:paraId="3B08E2DC">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话机联动</w:t>
      </w:r>
    </w:p>
    <w:p w14:paraId="4B134BD2">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系统可以指定-部IP话机与调度台进行绑定，来电可以在IP话机上振铃并被接听。</w:t>
      </w:r>
    </w:p>
    <w:p w14:paraId="6E79A527">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通话记录</w:t>
      </w:r>
    </w:p>
    <w:p w14:paraId="36FB6A8A">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记录并可查询显示已拨、 已接、未接通话的记录。</w:t>
      </w:r>
    </w:p>
    <w:p w14:paraId="2993C346">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录音管理</w:t>
      </w:r>
    </w:p>
    <w:p w14:paraId="5B1C32A4">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语音通话内容将被录音记录，系统提供查询及回放界面</w:t>
      </w:r>
    </w:p>
    <w:p w14:paraId="4C95369E">
      <w:pPr>
        <w:numPr>
          <w:ilvl w:val="0"/>
          <w:numId w:val="15"/>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语音通知</w:t>
      </w:r>
    </w:p>
    <w:p w14:paraId="161BBB1B">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利用TTS功能可将文字自动转换为语音,并通过系统自动外呼(包括PSTNPLMN电话、VOIP 呼叫、APP呼叫)的方式广播通知多个用户。</w:t>
      </w:r>
    </w:p>
    <w:p w14:paraId="1AEAAAD3">
      <w:pPr>
        <w:pStyle w:val="8"/>
        <w:spacing w:line="240" w:lineRule="auto"/>
        <w:rPr>
          <w:color w:val="auto"/>
        </w:rPr>
      </w:pPr>
      <w:r>
        <w:rPr>
          <w:rFonts w:hint="eastAsia"/>
          <w:color w:val="auto"/>
        </w:rPr>
        <w:t>音频会议功能</w:t>
      </w:r>
    </w:p>
    <w:p w14:paraId="179A68B1">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一体化语音通信调度组件支持召开交互式电话会议，由调度台或调度台指定分机进行召集。调度台在系统会议资源足够的情况下，可随时召开3方或3方以上的多场会议。包括创建语音会议、会场控制、语音广播、成员管理、语音追呼、录音管理等功能。</w:t>
      </w:r>
    </w:p>
    <w:p w14:paraId="70532EF5">
      <w:pPr>
        <w:numPr>
          <w:ilvl w:val="0"/>
          <w:numId w:val="17"/>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创建语音会议</w:t>
      </w:r>
    </w:p>
    <w:p w14:paraId="3259FF75">
      <w:pPr>
        <w:ind w:left="218" w:firstLine="480" w:firstLineChars="200"/>
        <w:rPr>
          <w:rFonts w:cs="Times New Roman" w:asciiTheme="majorEastAsia" w:hAnsiTheme="majorEastAsia" w:eastAsiaTheme="majorEastAsia"/>
          <w:b/>
          <w:bCs/>
          <w:color w:val="auto"/>
          <w:sz w:val="24"/>
        </w:rPr>
      </w:pPr>
      <w:r>
        <w:rPr>
          <w:rFonts w:hint="eastAsia" w:cs="Times New Roman" w:asciiTheme="majorEastAsia" w:hAnsiTheme="majorEastAsia" w:eastAsiaTheme="majorEastAsia"/>
          <w:color w:val="auto"/>
          <w:sz w:val="24"/>
        </w:rPr>
        <w:t>调度员可将多个调度台席及语音终端设备呼叫到同一会议中，进行多方语音通话。</w:t>
      </w:r>
    </w:p>
    <w:p w14:paraId="56E53BCB">
      <w:pPr>
        <w:numPr>
          <w:ilvl w:val="0"/>
          <w:numId w:val="17"/>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会场控制</w:t>
      </w:r>
    </w:p>
    <w:p w14:paraId="7F946343">
      <w:pPr>
        <w:ind w:left="218"/>
        <w:rPr>
          <w:rFonts w:cs="Times New Roman" w:asciiTheme="majorEastAsia" w:hAnsiTheme="majorEastAsia" w:eastAsiaTheme="majorEastAsia"/>
          <w:b/>
          <w:bCs/>
          <w:color w:val="auto"/>
          <w:sz w:val="24"/>
        </w:rPr>
      </w:pPr>
      <w:r>
        <w:rPr>
          <w:rFonts w:hint="eastAsia" w:cs="Times New Roman" w:asciiTheme="majorEastAsia" w:hAnsiTheme="majorEastAsia" w:eastAsiaTheme="majorEastAsia"/>
          <w:color w:val="auto"/>
          <w:sz w:val="24"/>
        </w:rPr>
        <w:t>包括对参会人员通话状态查看，静音/恢复等控制操作。</w:t>
      </w:r>
    </w:p>
    <w:p w14:paraId="2614857E">
      <w:pPr>
        <w:numPr>
          <w:ilvl w:val="0"/>
          <w:numId w:val="17"/>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语音广播</w:t>
      </w:r>
    </w:p>
    <w:p w14:paraId="70E6E2CC">
      <w:pPr>
        <w:ind w:left="218" w:firstLine="480" w:firstLineChars="200"/>
        <w:rPr>
          <w:rFonts w:cs="Times New Roman" w:asciiTheme="majorEastAsia" w:hAnsiTheme="majorEastAsia" w:eastAsiaTheme="majorEastAsia"/>
          <w:b/>
          <w:bCs/>
          <w:color w:val="auto"/>
          <w:sz w:val="24"/>
        </w:rPr>
      </w:pPr>
      <w:r>
        <w:rPr>
          <w:rFonts w:hint="eastAsia" w:cs="Times New Roman" w:asciiTheme="majorEastAsia" w:hAnsiTheme="majorEastAsia" w:eastAsiaTheme="majorEastAsia"/>
          <w:color w:val="auto"/>
          <w:sz w:val="24"/>
        </w:rPr>
        <w:t>可设置广播功能，会场中只有一个发言方能讲话其它参会方仅能收听。</w:t>
      </w:r>
    </w:p>
    <w:p w14:paraId="5C59DB95">
      <w:pPr>
        <w:numPr>
          <w:ilvl w:val="0"/>
          <w:numId w:val="17"/>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成员管理</w:t>
      </w:r>
    </w:p>
    <w:p w14:paraId="19D9A0E0">
      <w:pPr>
        <w:ind w:left="218" w:firstLine="480" w:firstLineChars="200"/>
        <w:rPr>
          <w:rFonts w:cs="Times New Roman" w:asciiTheme="majorEastAsia" w:hAnsiTheme="majorEastAsia" w:eastAsiaTheme="majorEastAsia"/>
          <w:b/>
          <w:bCs/>
          <w:color w:val="auto"/>
          <w:sz w:val="24"/>
        </w:rPr>
      </w:pPr>
      <w:r>
        <w:rPr>
          <w:rFonts w:hint="eastAsia" w:cs="Times New Roman" w:asciiTheme="majorEastAsia" w:hAnsiTheme="majorEastAsia" w:eastAsiaTheme="majorEastAsia"/>
          <w:color w:val="auto"/>
          <w:sz w:val="24"/>
        </w:rPr>
        <w:t>在语音会议过程中，调度台可选择挂断参会方使其离开当前语音会议;也可以选择新的参会方或挂断参会房加入到会议中。</w:t>
      </w:r>
    </w:p>
    <w:p w14:paraId="04E3D7BC">
      <w:pPr>
        <w:numPr>
          <w:ilvl w:val="0"/>
          <w:numId w:val="17"/>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语音追呼</w:t>
      </w:r>
    </w:p>
    <w:p w14:paraId="6B7DF97C">
      <w:pPr>
        <w:ind w:left="218" w:firstLine="480" w:firstLineChars="200"/>
        <w:rPr>
          <w:rFonts w:cs="Times New Roman" w:asciiTheme="majorEastAsia" w:hAnsiTheme="majorEastAsia" w:eastAsiaTheme="majorEastAsia"/>
          <w:b/>
          <w:bCs/>
          <w:color w:val="auto"/>
          <w:sz w:val="24"/>
        </w:rPr>
      </w:pPr>
      <w:r>
        <w:rPr>
          <w:rFonts w:hint="eastAsia" w:cs="Times New Roman" w:asciiTheme="majorEastAsia" w:hAnsiTheme="majorEastAsia" w:eastAsiaTheme="majorEastAsia"/>
          <w:color w:val="auto"/>
          <w:sz w:val="24"/>
        </w:rPr>
        <w:t>在语音会议进行时，调度员可选择通过追呼的方式加入新的参会方，系统会发起对新成员的呼叫若出现占线、关机等情况导致呼叫失败则系统间隔一定时间后自动重呼再次发起呼叫直至呼叫成功或会议结束。</w:t>
      </w:r>
    </w:p>
    <w:p w14:paraId="6CC97611">
      <w:pPr>
        <w:numPr>
          <w:ilvl w:val="0"/>
          <w:numId w:val="17"/>
        </w:numPr>
        <w:ind w:left="799" w:firstLine="482" w:firstLineChars="200"/>
        <w:rPr>
          <w:rFonts w:cs="Times New Roman" w:asciiTheme="majorEastAsia" w:hAnsiTheme="majorEastAsia" w:eastAsiaTheme="majorEastAsia"/>
          <w:b/>
          <w:bCs/>
          <w:color w:val="auto"/>
          <w:sz w:val="24"/>
          <w:szCs w:val="21"/>
        </w:rPr>
      </w:pPr>
      <w:r>
        <w:rPr>
          <w:rFonts w:hint="eastAsia" w:cs="Times New Roman" w:asciiTheme="majorEastAsia" w:hAnsiTheme="majorEastAsia" w:eastAsiaTheme="majorEastAsia"/>
          <w:b/>
          <w:bCs/>
          <w:color w:val="auto"/>
          <w:sz w:val="24"/>
          <w:szCs w:val="21"/>
        </w:rPr>
        <w:t>录音管理</w:t>
      </w:r>
    </w:p>
    <w:p w14:paraId="00EBF7C2">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会议内容将被录音记录，系统提供查询及回放界面。</w:t>
      </w:r>
    </w:p>
    <w:p w14:paraId="14BB9F05">
      <w:pPr>
        <w:pStyle w:val="7"/>
        <w:spacing w:line="240" w:lineRule="auto"/>
        <w:rPr>
          <w:color w:val="auto"/>
        </w:rPr>
      </w:pPr>
      <w:r>
        <w:rPr>
          <w:color w:val="auto"/>
        </w:rPr>
        <w:t>短信调度</w:t>
      </w:r>
    </w:p>
    <w:p w14:paraId="1D5282B2">
      <w:pPr>
        <w:ind w:firstLine="420"/>
        <w:rPr>
          <w:rFonts w:ascii="宋体" w:hAnsi="宋体" w:eastAsia="宋体" w:cs="Times New Roman"/>
          <w:color w:val="auto"/>
          <w:sz w:val="24"/>
        </w:rPr>
      </w:pPr>
      <w:r>
        <w:rPr>
          <w:rFonts w:hint="eastAsia" w:ascii="宋体" w:hAnsi="宋体" w:eastAsia="宋体" w:cs="Times New Roman"/>
          <w:color w:val="auto"/>
          <w:sz w:val="24"/>
        </w:rPr>
        <w:t>短信调度主要实现指挥中心与各业务单位处置部门及一线工作人员的短信通信服务。当突发事件发生时，指挥中心可以通过短信服务下发调度指令，待办事项也可以通过短信提醒到相应责任人。</w:t>
      </w:r>
    </w:p>
    <w:p w14:paraId="58FF78DC">
      <w:pPr>
        <w:pStyle w:val="7"/>
        <w:spacing w:line="240" w:lineRule="auto"/>
        <w:rPr>
          <w:color w:val="auto"/>
        </w:rPr>
      </w:pPr>
      <w:r>
        <w:rPr>
          <w:color w:val="auto"/>
        </w:rPr>
        <w:t>通信服务支撑</w:t>
      </w:r>
      <w:r>
        <w:rPr>
          <w:rFonts w:hint="eastAsia"/>
          <w:color w:val="auto"/>
        </w:rPr>
        <w:t>平台</w:t>
      </w:r>
    </w:p>
    <w:p w14:paraId="33C576D9">
      <w:pPr>
        <w:ind w:firstLine="480" w:firstLineChars="200"/>
        <w:rPr>
          <w:rFonts w:cs="Times New Roman" w:asciiTheme="majorEastAsia" w:hAnsiTheme="majorEastAsia" w:eastAsiaTheme="majorEastAsia"/>
          <w:color w:val="auto"/>
          <w:sz w:val="24"/>
        </w:rPr>
      </w:pPr>
      <w:r>
        <w:rPr>
          <w:rFonts w:cs="Times New Roman" w:asciiTheme="majorEastAsia" w:hAnsiTheme="majorEastAsia" w:eastAsiaTheme="majorEastAsia"/>
          <w:color w:val="auto"/>
          <w:sz w:val="24"/>
        </w:rPr>
        <w:t>通信服务支撑平台主要是为视频会商提供通信服务</w:t>
      </w:r>
      <w:r>
        <w:rPr>
          <w:rFonts w:hint="eastAsia" w:cs="Times New Roman" w:asciiTheme="majorEastAsia" w:hAnsiTheme="majorEastAsia" w:eastAsiaTheme="majorEastAsia"/>
          <w:color w:val="auto"/>
          <w:sz w:val="24"/>
        </w:rPr>
        <w:t>，</w:t>
      </w:r>
      <w:r>
        <w:rPr>
          <w:rFonts w:cs="Times New Roman" w:asciiTheme="majorEastAsia" w:hAnsiTheme="majorEastAsia" w:eastAsiaTheme="majorEastAsia"/>
          <w:color w:val="auto"/>
          <w:sz w:val="24"/>
        </w:rPr>
        <w:t>支撑视频会商系统的双向视频会议功能</w:t>
      </w:r>
      <w:r>
        <w:rPr>
          <w:rFonts w:hint="eastAsia" w:cs="Times New Roman" w:asciiTheme="majorEastAsia" w:hAnsiTheme="majorEastAsia" w:eastAsiaTheme="majorEastAsia"/>
          <w:color w:val="auto"/>
          <w:sz w:val="24"/>
        </w:rPr>
        <w:t>，可进行便捷的点对点会议，也可进行多点会议或全网广播会议，支持多级级联会议；支持主席模式、导演模式、讨论模式、语音激励等会议控制方式；</w:t>
      </w:r>
      <w:r>
        <w:rPr>
          <w:rFonts w:cs="Times New Roman" w:asciiTheme="majorEastAsia" w:hAnsiTheme="majorEastAsia" w:eastAsiaTheme="majorEastAsia"/>
          <w:color w:val="auto"/>
          <w:sz w:val="24"/>
        </w:rPr>
        <w:t>支持会议中增加成员、会议中剔除成员、会议中对某个成员禁言、成员视频分发、会议中播放语音和视频文件、结束会议等会议等功能</w:t>
      </w:r>
      <w:r>
        <w:rPr>
          <w:rFonts w:hint="eastAsia" w:cs="Times New Roman" w:asciiTheme="majorEastAsia" w:hAnsiTheme="majorEastAsia" w:eastAsiaTheme="majorEastAsia"/>
          <w:color w:val="auto"/>
          <w:sz w:val="24"/>
        </w:rPr>
        <w:t>；</w:t>
      </w:r>
      <w:r>
        <w:rPr>
          <w:rFonts w:cs="Times New Roman" w:asciiTheme="majorEastAsia" w:hAnsiTheme="majorEastAsia" w:eastAsiaTheme="majorEastAsia"/>
          <w:color w:val="auto"/>
          <w:sz w:val="24"/>
        </w:rPr>
        <w:t>支持统一会议号</w:t>
      </w:r>
      <w:r>
        <w:rPr>
          <w:rFonts w:hint="eastAsia" w:cs="Times New Roman" w:asciiTheme="majorEastAsia" w:hAnsiTheme="majorEastAsia" w:eastAsiaTheme="majorEastAsia"/>
          <w:color w:val="auto"/>
          <w:sz w:val="24"/>
        </w:rPr>
        <w:t>，</w:t>
      </w:r>
      <w:r>
        <w:rPr>
          <w:rFonts w:cs="Times New Roman" w:asciiTheme="majorEastAsia" w:hAnsiTheme="majorEastAsia" w:eastAsiaTheme="majorEastAsia"/>
          <w:color w:val="auto"/>
          <w:sz w:val="24"/>
        </w:rPr>
        <w:t>不同品牌终端通过会议号统一加入会议</w:t>
      </w:r>
      <w:r>
        <w:rPr>
          <w:rFonts w:hint="eastAsia" w:cs="Times New Roman" w:asciiTheme="majorEastAsia" w:hAnsiTheme="majorEastAsia" w:eastAsiaTheme="majorEastAsia"/>
          <w:color w:val="auto"/>
          <w:sz w:val="24"/>
        </w:rPr>
        <w:t>；</w:t>
      </w:r>
      <w:r>
        <w:rPr>
          <w:rFonts w:cs="Times New Roman" w:asciiTheme="majorEastAsia" w:hAnsiTheme="majorEastAsia" w:eastAsiaTheme="majorEastAsia"/>
          <w:color w:val="auto"/>
          <w:sz w:val="24"/>
        </w:rPr>
        <w:t>支持会议场景一键切换，灵活设置会议模式。</w:t>
      </w:r>
    </w:p>
    <w:p w14:paraId="0CF108FB">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平台实现在指挥调度平台上基于GIS界面直接选择单个或多个会场终端，即可实现指挥中心与现场会场的实时会商召集调度，包括网络控制管理、多节点资源管理等功能。</w:t>
      </w:r>
    </w:p>
    <w:p w14:paraId="4672BE0F">
      <w:pPr>
        <w:pStyle w:val="8"/>
        <w:spacing w:line="240" w:lineRule="auto"/>
        <w:rPr>
          <w:color w:val="auto"/>
        </w:rPr>
      </w:pPr>
      <w:r>
        <w:rPr>
          <w:color w:val="auto"/>
        </w:rPr>
        <w:t>网络控制管理</w:t>
      </w:r>
    </w:p>
    <w:p w14:paraId="19E203EA">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网络控制管理主要功能是对节点进行管理，节点类型包括终端、MCU、网关，对节点的管理包括地址解析、区域管理、接入控制、注册管理、呼叫管理、带宽管理、路由管理、区域间呼叫。</w:t>
      </w:r>
    </w:p>
    <w:p w14:paraId="239827AB">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主要功能包括节点注册管理、地址解析、呼叫管理、呼叫路由、网段注册限制、网段带宽限制、群组服务、呼叫转移等。    </w:t>
      </w:r>
    </w:p>
    <w:p w14:paraId="62E2D2EC">
      <w:pPr>
        <w:numPr>
          <w:ilvl w:val="0"/>
          <w:numId w:val="18"/>
        </w:numPr>
        <w:ind w:left="862"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节点注册管理</w:t>
      </w:r>
    </w:p>
    <w:p w14:paraId="19663F18">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收到节点的注册请求时，对节点的注册身份进行认证，认证方式包括</w:t>
      </w: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固定IP地址认证、H323ID名称认证、密码认证、Radius 认证，认证通过后，GK将返回注册确认消息给节点。</w:t>
      </w:r>
    </w:p>
    <w:p w14:paraId="1C7471D9">
      <w:pPr>
        <w:numPr>
          <w:ilvl w:val="0"/>
          <w:numId w:val="18"/>
        </w:numPr>
        <w:ind w:left="862"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地址解析</w:t>
      </w:r>
    </w:p>
    <w:p w14:paraId="3157FD72">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当节点之间呼叫，主叫节点不需要输入枯燥的被叫节点IP地址，只要输入被叫节点的号码或别名，</w:t>
      </w:r>
      <w:r>
        <w:rPr>
          <w:rFonts w:hint="eastAsia" w:cs="Times New Roman" w:asciiTheme="majorEastAsia" w:hAnsiTheme="majorEastAsia" w:eastAsiaTheme="majorEastAsia"/>
          <w:color w:val="auto"/>
          <w:sz w:val="24"/>
          <w:szCs w:val="21"/>
        </w:rPr>
        <w:t>网络</w:t>
      </w:r>
      <w:r>
        <w:rPr>
          <w:rFonts w:cs="Times New Roman" w:asciiTheme="majorEastAsia" w:hAnsiTheme="majorEastAsia" w:eastAsiaTheme="majorEastAsia"/>
          <w:color w:val="auto"/>
          <w:sz w:val="24"/>
          <w:szCs w:val="21"/>
        </w:rPr>
        <w:t>控制中心将自动解析成被叫节点的P地址并返回给主叫节点。</w:t>
      </w:r>
    </w:p>
    <w:p w14:paraId="00CD003C">
      <w:pPr>
        <w:numPr>
          <w:ilvl w:val="0"/>
          <w:numId w:val="18"/>
        </w:numPr>
        <w:ind w:left="862"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呼叫管理</w:t>
      </w:r>
    </w:p>
    <w:p w14:paraId="374CF6F9">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网络</w:t>
      </w:r>
      <w:r>
        <w:rPr>
          <w:rFonts w:cs="Times New Roman" w:asciiTheme="majorEastAsia" w:hAnsiTheme="majorEastAsia" w:eastAsiaTheme="majorEastAsia"/>
          <w:color w:val="auto"/>
          <w:sz w:val="24"/>
          <w:szCs w:val="21"/>
        </w:rPr>
        <w:t>控制中心可处理对节点的呼叫接入请求进行管理，可根据节点的带宽、募性等条件,判断是否允许该节点进行呼叫,同时,通过SwitchManager还可以主动挂断节点的呼</w:t>
      </w: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呼叫</w:t>
      </w:r>
      <w:r>
        <w:rPr>
          <w:rFonts w:hint="eastAsia" w:cs="Times New Roman" w:asciiTheme="majorEastAsia" w:hAnsiTheme="majorEastAsia" w:eastAsiaTheme="majorEastAsia"/>
          <w:color w:val="auto"/>
          <w:sz w:val="24"/>
          <w:szCs w:val="21"/>
        </w:rPr>
        <w:t>。</w:t>
      </w:r>
    </w:p>
    <w:p w14:paraId="07A32394">
      <w:pPr>
        <w:numPr>
          <w:ilvl w:val="0"/>
          <w:numId w:val="18"/>
        </w:numPr>
        <w:ind w:left="862"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网段注册限制</w:t>
      </w:r>
    </w:p>
    <w:p w14:paraId="70578EC8">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网络</w:t>
      </w:r>
      <w:r>
        <w:rPr>
          <w:rFonts w:cs="Times New Roman" w:asciiTheme="majorEastAsia" w:hAnsiTheme="majorEastAsia" w:eastAsiaTheme="majorEastAsia"/>
          <w:color w:val="auto"/>
          <w:sz w:val="24"/>
          <w:szCs w:val="21"/>
        </w:rPr>
        <w:t>控制中心提供了类似黑名</w:t>
      </w:r>
      <w:r>
        <w:rPr>
          <w:rFonts w:hint="eastAsia" w:cs="Times New Roman" w:asciiTheme="majorEastAsia" w:hAnsiTheme="majorEastAsia" w:eastAsiaTheme="majorEastAsia"/>
          <w:color w:val="auto"/>
          <w:sz w:val="24"/>
          <w:szCs w:val="21"/>
        </w:rPr>
        <w:t>单</w:t>
      </w:r>
      <w:r>
        <w:rPr>
          <w:rFonts w:cs="Times New Roman" w:asciiTheme="majorEastAsia" w:hAnsiTheme="majorEastAsia" w:eastAsiaTheme="majorEastAsia"/>
          <w:color w:val="auto"/>
          <w:sz w:val="24"/>
          <w:szCs w:val="21"/>
        </w:rPr>
        <w:t>、白名单的网段注册限制功能，运营商可以有选择的允许或禁止某些网段的用户使用视讯业务。</w:t>
      </w:r>
    </w:p>
    <w:p w14:paraId="141806D3">
      <w:pPr>
        <w:numPr>
          <w:ilvl w:val="0"/>
          <w:numId w:val="18"/>
        </w:numPr>
        <w:ind w:left="862"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群组服务</w:t>
      </w:r>
    </w:p>
    <w:p w14:paraId="6AC68366">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网络</w:t>
      </w:r>
      <w:r>
        <w:rPr>
          <w:rFonts w:cs="Times New Roman" w:asciiTheme="majorEastAsia" w:hAnsiTheme="majorEastAsia" w:eastAsiaTheme="majorEastAsia"/>
          <w:color w:val="auto"/>
          <w:sz w:val="24"/>
          <w:szCs w:val="21"/>
        </w:rPr>
        <w:t>控制中心提供的一项增值服务,当某节点呼叫某</w:t>
      </w:r>
      <w:r>
        <w:rPr>
          <w:rFonts w:hint="eastAsia" w:cs="Times New Roman" w:asciiTheme="majorEastAsia" w:hAnsiTheme="majorEastAsia" w:eastAsiaTheme="majorEastAsia"/>
          <w:color w:val="auto"/>
          <w:sz w:val="24"/>
          <w:szCs w:val="21"/>
        </w:rPr>
        <w:t>以</w:t>
      </w:r>
      <w:r>
        <w:rPr>
          <w:rFonts w:cs="Times New Roman" w:asciiTheme="majorEastAsia" w:hAnsiTheme="majorEastAsia" w:eastAsiaTheme="majorEastAsia"/>
          <w:color w:val="auto"/>
          <w:sz w:val="24"/>
          <w:szCs w:val="21"/>
        </w:rPr>
        <w:t>号码时</w:t>
      </w: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网络控制中心将在该服务群族中找一个可用节点时，将其地址返回给申请群组服务的节点，并与之建立</w:t>
      </w:r>
      <w:r>
        <w:rPr>
          <w:rFonts w:hint="eastAsia" w:cs="Times New Roman" w:asciiTheme="majorEastAsia" w:hAnsiTheme="majorEastAsia" w:eastAsiaTheme="majorEastAsia"/>
          <w:color w:val="auto"/>
          <w:sz w:val="24"/>
          <w:szCs w:val="21"/>
        </w:rPr>
        <w:t>呼叫</w:t>
      </w:r>
      <w:r>
        <w:rPr>
          <w:rFonts w:cs="Times New Roman" w:asciiTheme="majorEastAsia" w:hAnsiTheme="majorEastAsia" w:eastAsiaTheme="majorEastAsia"/>
          <w:color w:val="auto"/>
          <w:sz w:val="24"/>
          <w:szCs w:val="21"/>
        </w:rPr>
        <w:t>。</w:t>
      </w:r>
    </w:p>
    <w:p w14:paraId="0B9B103D">
      <w:pPr>
        <w:numPr>
          <w:ilvl w:val="0"/>
          <w:numId w:val="18"/>
        </w:numPr>
        <w:ind w:left="862"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呼叫装移</w:t>
      </w:r>
    </w:p>
    <w:p w14:paraId="70987BEB">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网络</w:t>
      </w:r>
      <w:r>
        <w:rPr>
          <w:rFonts w:cs="Times New Roman" w:asciiTheme="majorEastAsia" w:hAnsiTheme="majorEastAsia" w:eastAsiaTheme="majorEastAsia"/>
          <w:color w:val="auto"/>
          <w:sz w:val="24"/>
          <w:szCs w:val="21"/>
        </w:rPr>
        <w:t>控制中心提供呼叫装移，当某終端没置了呼叫特移后，其他</w:t>
      </w:r>
      <w:r>
        <w:rPr>
          <w:rFonts w:hint="eastAsia" w:cs="Times New Roman" w:asciiTheme="majorEastAsia" w:hAnsiTheme="majorEastAsia" w:eastAsiaTheme="majorEastAsia"/>
          <w:color w:val="auto"/>
          <w:sz w:val="24"/>
          <w:szCs w:val="21"/>
        </w:rPr>
        <w:t>终端</w:t>
      </w:r>
      <w:r>
        <w:rPr>
          <w:rFonts w:cs="Times New Roman" w:asciiTheme="majorEastAsia" w:hAnsiTheme="majorEastAsia" w:eastAsiaTheme="majorEastAsia"/>
          <w:color w:val="auto"/>
          <w:sz w:val="24"/>
          <w:szCs w:val="21"/>
        </w:rPr>
        <w:t>呼叫该终端时，</w:t>
      </w:r>
      <w:r>
        <w:rPr>
          <w:rFonts w:hint="eastAsia" w:cs="Times New Roman" w:asciiTheme="majorEastAsia" w:hAnsiTheme="majorEastAsia" w:eastAsiaTheme="majorEastAsia"/>
          <w:color w:val="auto"/>
          <w:sz w:val="24"/>
          <w:szCs w:val="21"/>
        </w:rPr>
        <w:t>网络</w:t>
      </w:r>
      <w:r>
        <w:rPr>
          <w:rFonts w:cs="Times New Roman" w:asciiTheme="majorEastAsia" w:hAnsiTheme="majorEastAsia" w:eastAsiaTheme="majorEastAsia"/>
          <w:color w:val="auto"/>
          <w:sz w:val="24"/>
          <w:szCs w:val="21"/>
        </w:rPr>
        <w:t>控制中心将呼叫自动转移到指定终端上</w:t>
      </w:r>
      <w:r>
        <w:rPr>
          <w:rFonts w:hint="eastAsia" w:cs="Times New Roman" w:asciiTheme="majorEastAsia" w:hAnsiTheme="majorEastAsia" w:eastAsiaTheme="majorEastAsia"/>
          <w:color w:val="auto"/>
          <w:sz w:val="24"/>
          <w:szCs w:val="21"/>
        </w:rPr>
        <w:t>。</w:t>
      </w:r>
    </w:p>
    <w:p w14:paraId="0D5E6E16">
      <w:pPr>
        <w:pStyle w:val="8"/>
        <w:spacing w:line="240" w:lineRule="auto"/>
        <w:rPr>
          <w:color w:val="auto"/>
        </w:rPr>
      </w:pPr>
      <w:r>
        <w:rPr>
          <w:color w:val="auto"/>
        </w:rPr>
        <w:t>多点资源管理</w:t>
      </w:r>
    </w:p>
    <w:p w14:paraId="4DE4ECF8">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多点资源管理中心通过对MCU媒体交换层设备的资源和业务治理，实现会议调度、会议预约、会议治理、会场治理和会议原始话单输出功能。同时和终端配合，可实现WEB会议预约和主叫呼集等便利的会议召集模式</w:t>
      </w: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通过提供SIP调度接口和Radius认证计费接口能够实现和第三方会议预约系统、第三方认证计费系统对接。</w:t>
      </w:r>
    </w:p>
    <w:p w14:paraId="6F8172E0">
      <w:pPr>
        <w:numPr>
          <w:ilvl w:val="0"/>
          <w:numId w:val="19"/>
        </w:numPr>
        <w:spacing w:before="159" w:after="159"/>
        <w:ind w:left="0"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资源集中管理</w:t>
      </w:r>
    </w:p>
    <w:p w14:paraId="349BEA4E">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多点资源管理中心能够统一治理MCU的所有资源，包括IP/ISDNE1/PSTN端口资源、带宽资源、多画面资源和会议资源。</w:t>
      </w:r>
    </w:p>
    <w:p w14:paraId="5E3B6CFF">
      <w:pPr>
        <w:numPr>
          <w:ilvl w:val="0"/>
          <w:numId w:val="19"/>
        </w:numPr>
        <w:spacing w:before="159" w:after="159"/>
        <w:ind w:left="0"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分级分权管理</w:t>
      </w:r>
    </w:p>
    <w:p w14:paraId="17C13CE1">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多点资源管理中心支持对资源的分级分权管理，用户能够通过RM能够对不同治理级不的人员划分级不和权限，从而实现全网MCU、会场、会议资源的合理利用和爱护。</w:t>
      </w:r>
    </w:p>
    <w:p w14:paraId="7727A63C">
      <w:pPr>
        <w:numPr>
          <w:ilvl w:val="0"/>
          <w:numId w:val="19"/>
        </w:numPr>
        <w:spacing w:before="159" w:after="159"/>
        <w:ind w:left="0"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会议统一调度</w:t>
      </w:r>
    </w:p>
    <w:p w14:paraId="5686D77C">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多点资源管理中心能够按照用户需求来调度视频会议、语音会议和数据会议或它们的混和会议，同时也能够调度混和接入方式(IP/ISDN/E1/PSTN)的会议，用户召集会议时不需要明白其它会场以何种方式接入，只需要输入各会场号码即可。</w:t>
      </w:r>
    </w:p>
    <w:p w14:paraId="1852A6D8">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多点资源管理中心支持鉴权会议调度和预约会议调度</w:t>
      </w: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用户既能够召集指定号码的会场入会，也能够通过会议密码的方式来对各入会会场进行鉴权。更加灵活的会议调度模式，能够更大程度地满足用户的多样化需求。</w:t>
      </w:r>
    </w:p>
    <w:p w14:paraId="6D9AC95D">
      <w:pPr>
        <w:numPr>
          <w:ilvl w:val="0"/>
          <w:numId w:val="19"/>
        </w:numPr>
        <w:spacing w:before="159" w:after="159"/>
        <w:ind w:left="0"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智能速率适配</w:t>
      </w:r>
    </w:p>
    <w:p w14:paraId="1158EAB5">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多点资源管理中心在调度会议时，会按照各个会场的接入线路、速率、音视频能力和用户的要求，智能地配置会议参数，包括会议速率、多画面路数、音视频协议、速率适配路数等，确保最优的会议成效、最大的资源利用率和最简化的用户操作。</w:t>
      </w:r>
    </w:p>
    <w:p w14:paraId="793FCE98">
      <w:pPr>
        <w:numPr>
          <w:ilvl w:val="0"/>
          <w:numId w:val="19"/>
        </w:numPr>
        <w:spacing w:before="159" w:after="159"/>
        <w:ind w:left="0"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会议预约功能</w:t>
      </w:r>
    </w:p>
    <w:p w14:paraId="05B630FD">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多点资源管理中心可以提供会议预约功能。用户可以自行登录预约网站进行会议的预约。RM会自动根据用户的预约信息进行相关资源的计算和预留</w:t>
      </w: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反馈预约成功或失败信息</w:t>
      </w: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并可在会议资源调度成功后以Email形式通知与会者。在预约会议开始时间自动调度多点会议，在会议结束时间自动结束多点会议并释放相关资源。用户也可以在会议结束前申请延长会议，RM会根据资源情况反馈成功或失败信息。</w:t>
      </w:r>
    </w:p>
    <w:p w14:paraId="77141B40">
      <w:pPr>
        <w:numPr>
          <w:ilvl w:val="0"/>
          <w:numId w:val="19"/>
        </w:numPr>
        <w:spacing w:before="159" w:after="159"/>
        <w:ind w:left="0"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高可靠</w:t>
      </w:r>
      <w:r>
        <w:rPr>
          <w:rFonts w:cs="Times New Roman" w:asciiTheme="majorEastAsia" w:hAnsiTheme="majorEastAsia" w:eastAsiaTheme="majorEastAsia"/>
          <w:color w:val="auto"/>
          <w:sz w:val="24"/>
          <w:szCs w:val="21"/>
        </w:rPr>
        <w:t>与安全性功能</w:t>
      </w:r>
    </w:p>
    <w:p w14:paraId="0C1B9BB4">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多点资源管理中心是不需要对外提供服务的设备，因此可以被放置到维护网内,和业务网(公网)完全隔离，避免受到攻击,确保安全性。</w:t>
      </w:r>
    </w:p>
    <w:p w14:paraId="65E59CC5">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多点资源管理中心在MCU故障导致会议中止时，在MCU恢复后，仍可以自动保持原有会议的调度状态，营理员无需再进行手动调度。</w:t>
      </w:r>
    </w:p>
    <w:p w14:paraId="2B207EBD">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多点资源管理中心支持主备用机热备份，保证业务7x24小时运行不被中断。</w:t>
      </w:r>
    </w:p>
    <w:p w14:paraId="073D7621">
      <w:pPr>
        <w:numPr>
          <w:ilvl w:val="0"/>
          <w:numId w:val="19"/>
        </w:numPr>
        <w:spacing w:before="159" w:after="159"/>
        <w:ind w:left="0"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维护和诊断功能</w:t>
      </w:r>
    </w:p>
    <w:p w14:paraId="4F401D02">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通过多点资源管理中心可以查询各个服务区中MCU的资源情况(各种线路端口、级联端口资源)，并可以查询每个MCU的资源状态、资源使用情况、可用资源情况。</w:t>
      </w:r>
    </w:p>
    <w:p w14:paraId="5F9D1D45">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通过多点资源管理中心可以监控所管理的各个MCU的会议召开情况:与会会场、主席令牌、会场闭音、会场静音、广播会场等信息。</w:t>
      </w:r>
    </w:p>
    <w:p w14:paraId="6AA80D40">
      <w:pPr>
        <w:pStyle w:val="6"/>
        <w:spacing w:line="240" w:lineRule="auto"/>
        <w:rPr>
          <w:color w:val="auto"/>
        </w:rPr>
      </w:pPr>
      <w:bookmarkStart w:id="73" w:name="_Toc83216269"/>
      <w:r>
        <w:rPr>
          <w:rFonts w:hint="eastAsia"/>
          <w:color w:val="auto"/>
        </w:rPr>
        <w:t>GIS赋能</w:t>
      </w:r>
      <w:bookmarkEnd w:id="73"/>
    </w:p>
    <w:p w14:paraId="3BCE7BD0">
      <w:pPr>
        <w:pStyle w:val="7"/>
        <w:spacing w:line="240" w:lineRule="auto"/>
        <w:rPr>
          <w:color w:val="auto"/>
        </w:rPr>
      </w:pPr>
      <w:r>
        <w:rPr>
          <w:rFonts w:hint="eastAsia"/>
          <w:color w:val="auto"/>
        </w:rPr>
        <w:t>数字一张图系统</w:t>
      </w:r>
    </w:p>
    <w:p w14:paraId="0D36D438">
      <w:pPr>
        <w:pStyle w:val="8"/>
        <w:spacing w:line="240" w:lineRule="auto"/>
        <w:rPr>
          <w:color w:val="auto"/>
        </w:rPr>
      </w:pPr>
      <w:r>
        <w:rPr>
          <w:rFonts w:hint="eastAsia"/>
          <w:color w:val="auto"/>
        </w:rPr>
        <w:t>系统概述</w:t>
      </w:r>
    </w:p>
    <w:p w14:paraId="18DFC481">
      <w:pPr>
        <w:ind w:firstLine="480" w:firstLineChars="200"/>
        <w:rPr>
          <w:rFonts w:cs="Arial"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赋能系统</w:t>
      </w:r>
      <w:r>
        <w:rPr>
          <w:rFonts w:hint="eastAsia" w:cs="Arial" w:asciiTheme="majorEastAsia" w:hAnsiTheme="majorEastAsia" w:eastAsiaTheme="majorEastAsia"/>
          <w:color w:val="auto"/>
          <w:sz w:val="24"/>
          <w:szCs w:val="21"/>
        </w:rPr>
        <w:t>以原有福州市时空平台天地图为底板，无需额外开发地理信息系统，直接在线调用福州市时空信息公共服务平台的天地图数据服务。部分区域使用三维引擎在云端渲染三维场景，进行进一步的浏览、查询、分析等综合功能研发。客户端不受操作系统限制，可在多系统移动终端（安卓系统／苹果系统），ＰＣ设备（苹果系统／Windows系统）等任意系统任意浏览器下访问，客户机不需要安装任何环境，任何插件即可直接访问查看，做到了“云端部署，随处运行”。</w:t>
      </w:r>
    </w:p>
    <w:p w14:paraId="0B7DACFC">
      <w:pPr>
        <w:ind w:firstLine="480" w:firstLineChars="200"/>
        <w:rPr>
          <w:rFonts w:cs="Arial" w:asciiTheme="majorEastAsia" w:hAnsiTheme="majorEastAsia" w:eastAsiaTheme="majorEastAsia"/>
          <w:color w:val="auto"/>
          <w:sz w:val="24"/>
          <w:szCs w:val="21"/>
        </w:rPr>
      </w:pPr>
      <w:r>
        <w:rPr>
          <w:rFonts w:cs="Arial" w:asciiTheme="majorEastAsia" w:hAnsiTheme="majorEastAsia" w:eastAsiaTheme="majorEastAsia"/>
          <w:color w:val="auto"/>
          <w:sz w:val="24"/>
          <w:szCs w:val="21"/>
        </w:rPr>
        <w:t>GIS赋能系统</w:t>
      </w:r>
      <w:r>
        <w:rPr>
          <w:rFonts w:hint="eastAsia" w:cs="Arial" w:asciiTheme="majorEastAsia" w:hAnsiTheme="majorEastAsia" w:eastAsiaTheme="majorEastAsia"/>
          <w:color w:val="auto"/>
          <w:sz w:val="24"/>
          <w:szCs w:val="21"/>
        </w:rPr>
        <w:t>作为GIS应用的基础系统，服务于城市体检综合管理的应用，为其提供GIS基础应用服务。数字化一张图在线调用福州市时空信息公共服务平台的天地图数据（显示比例1：2000）和部分区域三维地图服务，实现二维/三维空间信息数据的浏览、联动、导航。具体包括：二维浏览、三维浏览、二维查询、三维查询、二维分析、三维分析、地图标注、二三维一体化、系统设置、三维天气模式等。其中三维地图模式应用于部分社区。</w:t>
      </w:r>
    </w:p>
    <w:p w14:paraId="6E459DAC">
      <w:pPr>
        <w:pStyle w:val="8"/>
        <w:spacing w:line="240" w:lineRule="auto"/>
        <w:rPr>
          <w:color w:val="auto"/>
        </w:rPr>
      </w:pPr>
      <w:r>
        <w:rPr>
          <w:rFonts w:hint="eastAsia"/>
          <w:color w:val="auto"/>
        </w:rPr>
        <w:t>二维浏览</w:t>
      </w:r>
    </w:p>
    <w:p w14:paraId="733CD017">
      <w:pPr>
        <w:pStyle w:val="3"/>
        <w:spacing w:line="240" w:lineRule="auto"/>
        <w:rPr>
          <w:color w:val="auto"/>
        </w:rPr>
      </w:pPr>
      <w:r>
        <w:rPr>
          <w:rFonts w:hint="eastAsia"/>
          <w:color w:val="auto"/>
        </w:rPr>
        <w:t>基础功能</w:t>
      </w:r>
    </w:p>
    <w:p w14:paraId="185391A4">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主要是包括地图的放大、缩小、平移、全图显示、鹰眼图、测距、测面、清除等地图的基础操作功能。其中：</w:t>
      </w:r>
    </w:p>
    <w:p w14:paraId="5D52DBCA">
      <w:pPr>
        <w:numPr>
          <w:ilvl w:val="0"/>
          <w:numId w:val="2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放大功能是将地图显示区域按比例尺放大。鼠标左键单击放大按钮，在地图显示主视图区域单击或左键框选进行放大。</w:t>
      </w:r>
    </w:p>
    <w:p w14:paraId="3AA628B0">
      <w:pPr>
        <w:numPr>
          <w:ilvl w:val="0"/>
          <w:numId w:val="2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缩小功能是将地图显示区域按比例尺缩小。鼠标左键单击缩小按钮，在地图显示主视图区域单击或左键框选进行缩小。</w:t>
      </w:r>
    </w:p>
    <w:p w14:paraId="3BFEF7B4">
      <w:pPr>
        <w:numPr>
          <w:ilvl w:val="0"/>
          <w:numId w:val="2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平移功能是将地图显示区域移动。鼠标左键单击平移按钮，在地图显示主视图区域单击或左键框选进行移动。</w:t>
      </w:r>
    </w:p>
    <w:p w14:paraId="58C3D0CA">
      <w:pPr>
        <w:numPr>
          <w:ilvl w:val="0"/>
          <w:numId w:val="2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全图显示是将地图缩放到全图状态显示。</w:t>
      </w:r>
    </w:p>
    <w:p w14:paraId="4921F3A6">
      <w:pPr>
        <w:numPr>
          <w:ilvl w:val="0"/>
          <w:numId w:val="2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鹰眼图功能是在地图右下角可以显示或隐藏鹰眼视图窗口。</w:t>
      </w:r>
    </w:p>
    <w:p w14:paraId="2A6FB7DE">
      <w:pPr>
        <w:numPr>
          <w:ilvl w:val="0"/>
          <w:numId w:val="2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测距功能是在地图上移动鼠标并点击，系统实时显示多个点之间的折线的距离，双击结束。</w:t>
      </w:r>
    </w:p>
    <w:p w14:paraId="6A3E6E95">
      <w:pPr>
        <w:numPr>
          <w:ilvl w:val="0"/>
          <w:numId w:val="2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测面功能是在地图上移动鼠标并点击，系统实时显示多个点之间组成的封闭区域的面积，双击结束。</w:t>
      </w:r>
    </w:p>
    <w:p w14:paraId="710E589C">
      <w:pPr>
        <w:numPr>
          <w:ilvl w:val="0"/>
          <w:numId w:val="2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清除操作将删除利用地图操作在地图视图区域内留下的点、线、面等元素，通过点击工具栏的清除按钮即可清除之前选择的。</w:t>
      </w:r>
    </w:p>
    <w:p w14:paraId="317BD6CA">
      <w:pPr>
        <w:pStyle w:val="3"/>
        <w:spacing w:line="240" w:lineRule="auto"/>
        <w:rPr>
          <w:color w:val="auto"/>
        </w:rPr>
      </w:pPr>
      <w:r>
        <w:rPr>
          <w:rFonts w:hint="eastAsia"/>
          <w:color w:val="auto"/>
        </w:rPr>
        <w:t>图层控制</w:t>
      </w:r>
    </w:p>
    <w:p w14:paraId="0946F437">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图层控制是在地图上配置专题数据图层，然后采用图层控制的方式，可选择地显示不同专题数据图层。</w:t>
      </w:r>
    </w:p>
    <w:p w14:paraId="0F8C9A88">
      <w:pPr>
        <w:pStyle w:val="8"/>
        <w:spacing w:line="240" w:lineRule="auto"/>
        <w:rPr>
          <w:color w:val="auto"/>
        </w:rPr>
      </w:pPr>
      <w:r>
        <w:rPr>
          <w:rFonts w:hint="eastAsia"/>
          <w:color w:val="auto"/>
        </w:rPr>
        <w:t>三维浏览</w:t>
      </w:r>
    </w:p>
    <w:p w14:paraId="671CFBE3">
      <w:pPr>
        <w:numPr>
          <w:ilvl w:val="0"/>
          <w:numId w:val="21"/>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基础功能</w:t>
      </w:r>
    </w:p>
    <w:p w14:paraId="21E65856">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基础功能包括三维地图放大、缩小、平移等地图的基础操作功能。其中：</w:t>
      </w:r>
    </w:p>
    <w:p w14:paraId="072AB9E2">
      <w:pPr>
        <w:numPr>
          <w:ilvl w:val="0"/>
          <w:numId w:val="22"/>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放大是将三维地图显示区域按比例尺放大。鼠标左键单击放大按钮，在地图显示主视图区域单击或左键框选进行放大。</w:t>
      </w:r>
    </w:p>
    <w:p w14:paraId="78C7DAC1">
      <w:pPr>
        <w:numPr>
          <w:ilvl w:val="0"/>
          <w:numId w:val="22"/>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缩小是将三维地图显示区域按比例尺缩小。鼠标左键单击缩小按钮，在地图显示主视图区域单击或左键框选进行缩小。</w:t>
      </w:r>
    </w:p>
    <w:p w14:paraId="74C4FEF1">
      <w:pPr>
        <w:numPr>
          <w:ilvl w:val="0"/>
          <w:numId w:val="22"/>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平移是将地图显示区域移动。鼠标左键单击平移按钮，在地图显示主视图区域单击或左键框选进行移动。</w:t>
      </w:r>
    </w:p>
    <w:p w14:paraId="54309BFC">
      <w:pPr>
        <w:numPr>
          <w:ilvl w:val="0"/>
          <w:numId w:val="21"/>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全图显示</w:t>
      </w:r>
    </w:p>
    <w:p w14:paraId="5D86F5D7">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将地图缩放到全图状态显示。</w:t>
      </w:r>
    </w:p>
    <w:p w14:paraId="4CBDCDC4">
      <w:pPr>
        <w:numPr>
          <w:ilvl w:val="0"/>
          <w:numId w:val="21"/>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特定场景</w:t>
      </w:r>
    </w:p>
    <w:p w14:paraId="7EC16D51">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点击特定场景的缩略图，地图窗口自动定位到特定场景的位置上。</w:t>
      </w:r>
    </w:p>
    <w:p w14:paraId="68BF39C2">
      <w:pPr>
        <w:numPr>
          <w:ilvl w:val="0"/>
          <w:numId w:val="21"/>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分层设色统计查询</w:t>
      </w:r>
    </w:p>
    <w:p w14:paraId="673A2EEA">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系统支持分层设色统计查询，其按不同属性类型对数据进行分类统计，并按不同的颜色显示分类统计的结果。</w:t>
      </w:r>
    </w:p>
    <w:p w14:paraId="5D1C8EE3">
      <w:pPr>
        <w:numPr>
          <w:ilvl w:val="0"/>
          <w:numId w:val="21"/>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半透明化</w:t>
      </w:r>
    </w:p>
    <w:p w14:paraId="016B4CA6">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点击半透明化按钮切换场景中的显示透明度，利用半透明化符号表示表层的模型和图层，使得多图层数据可同时叠加显示，增强可视化效果。</w:t>
      </w:r>
    </w:p>
    <w:p w14:paraId="5C21A0A8">
      <w:pPr>
        <w:numPr>
          <w:ilvl w:val="0"/>
          <w:numId w:val="21"/>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三维漫游</w:t>
      </w:r>
    </w:p>
    <w:p w14:paraId="237FD4D9">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系统支持三维漫游，支持360旋转。</w:t>
      </w:r>
    </w:p>
    <w:p w14:paraId="111D3D9E">
      <w:pPr>
        <w:numPr>
          <w:ilvl w:val="0"/>
          <w:numId w:val="21"/>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三维飞行</w:t>
      </w:r>
    </w:p>
    <w:p w14:paraId="343CDD10">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系统支持三维飞行。</w:t>
      </w:r>
    </w:p>
    <w:p w14:paraId="41673EA3">
      <w:pPr>
        <w:numPr>
          <w:ilvl w:val="0"/>
          <w:numId w:val="21"/>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三维步行</w:t>
      </w:r>
    </w:p>
    <w:p w14:paraId="6ECF986B">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系统功能支持在有楼宇BIM的模型中的步行模式。</w:t>
      </w:r>
    </w:p>
    <w:p w14:paraId="2690EADA">
      <w:pPr>
        <w:pStyle w:val="8"/>
        <w:spacing w:line="240" w:lineRule="auto"/>
        <w:rPr>
          <w:color w:val="auto"/>
        </w:rPr>
      </w:pPr>
      <w:r>
        <w:rPr>
          <w:rFonts w:hint="eastAsia"/>
          <w:color w:val="auto"/>
        </w:rPr>
        <w:t>二维查询</w:t>
      </w:r>
    </w:p>
    <w:p w14:paraId="579D034D">
      <w:pPr>
        <w:numPr>
          <w:ilvl w:val="0"/>
          <w:numId w:val="23"/>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兴趣点查询</w:t>
      </w:r>
    </w:p>
    <w:p w14:paraId="17914D07">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实现对兴趣点名称的模糊查询，并根据查询结果在地图上定位。输入关键字时，系统自动匹配结果，供用户参考。查询后结果有两种形式，一是以列表的形式列出所有的兴趣点；二是在地图上展示各兴趣点的位置。两者间通过定位的方式实现关联。</w:t>
      </w:r>
    </w:p>
    <w:p w14:paraId="56818791">
      <w:pPr>
        <w:numPr>
          <w:ilvl w:val="0"/>
          <w:numId w:val="23"/>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属性查询</w:t>
      </w:r>
    </w:p>
    <w:p w14:paraId="74DD0656">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按照属性进行兴趣点的搜索，查询后结果有两种形式，一是以列表的形式列出所有的结果；二是在地图上展示查询结果。两者间通过定位的方式实现关联。</w:t>
      </w:r>
    </w:p>
    <w:p w14:paraId="77DFC74F">
      <w:pPr>
        <w:numPr>
          <w:ilvl w:val="0"/>
          <w:numId w:val="23"/>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分类查询</w:t>
      </w:r>
    </w:p>
    <w:p w14:paraId="7AF5E1E5">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按餐饮、车辆、安防、消防等类型进行兴趣点的搜索，并根据查询结果在地图上定位。查询后结果有两种形式，一是以列表的形式列出所有的结果；二是在地图上展示各兴趣点的位置。两者间通过定位的方式实现关联。</w:t>
      </w:r>
    </w:p>
    <w:p w14:paraId="01BAA204">
      <w:pPr>
        <w:numPr>
          <w:ilvl w:val="0"/>
          <w:numId w:val="23"/>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视野内搜索</w:t>
      </w:r>
    </w:p>
    <w:p w14:paraId="27D15FEC">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按地图视野范围内进行兴趣点的搜索。查询后结果有两种形式，一是以列表的形式列出所有的兴趣点；二是在地图上展示各兴趣点的位置。两者间通过定位的方式实现关联。</w:t>
      </w:r>
    </w:p>
    <w:p w14:paraId="253F6EC9">
      <w:pPr>
        <w:numPr>
          <w:ilvl w:val="0"/>
          <w:numId w:val="23"/>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周边查询</w:t>
      </w:r>
    </w:p>
    <w:p w14:paraId="7F789C0A">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周边查询功能是对指定的位置，查询周边地物（兴趣点）的分布情况。</w:t>
      </w:r>
    </w:p>
    <w:p w14:paraId="3C308BA2">
      <w:pPr>
        <w:pStyle w:val="8"/>
        <w:spacing w:line="240" w:lineRule="auto"/>
        <w:rPr>
          <w:color w:val="auto"/>
        </w:rPr>
      </w:pPr>
      <w:r>
        <w:rPr>
          <w:rFonts w:hint="eastAsia"/>
          <w:color w:val="auto"/>
        </w:rPr>
        <w:t>三维查询</w:t>
      </w:r>
    </w:p>
    <w:p w14:paraId="5F3F2649">
      <w:pPr>
        <w:numPr>
          <w:ilvl w:val="0"/>
          <w:numId w:val="24"/>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三维兴趣点查询</w:t>
      </w:r>
    </w:p>
    <w:p w14:paraId="48159544">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根据提供的信息（如名称、类型等），快速搜索到该处。或通过选取地物定位到该处。点击查询结果，地图窗口自动定位到对应的模型位置上。</w:t>
      </w:r>
    </w:p>
    <w:p w14:paraId="66478535">
      <w:pPr>
        <w:numPr>
          <w:ilvl w:val="0"/>
          <w:numId w:val="24"/>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名称查询</w:t>
      </w:r>
    </w:p>
    <w:p w14:paraId="182A09A7">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支持输入名称进行查询，点击查询的结果可以定位。</w:t>
      </w:r>
    </w:p>
    <w:p w14:paraId="4EDE553D">
      <w:pPr>
        <w:numPr>
          <w:ilvl w:val="0"/>
          <w:numId w:val="24"/>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坐标查询</w:t>
      </w:r>
    </w:p>
    <w:p w14:paraId="2CB175AE">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在三维空间中支持对场景中对坐标进行查询。</w:t>
      </w:r>
    </w:p>
    <w:p w14:paraId="1E384B77">
      <w:pPr>
        <w:pStyle w:val="8"/>
        <w:spacing w:line="240" w:lineRule="auto"/>
        <w:rPr>
          <w:color w:val="auto"/>
        </w:rPr>
      </w:pPr>
      <w:r>
        <w:rPr>
          <w:rFonts w:hint="eastAsia"/>
          <w:color w:val="auto"/>
        </w:rPr>
        <w:t>二维分析</w:t>
      </w:r>
    </w:p>
    <w:p w14:paraId="270EF324">
      <w:pPr>
        <w:numPr>
          <w:ilvl w:val="0"/>
          <w:numId w:val="25"/>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缓冲区分析</w:t>
      </w:r>
    </w:p>
    <w:p w14:paraId="42027456">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缓冲区分析从数据库中找出所满足属性约束条件和空间约束条件的地理对象或数据内容。</w:t>
      </w:r>
    </w:p>
    <w:p w14:paraId="29E2CD0E">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主要提供点查询、拉框查询、圆形查询、多边形查询、点周边查询、线周边查询等，可以查询缓冲区范围内用户关注的信息。</w:t>
      </w:r>
    </w:p>
    <w:p w14:paraId="086D25B9">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点查询、拉框查询、圆形查询、多边形查询、点周边查询、线周边查询区别在于空间约束条件不一，以上几种方式由用户在地图上自定义。</w:t>
      </w:r>
    </w:p>
    <w:p w14:paraId="6B6CD70C">
      <w:pPr>
        <w:numPr>
          <w:ilvl w:val="0"/>
          <w:numId w:val="25"/>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叠加分析</w:t>
      </w:r>
    </w:p>
    <w:p w14:paraId="124761C1">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叠加分析就是将同一地区的两层或多层地图要素重叠在一起进行图层和属性运算，产生新的图层和属性的过程。</w:t>
      </w:r>
    </w:p>
    <w:p w14:paraId="5BB2C4DE">
      <w:pPr>
        <w:numPr>
          <w:ilvl w:val="0"/>
          <w:numId w:val="25"/>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自定义分析</w:t>
      </w:r>
    </w:p>
    <w:p w14:paraId="7A7AE6B5">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自定义分析提供方便快捷的数据分析方式，帮助用户对需要查询的数据进行快速选取与设置统计公式等。</w:t>
      </w:r>
    </w:p>
    <w:p w14:paraId="4DBF1247">
      <w:pPr>
        <w:numPr>
          <w:ilvl w:val="0"/>
          <w:numId w:val="25"/>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按需测量</w:t>
      </w:r>
    </w:p>
    <w:p w14:paraId="40DF8964">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实现数据的测量功能，包括地物尺寸：地物的长宽高量测；空间坐标：提供地物的空间坐标的量测。</w:t>
      </w:r>
    </w:p>
    <w:p w14:paraId="58342351">
      <w:pPr>
        <w:pStyle w:val="8"/>
        <w:spacing w:line="240" w:lineRule="auto"/>
        <w:rPr>
          <w:color w:val="auto"/>
        </w:rPr>
      </w:pPr>
      <w:r>
        <w:rPr>
          <w:rFonts w:hint="eastAsia"/>
          <w:color w:val="auto"/>
        </w:rPr>
        <w:t>三维分析</w:t>
      </w:r>
    </w:p>
    <w:p w14:paraId="70F9AA70">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支持三维量测（水平量测、高度量测、面积量测等）、缓冲分析、通视分析等三维分析功能。</w:t>
      </w:r>
    </w:p>
    <w:p w14:paraId="62F2687F">
      <w:pPr>
        <w:numPr>
          <w:ilvl w:val="0"/>
          <w:numId w:val="26"/>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水平测距</w:t>
      </w:r>
    </w:p>
    <w:p w14:paraId="23B52300">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在三维场景中进行水平距离量测。</w:t>
      </w:r>
    </w:p>
    <w:p w14:paraId="7BFF6AC4">
      <w:pPr>
        <w:numPr>
          <w:ilvl w:val="0"/>
          <w:numId w:val="26"/>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垂直测距</w:t>
      </w:r>
    </w:p>
    <w:p w14:paraId="0970EA81">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在三维场景中进行垂直距离量测。</w:t>
      </w:r>
    </w:p>
    <w:p w14:paraId="141C3A38">
      <w:pPr>
        <w:numPr>
          <w:ilvl w:val="0"/>
          <w:numId w:val="26"/>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直线测距</w:t>
      </w:r>
    </w:p>
    <w:p w14:paraId="3518AED9">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在三维场景中进行两点间直线距离量测。</w:t>
      </w:r>
    </w:p>
    <w:p w14:paraId="6AEB39EA">
      <w:pPr>
        <w:numPr>
          <w:ilvl w:val="0"/>
          <w:numId w:val="26"/>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距离测量</w:t>
      </w:r>
    </w:p>
    <w:p w14:paraId="6D695B3F">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两点间的距离量测（可以是非直线）。</w:t>
      </w:r>
    </w:p>
    <w:p w14:paraId="2DF472F3">
      <w:pPr>
        <w:numPr>
          <w:ilvl w:val="0"/>
          <w:numId w:val="26"/>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面积测量</w:t>
      </w:r>
    </w:p>
    <w:p w14:paraId="6CE9C193">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在三维场景中进行表面积的量测。</w:t>
      </w:r>
    </w:p>
    <w:p w14:paraId="530F5FD4">
      <w:pPr>
        <w:numPr>
          <w:ilvl w:val="0"/>
          <w:numId w:val="26"/>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投影面积</w:t>
      </w:r>
    </w:p>
    <w:p w14:paraId="59A067A8">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在三维场景中进行投影面积的量测。</w:t>
      </w:r>
    </w:p>
    <w:p w14:paraId="5FF819C5">
      <w:pPr>
        <w:numPr>
          <w:ilvl w:val="0"/>
          <w:numId w:val="26"/>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缓冲分析</w:t>
      </w:r>
    </w:p>
    <w:p w14:paraId="32D4E6D5">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在三维场景中进行缓冲区分析，可根据缓冲半径，将缓冲区内要素对象以统计列表展示，并高亮。</w:t>
      </w:r>
    </w:p>
    <w:p w14:paraId="3108657F">
      <w:pPr>
        <w:numPr>
          <w:ilvl w:val="0"/>
          <w:numId w:val="26"/>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通视分析</w:t>
      </w:r>
    </w:p>
    <w:p w14:paraId="2030AF09">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在三维场景中支持通视分析，支持分析建筑的遮挡情况。</w:t>
      </w:r>
    </w:p>
    <w:p w14:paraId="0437E3A1">
      <w:pPr>
        <w:numPr>
          <w:ilvl w:val="0"/>
          <w:numId w:val="26"/>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标注样式透明类型</w:t>
      </w:r>
    </w:p>
    <w:p w14:paraId="6F3BF280">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可设置标注的点、线、面的透明度。</w:t>
      </w:r>
    </w:p>
    <w:p w14:paraId="2493C2A4">
      <w:pPr>
        <w:numPr>
          <w:ilvl w:val="0"/>
          <w:numId w:val="26"/>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日照分析</w:t>
      </w:r>
    </w:p>
    <w:p w14:paraId="10CB45EF">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输入三维建筑物模型、影像图等数据，通过设定需要分析日照的具体时间和时间段间隔，生成相应的建筑日照区域和阴影区域，基于此结果对照国家相应规范，判断建筑物是否符合日照条件。</w:t>
      </w:r>
    </w:p>
    <w:p w14:paraId="6F28DF87">
      <w:pPr>
        <w:numPr>
          <w:ilvl w:val="0"/>
          <w:numId w:val="26"/>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点标注</w:t>
      </w:r>
    </w:p>
    <w:p w14:paraId="59921ED7">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选中标注的图层后，可以添加点标注，可以修改、删除已有的点标注。</w:t>
      </w:r>
    </w:p>
    <w:p w14:paraId="5655100A">
      <w:pPr>
        <w:numPr>
          <w:ilvl w:val="0"/>
          <w:numId w:val="26"/>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视域分析</w:t>
      </w:r>
    </w:p>
    <w:p w14:paraId="2E086BEB">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在三维场景中提供范围区域内对视线造成遮挡的情况分析功能，以选定地点作为视点位置，分析视线所能到达的区域范围内建筑物对视线的遮挡情况，并直观展示。</w:t>
      </w:r>
    </w:p>
    <w:p w14:paraId="239767C6">
      <w:pPr>
        <w:pStyle w:val="8"/>
        <w:spacing w:line="240" w:lineRule="auto"/>
        <w:rPr>
          <w:color w:val="auto"/>
        </w:rPr>
      </w:pPr>
      <w:r>
        <w:rPr>
          <w:rFonts w:hint="eastAsia"/>
          <w:color w:val="auto"/>
        </w:rPr>
        <w:t>地图标注</w:t>
      </w:r>
    </w:p>
    <w:p w14:paraId="1B1ED51F">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标注用户感兴趣的内容或要素，记录用户感兴趣的内容或要素，并对标注进行管理。可添加的标绘类型有点、线、面三种类型，可以对标绘进行样式的设置和上传图片。</w:t>
      </w:r>
    </w:p>
    <w:p w14:paraId="36E758E1">
      <w:pPr>
        <w:numPr>
          <w:ilvl w:val="0"/>
          <w:numId w:val="27"/>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线标注</w:t>
      </w:r>
    </w:p>
    <w:p w14:paraId="63689EF4">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选中标注的图层后，可以添加线标注，可以修改、删除已有的线标注。</w:t>
      </w:r>
    </w:p>
    <w:p w14:paraId="7E042A7D">
      <w:pPr>
        <w:numPr>
          <w:ilvl w:val="0"/>
          <w:numId w:val="27"/>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面标注</w:t>
      </w:r>
    </w:p>
    <w:p w14:paraId="3C078BA1">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选中标注的图层后，可以添加面标注，可以修改、删除已有的面标注。</w:t>
      </w:r>
    </w:p>
    <w:p w14:paraId="2A0EC7D1">
      <w:pPr>
        <w:numPr>
          <w:ilvl w:val="0"/>
          <w:numId w:val="27"/>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点、线、面符号样式</w:t>
      </w:r>
    </w:p>
    <w:p w14:paraId="1DC40709">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可设置标注的点、线、面的符号样式。</w:t>
      </w:r>
    </w:p>
    <w:p w14:paraId="6C3F3033">
      <w:pPr>
        <w:numPr>
          <w:ilvl w:val="0"/>
          <w:numId w:val="27"/>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标注效果自定义</w:t>
      </w:r>
    </w:p>
    <w:p w14:paraId="0ACDCD4E">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可以自定义增加、删除、修改以存在的点、线、面的符号样式，增加展示的效果。</w:t>
      </w:r>
    </w:p>
    <w:p w14:paraId="38C05017">
      <w:pPr>
        <w:pStyle w:val="8"/>
        <w:spacing w:line="240" w:lineRule="auto"/>
        <w:rPr>
          <w:color w:val="auto"/>
        </w:rPr>
      </w:pPr>
      <w:r>
        <w:rPr>
          <w:rFonts w:hint="eastAsia"/>
          <w:color w:val="auto"/>
        </w:rPr>
        <w:t>二三维一体化</w:t>
      </w:r>
    </w:p>
    <w:p w14:paraId="4F896854">
      <w:pPr>
        <w:numPr>
          <w:ilvl w:val="0"/>
          <w:numId w:val="28"/>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二维与三维在数据模型一体化</w:t>
      </w:r>
    </w:p>
    <w:p w14:paraId="2846B27C">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三维场景中的地物都对应于二维图层中的某一矢量图或模型点。</w:t>
      </w:r>
    </w:p>
    <w:p w14:paraId="16AC0B92">
      <w:pPr>
        <w:numPr>
          <w:ilvl w:val="0"/>
          <w:numId w:val="28"/>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二维与三维在数据结构一体化</w:t>
      </w:r>
    </w:p>
    <w:p w14:paraId="1FC1DDA3">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三维GIS平台通过WFS共享二维GIS平台的矢量数据源，在数据变化时，通过这种对应保证二三维GIS平台数据的一致性，可实现数据操作层面二三维联动。</w:t>
      </w:r>
    </w:p>
    <w:p w14:paraId="2053AE8A">
      <w:pPr>
        <w:numPr>
          <w:ilvl w:val="0"/>
          <w:numId w:val="28"/>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坐标转换</w:t>
      </w:r>
    </w:p>
    <w:p w14:paraId="6C144456">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通过坐标转换机制，使二维图层中的地理坐标与三维场景的空间位置相对应，并通过交互时的事件触发机制保持其位置变化时的同步，实现数据可视化层面二三维联动。</w:t>
      </w:r>
    </w:p>
    <w:p w14:paraId="22C7C4D9">
      <w:pPr>
        <w:numPr>
          <w:ilvl w:val="0"/>
          <w:numId w:val="28"/>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三维环境中直接操作二维GIS分析</w:t>
      </w:r>
    </w:p>
    <w:p w14:paraId="4DC38B9A">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在进行空间分析时，二维GIS平台提供高级空间分析功能，通过相应的接口完成空间分析，并返回分析结果(Layer、统计报表等)，三维GIS平台通过数据加载功能将分析结果加载到三维GIS平台，使得二维高级空间分析结果能在三维GIS平台上直观展示，达到数据编辑的一致性和空间分析结果展示的一致性。</w:t>
      </w:r>
    </w:p>
    <w:p w14:paraId="15F142ED">
      <w:pPr>
        <w:pStyle w:val="8"/>
        <w:spacing w:line="240" w:lineRule="auto"/>
        <w:rPr>
          <w:color w:val="auto"/>
        </w:rPr>
      </w:pPr>
      <w:r>
        <w:rPr>
          <w:rFonts w:hint="eastAsia"/>
          <w:color w:val="auto"/>
        </w:rPr>
        <w:t>系统设置</w:t>
      </w:r>
    </w:p>
    <w:p w14:paraId="170D9BBF">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系统设置包括漫游快捷键设置、报警灯开关、报警声音控制、数据面板开关等功能。</w:t>
      </w:r>
    </w:p>
    <w:p w14:paraId="079FC3A7">
      <w:pPr>
        <w:numPr>
          <w:ilvl w:val="0"/>
          <w:numId w:val="29"/>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快捷键设置</w:t>
      </w:r>
    </w:p>
    <w:p w14:paraId="6D764519">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支持漫游快捷键的设置功能。</w:t>
      </w:r>
    </w:p>
    <w:p w14:paraId="4A48D43E">
      <w:pPr>
        <w:numPr>
          <w:ilvl w:val="0"/>
          <w:numId w:val="29"/>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数据面板开关</w:t>
      </w:r>
    </w:p>
    <w:p w14:paraId="3DA2B60E">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支持数据面板开关设置。</w:t>
      </w:r>
    </w:p>
    <w:p w14:paraId="4C31CA6C">
      <w:pPr>
        <w:numPr>
          <w:ilvl w:val="0"/>
          <w:numId w:val="29"/>
        </w:numPr>
        <w:spacing w:before="120"/>
        <w:ind w:firstLine="482" w:firstLineChars="200"/>
        <w:rPr>
          <w:rFonts w:cs="Arial" w:asciiTheme="majorEastAsia" w:hAnsiTheme="majorEastAsia" w:eastAsiaTheme="majorEastAsia"/>
          <w:b/>
          <w:color w:val="auto"/>
          <w:sz w:val="24"/>
          <w:szCs w:val="21"/>
        </w:rPr>
      </w:pPr>
      <w:r>
        <w:rPr>
          <w:rFonts w:hint="eastAsia" w:cs="Arial" w:asciiTheme="majorEastAsia" w:hAnsiTheme="majorEastAsia" w:eastAsiaTheme="majorEastAsia"/>
          <w:b/>
          <w:color w:val="auto"/>
          <w:sz w:val="24"/>
          <w:szCs w:val="21"/>
        </w:rPr>
        <w:t>图层管理</w:t>
      </w:r>
    </w:p>
    <w:p w14:paraId="01D329BE">
      <w:pPr>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ab/>
      </w:r>
      <w:r>
        <w:rPr>
          <w:rFonts w:hint="eastAsia" w:cs="Arial" w:asciiTheme="majorEastAsia" w:hAnsiTheme="majorEastAsia" w:eastAsiaTheme="majorEastAsia"/>
          <w:color w:val="auto"/>
          <w:sz w:val="24"/>
          <w:szCs w:val="21"/>
        </w:rPr>
        <w:t>图层分类列表展示；</w:t>
      </w:r>
    </w:p>
    <w:p w14:paraId="3E19CF8C">
      <w:pPr>
        <w:numPr>
          <w:ilvl w:val="0"/>
          <w:numId w:val="3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系统提供根据不同的权限显示相应权限的图层；</w:t>
      </w:r>
    </w:p>
    <w:p w14:paraId="2E9B9313">
      <w:pPr>
        <w:numPr>
          <w:ilvl w:val="0"/>
          <w:numId w:val="3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提供根据不同的应用设置显示相应的图层信息；</w:t>
      </w:r>
    </w:p>
    <w:p w14:paraId="4089A870">
      <w:pPr>
        <w:numPr>
          <w:ilvl w:val="0"/>
          <w:numId w:val="30"/>
        </w:numPr>
        <w:ind w:firstLine="420" w:firstLineChars="175"/>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系统提供可自行关闭、打开、透明度控制，并能将设置好的图层进行个性化保存设置。</w:t>
      </w:r>
    </w:p>
    <w:p w14:paraId="2F6B58ED">
      <w:pPr>
        <w:pStyle w:val="7"/>
        <w:spacing w:line="240" w:lineRule="auto"/>
        <w:rPr>
          <w:color w:val="auto"/>
        </w:rPr>
      </w:pPr>
      <w:r>
        <w:rPr>
          <w:rFonts w:hint="eastAsia"/>
          <w:color w:val="auto"/>
        </w:rPr>
        <w:t>部门辖区可视化系统</w:t>
      </w:r>
    </w:p>
    <w:p w14:paraId="73ACAA49">
      <w:pPr>
        <w:pStyle w:val="8"/>
        <w:spacing w:line="240" w:lineRule="auto"/>
        <w:rPr>
          <w:color w:val="auto"/>
        </w:rPr>
      </w:pPr>
      <w:r>
        <w:rPr>
          <w:rFonts w:hint="eastAsia"/>
          <w:color w:val="auto"/>
        </w:rPr>
        <w:t>临时工程管理模块</w:t>
      </w:r>
    </w:p>
    <w:p w14:paraId="38C3C366">
      <w:pPr>
        <w:pStyle w:val="3"/>
        <w:spacing w:line="240" w:lineRule="auto"/>
        <w:rPr>
          <w:color w:val="auto"/>
        </w:rPr>
      </w:pPr>
      <w:r>
        <w:rPr>
          <w:rFonts w:hint="eastAsia"/>
          <w:color w:val="auto"/>
        </w:rPr>
        <w:t>图层绘制</w:t>
      </w:r>
    </w:p>
    <w:p w14:paraId="18C5DD6C">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通过地图上选点，系统实现根据所选类型的图层自动生成连线。</w:t>
      </w:r>
    </w:p>
    <w:p w14:paraId="0E5CB79E">
      <w:pPr>
        <w:pStyle w:val="3"/>
        <w:spacing w:line="240" w:lineRule="auto"/>
        <w:rPr>
          <w:color w:val="auto"/>
        </w:rPr>
      </w:pPr>
      <w:r>
        <w:rPr>
          <w:rFonts w:hint="eastAsia"/>
          <w:color w:val="auto"/>
        </w:rPr>
        <w:t>临时工程部件关联</w:t>
      </w:r>
    </w:p>
    <w:p w14:paraId="0F66D1F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临时工程内的城市管理部件进行管理</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该临时工程内的事部件将自动移交临时工程的施工单位负责</w:t>
      </w:r>
      <w:r>
        <w:rPr>
          <w:rFonts w:cs="Times New Roman" w:asciiTheme="majorEastAsia" w:hAnsiTheme="majorEastAsia" w:eastAsiaTheme="majorEastAsia"/>
          <w:color w:val="auto"/>
          <w:sz w:val="24"/>
          <w:szCs w:val="21"/>
        </w:rPr>
        <w:t>。</w:t>
      </w:r>
    </w:p>
    <w:p w14:paraId="693E4CB7">
      <w:pPr>
        <w:pStyle w:val="3"/>
        <w:spacing w:line="240" w:lineRule="auto"/>
        <w:rPr>
          <w:color w:val="auto"/>
        </w:rPr>
      </w:pPr>
      <w:r>
        <w:rPr>
          <w:rFonts w:hint="eastAsia"/>
          <w:color w:val="auto"/>
        </w:rPr>
        <w:t>工程手动移交</w:t>
      </w:r>
    </w:p>
    <w:p w14:paraId="1DA300E7">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当工程施工完成后，需移交原维护单位，通过点击相应的施工工程，选择“移交”，可实现工程自动移交及手动选择其他维护单位。</w:t>
      </w:r>
    </w:p>
    <w:p w14:paraId="56B9845C">
      <w:pPr>
        <w:pStyle w:val="3"/>
        <w:spacing w:line="240" w:lineRule="auto"/>
        <w:rPr>
          <w:color w:val="auto"/>
        </w:rPr>
      </w:pPr>
      <w:r>
        <w:rPr>
          <w:rFonts w:hint="eastAsia"/>
          <w:color w:val="auto"/>
        </w:rPr>
        <w:t>工程维护周期设定</w:t>
      </w:r>
    </w:p>
    <w:p w14:paraId="2EAB56A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可以通过系统对每个工程进行周期设定</w:t>
      </w:r>
      <w:r>
        <w:rPr>
          <w:rFonts w:cs="Times New Roman" w:asciiTheme="majorEastAsia" w:hAnsiTheme="majorEastAsia" w:eastAsiaTheme="majorEastAsia"/>
          <w:color w:val="auto"/>
          <w:sz w:val="24"/>
          <w:szCs w:val="21"/>
        </w:rPr>
        <w:t>。</w:t>
      </w:r>
    </w:p>
    <w:p w14:paraId="276F3FC7">
      <w:pPr>
        <w:pStyle w:val="3"/>
        <w:spacing w:line="240" w:lineRule="auto"/>
        <w:rPr>
          <w:color w:val="auto"/>
        </w:rPr>
      </w:pPr>
      <w:r>
        <w:rPr>
          <w:rFonts w:hint="eastAsia"/>
          <w:color w:val="auto"/>
        </w:rPr>
        <w:t>工程超期提醒</w:t>
      </w:r>
    </w:p>
    <w:p w14:paraId="7C68D36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当工程超过工程周期</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系统自动提醒所属部门进行移交或延期申请</w:t>
      </w:r>
      <w:r>
        <w:rPr>
          <w:rFonts w:cs="Times New Roman" w:asciiTheme="majorEastAsia" w:hAnsiTheme="majorEastAsia" w:eastAsiaTheme="majorEastAsia"/>
          <w:color w:val="auto"/>
          <w:sz w:val="24"/>
          <w:szCs w:val="21"/>
        </w:rPr>
        <w:t>；</w:t>
      </w:r>
    </w:p>
    <w:p w14:paraId="2BCC5A3B">
      <w:pPr>
        <w:pStyle w:val="3"/>
        <w:spacing w:line="240" w:lineRule="auto"/>
        <w:rPr>
          <w:color w:val="auto"/>
        </w:rPr>
      </w:pPr>
      <w:r>
        <w:rPr>
          <w:rFonts w:hint="eastAsia"/>
          <w:color w:val="auto"/>
        </w:rPr>
        <w:t>临时工程单位设定</w:t>
      </w:r>
    </w:p>
    <w:p w14:paraId="7FC1C92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通过该功能模块可以自由设定临时工程的施工单位</w:t>
      </w:r>
      <w:r>
        <w:rPr>
          <w:rFonts w:cs="宋体" w:asciiTheme="majorEastAsia" w:hAnsiTheme="majorEastAsia" w:eastAsiaTheme="majorEastAsia"/>
          <w:color w:val="auto"/>
          <w:sz w:val="24"/>
          <w:szCs w:val="21"/>
        </w:rPr>
        <w:t>。</w:t>
      </w:r>
    </w:p>
    <w:p w14:paraId="58321F9B">
      <w:pPr>
        <w:pStyle w:val="3"/>
        <w:spacing w:line="240" w:lineRule="auto"/>
        <w:rPr>
          <w:color w:val="auto"/>
        </w:rPr>
      </w:pPr>
      <w:r>
        <w:rPr>
          <w:rFonts w:hint="eastAsia"/>
          <w:color w:val="auto"/>
        </w:rPr>
        <w:t>临时工程图层管理</w:t>
      </w:r>
    </w:p>
    <w:p w14:paraId="790A1B75">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可对施工维护图层列表进行新增、删除、修改、发布。</w:t>
      </w:r>
    </w:p>
    <w:p w14:paraId="5F1D02FF">
      <w:pPr>
        <w:pStyle w:val="8"/>
        <w:spacing w:line="240" w:lineRule="auto"/>
        <w:rPr>
          <w:color w:val="auto"/>
        </w:rPr>
      </w:pPr>
      <w:r>
        <w:rPr>
          <w:rFonts w:hint="eastAsia"/>
          <w:color w:val="auto"/>
        </w:rPr>
        <w:t>非采集区域管理模块</w:t>
      </w:r>
    </w:p>
    <w:p w14:paraId="70563EDE">
      <w:pPr>
        <w:pStyle w:val="3"/>
        <w:spacing w:line="240" w:lineRule="auto"/>
        <w:rPr>
          <w:color w:val="auto"/>
        </w:rPr>
      </w:pPr>
      <w:r>
        <w:rPr>
          <w:rFonts w:hint="eastAsia"/>
          <w:color w:val="auto"/>
        </w:rPr>
        <w:t>图层绘制</w:t>
      </w:r>
    </w:p>
    <w:p w14:paraId="578F9353">
      <w:pPr>
        <w:numPr>
          <w:ilvl w:val="0"/>
          <w:numId w:val="31"/>
        </w:num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连线绘制</w:t>
      </w:r>
      <w:r>
        <w:rPr>
          <w:rFonts w:cs="宋体" w:asciiTheme="majorEastAsia" w:hAnsiTheme="majorEastAsia" w:eastAsiaTheme="majorEastAsia"/>
          <w:color w:val="auto"/>
          <w:sz w:val="24"/>
        </w:rPr>
        <w:t>：</w:t>
      </w:r>
      <w:r>
        <w:rPr>
          <w:rFonts w:hint="eastAsia" w:cs="宋体" w:asciiTheme="majorEastAsia" w:hAnsiTheme="majorEastAsia" w:eastAsiaTheme="majorEastAsia"/>
          <w:color w:val="auto"/>
          <w:sz w:val="24"/>
        </w:rPr>
        <w:t>通过地图上选点，系统实现根据所选类型的图层自动生成连线。</w:t>
      </w:r>
    </w:p>
    <w:p w14:paraId="06E81707">
      <w:pPr>
        <w:numPr>
          <w:ilvl w:val="0"/>
          <w:numId w:val="31"/>
        </w:num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面绘制</w:t>
      </w:r>
      <w:r>
        <w:rPr>
          <w:rFonts w:cs="宋体" w:asciiTheme="majorEastAsia" w:hAnsiTheme="majorEastAsia" w:eastAsiaTheme="majorEastAsia"/>
          <w:color w:val="auto"/>
          <w:sz w:val="24"/>
        </w:rPr>
        <w:t>：</w:t>
      </w:r>
      <w:r>
        <w:rPr>
          <w:rFonts w:hint="eastAsia" w:cs="宋体" w:asciiTheme="majorEastAsia" w:hAnsiTheme="majorEastAsia" w:eastAsiaTheme="majorEastAsia"/>
          <w:color w:val="auto"/>
          <w:sz w:val="24"/>
        </w:rPr>
        <w:t>通过地图上选点，系统实现根据所选类型的图层自动生成面。</w:t>
      </w:r>
    </w:p>
    <w:p w14:paraId="200A47EC">
      <w:pPr>
        <w:pStyle w:val="3"/>
        <w:spacing w:line="240" w:lineRule="auto"/>
        <w:rPr>
          <w:color w:val="auto"/>
        </w:rPr>
      </w:pPr>
      <w:r>
        <w:rPr>
          <w:rFonts w:hint="eastAsia"/>
          <w:color w:val="auto"/>
        </w:rPr>
        <w:t>非采集区部件关联</w:t>
      </w:r>
    </w:p>
    <w:p w14:paraId="2ED02E2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非采集区内的城市管理部件进行管理</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该非采集区域内的部件将不进行受理反馈</w:t>
      </w:r>
      <w:r>
        <w:rPr>
          <w:rFonts w:cs="Times New Roman" w:asciiTheme="majorEastAsia" w:hAnsiTheme="majorEastAsia" w:eastAsiaTheme="majorEastAsia"/>
          <w:color w:val="auto"/>
          <w:sz w:val="24"/>
          <w:szCs w:val="21"/>
        </w:rPr>
        <w:t>。</w:t>
      </w:r>
    </w:p>
    <w:p w14:paraId="307D2686">
      <w:pPr>
        <w:pStyle w:val="3"/>
        <w:spacing w:line="240" w:lineRule="auto"/>
        <w:rPr>
          <w:color w:val="auto"/>
        </w:rPr>
      </w:pPr>
      <w:r>
        <w:rPr>
          <w:rFonts w:hint="eastAsia"/>
          <w:color w:val="auto"/>
        </w:rPr>
        <w:t>非采集区部门设定</w:t>
      </w:r>
    </w:p>
    <w:p w14:paraId="463A5DB9">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对非采集区内的城市管理部件设定相应的部门</w:t>
      </w:r>
      <w:r>
        <w:rPr>
          <w:rFonts w:cs="Times New Roman" w:asciiTheme="majorEastAsia" w:hAnsiTheme="majorEastAsia" w:eastAsiaTheme="majorEastAsia"/>
          <w:color w:val="auto"/>
          <w:sz w:val="24"/>
          <w:szCs w:val="21"/>
        </w:rPr>
        <w:t>。</w:t>
      </w:r>
    </w:p>
    <w:p w14:paraId="19D8F781">
      <w:pPr>
        <w:pStyle w:val="3"/>
        <w:spacing w:line="240" w:lineRule="auto"/>
        <w:rPr>
          <w:color w:val="auto"/>
        </w:rPr>
      </w:pPr>
      <w:r>
        <w:rPr>
          <w:rFonts w:hint="eastAsia"/>
          <w:color w:val="auto"/>
        </w:rPr>
        <w:t>非采集区域周期设定</w:t>
      </w:r>
    </w:p>
    <w:p w14:paraId="19C8E373">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可以通过系统对每个非采集区域的周期进行设定</w:t>
      </w:r>
      <w:r>
        <w:rPr>
          <w:rFonts w:cs="Times New Roman" w:asciiTheme="majorEastAsia" w:hAnsiTheme="majorEastAsia" w:eastAsiaTheme="majorEastAsia"/>
          <w:color w:val="auto"/>
          <w:sz w:val="24"/>
          <w:szCs w:val="21"/>
        </w:rPr>
        <w:t>。</w:t>
      </w:r>
    </w:p>
    <w:p w14:paraId="7DAF1226">
      <w:pPr>
        <w:pStyle w:val="3"/>
        <w:spacing w:line="240" w:lineRule="auto"/>
        <w:rPr>
          <w:color w:val="auto"/>
        </w:rPr>
      </w:pPr>
      <w:r>
        <w:rPr>
          <w:rFonts w:hint="eastAsia"/>
          <w:color w:val="auto"/>
        </w:rPr>
        <w:t>非采集区图层管理</w:t>
      </w:r>
    </w:p>
    <w:p w14:paraId="10F8AA2F">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可对施非采集区域图层列表进行新增、删除、修改、发布。</w:t>
      </w:r>
    </w:p>
    <w:p w14:paraId="11076496">
      <w:pPr>
        <w:pStyle w:val="8"/>
        <w:spacing w:line="240" w:lineRule="auto"/>
        <w:rPr>
          <w:color w:val="auto"/>
        </w:rPr>
      </w:pPr>
      <w:r>
        <w:rPr>
          <w:rFonts w:hint="eastAsia"/>
          <w:color w:val="auto"/>
        </w:rPr>
        <w:t>分管辖区管理模块</w:t>
      </w:r>
    </w:p>
    <w:p w14:paraId="5E2C45B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辖区管理模块</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各管理部门可以绘制分管的辖区图层</w:t>
      </w:r>
      <w:r>
        <w:rPr>
          <w:rFonts w:cs="Times New Roman" w:asciiTheme="majorEastAsia" w:hAnsiTheme="majorEastAsia" w:eastAsiaTheme="majorEastAsia"/>
          <w:color w:val="auto"/>
          <w:sz w:val="24"/>
          <w:szCs w:val="21"/>
        </w:rPr>
        <w:t>。</w:t>
      </w:r>
    </w:p>
    <w:p w14:paraId="78638F7B">
      <w:pPr>
        <w:pStyle w:val="3"/>
        <w:spacing w:line="240" w:lineRule="auto"/>
        <w:rPr>
          <w:color w:val="auto"/>
        </w:rPr>
      </w:pPr>
      <w:r>
        <w:rPr>
          <w:rFonts w:hint="eastAsia"/>
          <w:color w:val="auto"/>
        </w:rPr>
        <w:t>分管道路图层绘制</w:t>
      </w:r>
    </w:p>
    <w:p w14:paraId="0A4FDEE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通过时空地图</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绘制市</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区分管的道路范围</w:t>
      </w:r>
      <w:r>
        <w:rPr>
          <w:rFonts w:cs="Times New Roman" w:asciiTheme="majorEastAsia" w:hAnsiTheme="majorEastAsia" w:eastAsiaTheme="majorEastAsia"/>
          <w:color w:val="auto"/>
          <w:sz w:val="24"/>
          <w:szCs w:val="21"/>
        </w:rPr>
        <w:t>；</w:t>
      </w:r>
    </w:p>
    <w:p w14:paraId="40E1954E">
      <w:pPr>
        <w:pStyle w:val="3"/>
        <w:spacing w:line="240" w:lineRule="auto"/>
        <w:rPr>
          <w:color w:val="auto"/>
        </w:rPr>
      </w:pPr>
      <w:r>
        <w:rPr>
          <w:rFonts w:hint="eastAsia"/>
          <w:color w:val="auto"/>
        </w:rPr>
        <w:t>分管路灯图层绘制</w:t>
      </w:r>
    </w:p>
    <w:p w14:paraId="1951C5DA">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通过时空地图</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绘制市</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区分管的路灯范围</w:t>
      </w:r>
      <w:r>
        <w:rPr>
          <w:rFonts w:cs="Times New Roman" w:asciiTheme="majorEastAsia" w:hAnsiTheme="majorEastAsia" w:eastAsiaTheme="majorEastAsia"/>
          <w:color w:val="auto"/>
          <w:sz w:val="24"/>
          <w:szCs w:val="21"/>
        </w:rPr>
        <w:t>；</w:t>
      </w:r>
    </w:p>
    <w:p w14:paraId="6446053B">
      <w:pPr>
        <w:pStyle w:val="3"/>
        <w:spacing w:line="240" w:lineRule="auto"/>
        <w:rPr>
          <w:color w:val="auto"/>
        </w:rPr>
      </w:pPr>
      <w:r>
        <w:rPr>
          <w:rFonts w:hint="eastAsia"/>
          <w:color w:val="auto"/>
        </w:rPr>
        <w:t>分管水系图层绘制</w:t>
      </w:r>
    </w:p>
    <w:p w14:paraId="2F909922">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通过时空地图</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绘制市</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区分管的水系范围</w:t>
      </w:r>
      <w:r>
        <w:rPr>
          <w:rFonts w:cs="Times New Roman" w:asciiTheme="majorEastAsia" w:hAnsiTheme="majorEastAsia" w:eastAsiaTheme="majorEastAsia"/>
          <w:color w:val="auto"/>
          <w:sz w:val="24"/>
          <w:szCs w:val="21"/>
        </w:rPr>
        <w:t>；</w:t>
      </w:r>
    </w:p>
    <w:p w14:paraId="530C152D">
      <w:pPr>
        <w:pStyle w:val="3"/>
        <w:spacing w:line="240" w:lineRule="auto"/>
        <w:rPr>
          <w:color w:val="auto"/>
        </w:rPr>
      </w:pPr>
      <w:r>
        <w:rPr>
          <w:rFonts w:hint="eastAsia"/>
          <w:color w:val="auto"/>
        </w:rPr>
        <w:t>分管绿化图层绘制</w:t>
      </w:r>
    </w:p>
    <w:p w14:paraId="38FE540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通过时空地图</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绘制市</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区分管的绿化范围</w:t>
      </w:r>
      <w:r>
        <w:rPr>
          <w:rFonts w:cs="Times New Roman" w:asciiTheme="majorEastAsia" w:hAnsiTheme="majorEastAsia" w:eastAsiaTheme="majorEastAsia"/>
          <w:color w:val="auto"/>
          <w:sz w:val="24"/>
          <w:szCs w:val="21"/>
        </w:rPr>
        <w:t>；</w:t>
      </w:r>
    </w:p>
    <w:p w14:paraId="212727EB">
      <w:pPr>
        <w:pStyle w:val="3"/>
        <w:spacing w:line="240" w:lineRule="auto"/>
        <w:rPr>
          <w:color w:val="auto"/>
        </w:rPr>
      </w:pPr>
      <w:r>
        <w:rPr>
          <w:rFonts w:hint="eastAsia"/>
          <w:color w:val="auto"/>
        </w:rPr>
        <w:t>分管管网图层绘制</w:t>
      </w:r>
    </w:p>
    <w:p w14:paraId="2B1369F3">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通过时空地图</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绘制各移动运营商分管的管网范围</w:t>
      </w:r>
      <w:r>
        <w:rPr>
          <w:rFonts w:cs="Times New Roman" w:asciiTheme="majorEastAsia" w:hAnsiTheme="majorEastAsia" w:eastAsiaTheme="majorEastAsia"/>
          <w:color w:val="auto"/>
          <w:sz w:val="24"/>
          <w:szCs w:val="21"/>
        </w:rPr>
        <w:t>；</w:t>
      </w:r>
    </w:p>
    <w:p w14:paraId="20D0B7B8">
      <w:pPr>
        <w:pStyle w:val="8"/>
        <w:spacing w:line="240" w:lineRule="auto"/>
        <w:rPr>
          <w:color w:val="auto"/>
        </w:rPr>
      </w:pPr>
      <w:r>
        <w:rPr>
          <w:rFonts w:hint="eastAsia"/>
          <w:color w:val="auto"/>
        </w:rPr>
        <w:t>审核模块</w:t>
      </w:r>
    </w:p>
    <w:p w14:paraId="50BFF38F">
      <w:pPr>
        <w:ind w:firstLine="480" w:firstLineChars="200"/>
        <w:rPr>
          <w:rFonts w:cs="Times New Roman"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审核模块主要针对部门提交上来的图层信息进行审核发布</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加强对图层信息管控</w:t>
      </w:r>
      <w:r>
        <w:rPr>
          <w:rFonts w:cs="宋体" w:asciiTheme="majorEastAsia" w:hAnsiTheme="majorEastAsia" w:eastAsiaTheme="majorEastAsia"/>
          <w:color w:val="auto"/>
          <w:sz w:val="24"/>
          <w:szCs w:val="21"/>
        </w:rPr>
        <w:t>。</w:t>
      </w:r>
    </w:p>
    <w:p w14:paraId="338D719E">
      <w:pPr>
        <w:pStyle w:val="3"/>
        <w:spacing w:line="240" w:lineRule="auto"/>
        <w:rPr>
          <w:color w:val="auto"/>
        </w:rPr>
      </w:pPr>
      <w:r>
        <w:rPr>
          <w:rFonts w:hint="eastAsia"/>
          <w:color w:val="auto"/>
        </w:rPr>
        <w:t>审核</w:t>
      </w:r>
    </w:p>
    <w:p w14:paraId="0B98122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平台审核部门提交上来的图层信息</w:t>
      </w:r>
      <w:r>
        <w:rPr>
          <w:rFonts w:cs="Times New Roman" w:asciiTheme="majorEastAsia" w:hAnsiTheme="majorEastAsia" w:eastAsiaTheme="majorEastAsia"/>
          <w:color w:val="auto"/>
          <w:sz w:val="24"/>
          <w:szCs w:val="21"/>
        </w:rPr>
        <w:t>；</w:t>
      </w:r>
    </w:p>
    <w:p w14:paraId="5F454064">
      <w:pPr>
        <w:pStyle w:val="3"/>
        <w:spacing w:line="240" w:lineRule="auto"/>
        <w:rPr>
          <w:color w:val="auto"/>
        </w:rPr>
      </w:pPr>
      <w:r>
        <w:rPr>
          <w:rFonts w:hint="eastAsia"/>
          <w:color w:val="auto"/>
        </w:rPr>
        <w:t>图层回退</w:t>
      </w:r>
    </w:p>
    <w:p w14:paraId="57BABBE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审核不通过的图层信息将原路退回重新修订</w:t>
      </w:r>
      <w:r>
        <w:rPr>
          <w:rFonts w:cs="Times New Roman" w:asciiTheme="majorEastAsia" w:hAnsiTheme="majorEastAsia" w:eastAsiaTheme="majorEastAsia"/>
          <w:color w:val="auto"/>
          <w:sz w:val="24"/>
          <w:szCs w:val="21"/>
        </w:rPr>
        <w:t>；</w:t>
      </w:r>
    </w:p>
    <w:p w14:paraId="0D98D46F">
      <w:pPr>
        <w:pStyle w:val="3"/>
        <w:spacing w:line="240" w:lineRule="auto"/>
        <w:rPr>
          <w:color w:val="auto"/>
        </w:rPr>
      </w:pPr>
      <w:r>
        <w:rPr>
          <w:rFonts w:hint="eastAsia"/>
          <w:color w:val="auto"/>
        </w:rPr>
        <w:t>图层核实</w:t>
      </w:r>
    </w:p>
    <w:p w14:paraId="452C218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图层信息将通过平台发布任务给网格员进行核实</w:t>
      </w:r>
      <w:r>
        <w:rPr>
          <w:rFonts w:cs="Times New Roman" w:asciiTheme="majorEastAsia" w:hAnsiTheme="majorEastAsia" w:eastAsiaTheme="majorEastAsia"/>
          <w:color w:val="auto"/>
          <w:sz w:val="24"/>
          <w:szCs w:val="21"/>
        </w:rPr>
        <w:t>；</w:t>
      </w:r>
    </w:p>
    <w:p w14:paraId="03166AC9">
      <w:pPr>
        <w:pStyle w:val="3"/>
        <w:spacing w:line="240" w:lineRule="auto"/>
        <w:rPr>
          <w:color w:val="auto"/>
        </w:rPr>
      </w:pPr>
      <w:r>
        <w:rPr>
          <w:rFonts w:hint="eastAsia"/>
          <w:color w:val="auto"/>
        </w:rPr>
        <w:t>强制修订</w:t>
      </w:r>
    </w:p>
    <w:p w14:paraId="461BD62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平台可以根据真实情况进行图层强制修订</w:t>
      </w:r>
    </w:p>
    <w:p w14:paraId="20DE6F1C">
      <w:pPr>
        <w:pStyle w:val="3"/>
        <w:spacing w:line="240" w:lineRule="auto"/>
        <w:rPr>
          <w:color w:val="auto"/>
        </w:rPr>
      </w:pPr>
      <w:r>
        <w:rPr>
          <w:rFonts w:hint="eastAsia"/>
          <w:color w:val="auto"/>
        </w:rPr>
        <w:t>图层发布</w:t>
      </w:r>
    </w:p>
    <w:p w14:paraId="6D454E7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审核通过的图层将通过平台进行发布</w:t>
      </w:r>
      <w:r>
        <w:rPr>
          <w:rFonts w:cs="Times New Roman" w:asciiTheme="majorEastAsia" w:hAnsiTheme="majorEastAsia" w:eastAsiaTheme="majorEastAsia"/>
          <w:color w:val="auto"/>
          <w:sz w:val="24"/>
          <w:szCs w:val="21"/>
        </w:rPr>
        <w:t>；</w:t>
      </w:r>
    </w:p>
    <w:p w14:paraId="2D5B96D3">
      <w:pPr>
        <w:pStyle w:val="8"/>
        <w:spacing w:line="240" w:lineRule="auto"/>
        <w:rPr>
          <w:color w:val="auto"/>
        </w:rPr>
      </w:pPr>
      <w:r>
        <w:rPr>
          <w:rFonts w:hint="eastAsia"/>
          <w:color w:val="auto"/>
        </w:rPr>
        <w:t>基础图层展示模块</w:t>
      </w:r>
    </w:p>
    <w:p w14:paraId="27221CA3">
      <w:pPr>
        <w:pStyle w:val="3"/>
        <w:spacing w:line="240" w:lineRule="auto"/>
        <w:rPr>
          <w:color w:val="auto"/>
        </w:rPr>
      </w:pPr>
      <w:r>
        <w:rPr>
          <w:rFonts w:hint="eastAsia"/>
          <w:color w:val="auto"/>
        </w:rPr>
        <w:t>路网图层展示</w:t>
      </w:r>
    </w:p>
    <w:p w14:paraId="3E59345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通过时空平台地图展示福州市整体路网图</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方便道路管理部门进行可视化维护</w:t>
      </w:r>
      <w:r>
        <w:rPr>
          <w:rFonts w:cs="Times New Roman" w:asciiTheme="majorEastAsia" w:hAnsiTheme="majorEastAsia" w:eastAsiaTheme="majorEastAsia"/>
          <w:color w:val="auto"/>
          <w:sz w:val="24"/>
          <w:szCs w:val="21"/>
        </w:rPr>
        <w:t>；</w:t>
      </w:r>
    </w:p>
    <w:p w14:paraId="11377EAB">
      <w:pPr>
        <w:pStyle w:val="3"/>
        <w:spacing w:line="240" w:lineRule="auto"/>
        <w:rPr>
          <w:color w:val="auto"/>
        </w:rPr>
      </w:pPr>
      <w:r>
        <w:rPr>
          <w:rFonts w:hint="eastAsia"/>
          <w:color w:val="auto"/>
        </w:rPr>
        <w:t>绿化图层展示</w:t>
      </w:r>
    </w:p>
    <w:p w14:paraId="04AF308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通过时空平台地图展示福州市整体绿化情况</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方便园林绿化管理部门进行可视化维护</w:t>
      </w:r>
      <w:r>
        <w:rPr>
          <w:rFonts w:cs="Times New Roman" w:asciiTheme="majorEastAsia" w:hAnsiTheme="majorEastAsia" w:eastAsiaTheme="majorEastAsia"/>
          <w:color w:val="auto"/>
          <w:sz w:val="24"/>
          <w:szCs w:val="21"/>
        </w:rPr>
        <w:t>；</w:t>
      </w:r>
    </w:p>
    <w:p w14:paraId="7A68C830">
      <w:pPr>
        <w:pStyle w:val="3"/>
        <w:spacing w:line="240" w:lineRule="auto"/>
        <w:rPr>
          <w:color w:val="auto"/>
        </w:rPr>
      </w:pPr>
      <w:r>
        <w:rPr>
          <w:rFonts w:hint="eastAsia"/>
          <w:color w:val="auto"/>
        </w:rPr>
        <w:t>水系图层展示</w:t>
      </w:r>
    </w:p>
    <w:p w14:paraId="529064D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通过时空平台地图展示福州市水系情况</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方便水系管理部门进行可视化维护</w:t>
      </w:r>
      <w:r>
        <w:rPr>
          <w:rFonts w:cs="Times New Roman" w:asciiTheme="majorEastAsia" w:hAnsiTheme="majorEastAsia" w:eastAsiaTheme="majorEastAsia"/>
          <w:color w:val="auto"/>
          <w:sz w:val="24"/>
          <w:szCs w:val="21"/>
        </w:rPr>
        <w:t>；</w:t>
      </w:r>
    </w:p>
    <w:p w14:paraId="331AB973">
      <w:pPr>
        <w:pStyle w:val="3"/>
        <w:spacing w:line="240" w:lineRule="auto"/>
        <w:rPr>
          <w:color w:val="auto"/>
        </w:rPr>
      </w:pPr>
      <w:r>
        <w:rPr>
          <w:rFonts w:hint="eastAsia"/>
          <w:color w:val="auto"/>
        </w:rPr>
        <w:t>部件图层展示</w:t>
      </w:r>
    </w:p>
    <w:p w14:paraId="24B6CA7D">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通过时空平台地图展示福州市部件情况</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方便水系管理部门进行可视化维护</w:t>
      </w:r>
      <w:r>
        <w:rPr>
          <w:rFonts w:cs="Times New Roman" w:asciiTheme="majorEastAsia" w:hAnsiTheme="majorEastAsia" w:eastAsiaTheme="majorEastAsia"/>
          <w:color w:val="auto"/>
          <w:sz w:val="24"/>
          <w:szCs w:val="21"/>
        </w:rPr>
        <w:t>；</w:t>
      </w:r>
    </w:p>
    <w:p w14:paraId="630005B6">
      <w:pPr>
        <w:pStyle w:val="8"/>
        <w:spacing w:line="240" w:lineRule="auto"/>
        <w:rPr>
          <w:color w:val="auto"/>
        </w:rPr>
      </w:pPr>
      <w:r>
        <w:rPr>
          <w:rFonts w:hint="eastAsia"/>
          <w:color w:val="auto"/>
        </w:rPr>
        <w:t>空间信息查询模块</w:t>
      </w:r>
    </w:p>
    <w:p w14:paraId="6C569EFE">
      <w:pPr>
        <w:pStyle w:val="3"/>
        <w:spacing w:line="240" w:lineRule="auto"/>
        <w:rPr>
          <w:color w:val="auto"/>
        </w:rPr>
      </w:pPr>
      <w:r>
        <w:rPr>
          <w:rFonts w:hint="eastAsia"/>
          <w:color w:val="auto"/>
        </w:rPr>
        <w:t>道路查询</w:t>
      </w:r>
    </w:p>
    <w:p w14:paraId="1E036BA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通过搜索地址栏</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可以查询定位并展示福州道路位置及信息</w:t>
      </w:r>
      <w:r>
        <w:rPr>
          <w:rFonts w:cs="Times New Roman" w:asciiTheme="majorEastAsia" w:hAnsiTheme="majorEastAsia" w:eastAsiaTheme="majorEastAsia"/>
          <w:color w:val="auto"/>
          <w:sz w:val="24"/>
          <w:szCs w:val="21"/>
        </w:rPr>
        <w:t>；</w:t>
      </w:r>
    </w:p>
    <w:p w14:paraId="25D244AD">
      <w:pPr>
        <w:pStyle w:val="3"/>
        <w:spacing w:line="240" w:lineRule="auto"/>
        <w:rPr>
          <w:color w:val="auto"/>
        </w:rPr>
      </w:pPr>
      <w:r>
        <w:rPr>
          <w:rFonts w:hint="eastAsia"/>
          <w:color w:val="auto"/>
        </w:rPr>
        <w:t>水系查询</w:t>
      </w:r>
    </w:p>
    <w:p w14:paraId="44098F1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通过搜索地址栏</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可以查询定位并展示福州水系位置及信息</w:t>
      </w:r>
      <w:r>
        <w:rPr>
          <w:rFonts w:cs="Times New Roman" w:asciiTheme="majorEastAsia" w:hAnsiTheme="majorEastAsia" w:eastAsiaTheme="majorEastAsia"/>
          <w:color w:val="auto"/>
          <w:sz w:val="24"/>
          <w:szCs w:val="21"/>
        </w:rPr>
        <w:t>；</w:t>
      </w:r>
    </w:p>
    <w:p w14:paraId="7CCF9E7E">
      <w:pPr>
        <w:pStyle w:val="3"/>
        <w:spacing w:line="240" w:lineRule="auto"/>
        <w:rPr>
          <w:color w:val="auto"/>
        </w:rPr>
      </w:pPr>
      <w:r>
        <w:rPr>
          <w:rFonts w:hint="eastAsia"/>
          <w:color w:val="auto"/>
        </w:rPr>
        <w:t>绿化查询</w:t>
      </w:r>
    </w:p>
    <w:p w14:paraId="0F12ECB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通过搜索地址栏</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可以查询定位并展示福州绿化位置及信息</w:t>
      </w:r>
      <w:r>
        <w:rPr>
          <w:rFonts w:cs="Times New Roman" w:asciiTheme="majorEastAsia" w:hAnsiTheme="majorEastAsia" w:eastAsiaTheme="majorEastAsia"/>
          <w:color w:val="auto"/>
          <w:sz w:val="24"/>
          <w:szCs w:val="21"/>
        </w:rPr>
        <w:t>；</w:t>
      </w:r>
    </w:p>
    <w:p w14:paraId="60856AAA">
      <w:pPr>
        <w:pStyle w:val="3"/>
        <w:spacing w:line="240" w:lineRule="auto"/>
        <w:rPr>
          <w:color w:val="auto"/>
        </w:rPr>
      </w:pPr>
      <w:r>
        <w:rPr>
          <w:rFonts w:hint="eastAsia"/>
          <w:color w:val="auto"/>
        </w:rPr>
        <w:t>地址查询</w:t>
      </w:r>
    </w:p>
    <w:p w14:paraId="52F8FE5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通过搜索地址栏</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可以查询定位并展示查询地址及信息</w:t>
      </w:r>
      <w:r>
        <w:rPr>
          <w:rFonts w:cs="Times New Roman" w:asciiTheme="majorEastAsia" w:hAnsiTheme="majorEastAsia" w:eastAsiaTheme="majorEastAsia"/>
          <w:color w:val="auto"/>
          <w:sz w:val="24"/>
          <w:szCs w:val="21"/>
        </w:rPr>
        <w:t>；</w:t>
      </w:r>
    </w:p>
    <w:p w14:paraId="04015F89">
      <w:pPr>
        <w:pStyle w:val="6"/>
        <w:spacing w:line="240" w:lineRule="auto"/>
        <w:rPr>
          <w:color w:val="auto"/>
        </w:rPr>
      </w:pPr>
      <w:bookmarkStart w:id="74" w:name="_Toc83216270"/>
      <w:r>
        <w:rPr>
          <w:color w:val="auto"/>
        </w:rPr>
        <w:t>AI</w:t>
      </w:r>
      <w:r>
        <w:rPr>
          <w:rFonts w:hint="eastAsia"/>
          <w:color w:val="auto"/>
        </w:rPr>
        <w:t>赋能</w:t>
      </w:r>
      <w:bookmarkEnd w:id="74"/>
    </w:p>
    <w:p w14:paraId="203814E3">
      <w:pPr>
        <w:snapToGrid w:val="0"/>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视频识别系统的总体建设思路是充分利用全市的视频探头资源，按照“智能、整合、优化、提升”的理念，辅助进行事件采集与核查反馈，逐步建立全市视频</w:t>
      </w:r>
      <w:r>
        <w:rPr>
          <w:rFonts w:cs="宋体" w:asciiTheme="majorEastAsia" w:hAnsiTheme="majorEastAsia" w:eastAsiaTheme="majorEastAsia"/>
          <w:color w:val="auto"/>
          <w:sz w:val="24"/>
        </w:rPr>
        <w:t xml:space="preserve">AI智能识别能力, </w:t>
      </w:r>
      <w:r>
        <w:rPr>
          <w:rFonts w:hint="eastAsia" w:cs="宋体" w:asciiTheme="majorEastAsia" w:hAnsiTheme="majorEastAsia" w:eastAsiaTheme="majorEastAsia"/>
          <w:color w:val="auto"/>
          <w:sz w:val="24"/>
        </w:rPr>
        <w:t>对全市视频探头覆盖区域，实现全天</w:t>
      </w:r>
      <w:r>
        <w:rPr>
          <w:rFonts w:cs="宋体" w:asciiTheme="majorEastAsia" w:hAnsiTheme="majorEastAsia" w:eastAsiaTheme="majorEastAsia"/>
          <w:color w:val="auto"/>
          <w:sz w:val="24"/>
        </w:rPr>
        <w:t>24小时监测，根据城市管理相关规章制度在不同摄像机的场景中预设不同的报警规则，对流动摊点、垃圾满溢、占道经营、横幅游行、共享单车乱停放等20类城市管理与社会治理事件进行场景检测、智能识别、案件自动分类、自动取证、任务智能派发一旦目标在场景中出现了违反预定义规则的行为，系统会自动发出报警，指挥中心根据这些预警信息进行筛选与分派操作，提升城市管理与社会治理水平。</w:t>
      </w:r>
    </w:p>
    <w:p w14:paraId="7033D089">
      <w:pPr>
        <w:snapToGrid w:val="0"/>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平台建设的指导思想如下：</w:t>
      </w:r>
    </w:p>
    <w:p w14:paraId="1F016DD0">
      <w:pPr>
        <w:numPr>
          <w:ilvl w:val="0"/>
          <w:numId w:val="32"/>
        </w:numPr>
        <w:snapToGrid w:val="0"/>
        <w:ind w:left="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视频接入协议标准化</w:t>
      </w:r>
    </w:p>
    <w:p w14:paraId="2A9BD6F9">
      <w:pPr>
        <w:snapToGrid w:val="0"/>
        <w:ind w:firstLine="480" w:firstLineChars="200"/>
        <w:rPr>
          <w:rFonts w:cs="宋体" w:asciiTheme="majorEastAsia" w:hAnsiTheme="majorEastAsia" w:eastAsiaTheme="majorEastAsia"/>
          <w:b/>
          <w:color w:val="auto"/>
          <w:sz w:val="24"/>
        </w:rPr>
      </w:pPr>
      <w:r>
        <w:rPr>
          <w:rFonts w:hint="eastAsia" w:cs="宋体" w:asciiTheme="majorEastAsia" w:hAnsiTheme="majorEastAsia" w:eastAsiaTheme="majorEastAsia"/>
          <w:color w:val="auto"/>
          <w:sz w:val="24"/>
        </w:rPr>
        <w:t>协议采用国标</w:t>
      </w:r>
      <w:r>
        <w:rPr>
          <w:rFonts w:cs="宋体" w:asciiTheme="majorEastAsia" w:hAnsiTheme="majorEastAsia" w:eastAsiaTheme="majorEastAsia"/>
          <w:color w:val="auto"/>
          <w:sz w:val="24"/>
        </w:rPr>
        <w:t>GB/T 28181。公安视频平台通过标准协议视频推送到时空视频平台，视频AI智能识别平台通过标准协议与时空视频平台进行对接。</w:t>
      </w:r>
    </w:p>
    <w:p w14:paraId="043A4E22">
      <w:pPr>
        <w:numPr>
          <w:ilvl w:val="0"/>
          <w:numId w:val="32"/>
        </w:numPr>
        <w:snapToGrid w:val="0"/>
        <w:ind w:left="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视频分析智能一体化</w:t>
      </w:r>
    </w:p>
    <w:p w14:paraId="008E0EDC">
      <w:pPr>
        <w:snapToGrid w:val="0"/>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bCs/>
          <w:color w:val="auto"/>
          <w:sz w:val="24"/>
        </w:rPr>
        <w:t>采取超融合架构与</w:t>
      </w:r>
      <w:r>
        <w:rPr>
          <w:rFonts w:cs="宋体" w:asciiTheme="majorEastAsia" w:hAnsiTheme="majorEastAsia" w:eastAsiaTheme="majorEastAsia"/>
          <w:bCs/>
          <w:color w:val="auto"/>
          <w:sz w:val="24"/>
        </w:rPr>
        <w:t>GPU、TPU算力，</w:t>
      </w:r>
      <w:r>
        <w:rPr>
          <w:rFonts w:hint="eastAsia" w:cs="宋体" w:asciiTheme="majorEastAsia" w:hAnsiTheme="majorEastAsia" w:eastAsiaTheme="majorEastAsia"/>
          <w:color w:val="auto"/>
          <w:sz w:val="24"/>
        </w:rPr>
        <w:t>把视频接入与分发、识别融合在一个盒子里，实现</w:t>
      </w:r>
      <w:r>
        <w:rPr>
          <w:rFonts w:cs="宋体" w:asciiTheme="majorEastAsia" w:hAnsiTheme="majorEastAsia" w:eastAsiaTheme="majorEastAsia"/>
          <w:color w:val="auto"/>
          <w:sz w:val="24"/>
        </w:rPr>
        <w:t>Tensorflow架构、</w:t>
      </w:r>
      <w:r>
        <w:rPr>
          <w:rFonts w:cs="宋体" w:asciiTheme="majorEastAsia" w:hAnsiTheme="majorEastAsia" w:eastAsiaTheme="majorEastAsia"/>
          <w:color w:val="auto"/>
          <w:sz w:val="24"/>
          <w:lang w:val="zh-CN"/>
        </w:rPr>
        <w:t>MapReduce</w:t>
      </w:r>
      <w:r>
        <w:rPr>
          <w:rFonts w:hint="eastAsia" w:cs="宋体" w:asciiTheme="majorEastAsia" w:hAnsiTheme="majorEastAsia" w:eastAsiaTheme="majorEastAsia"/>
          <w:color w:val="auto"/>
          <w:sz w:val="24"/>
        </w:rPr>
        <w:t>视频流处理架构的视频</w:t>
      </w:r>
      <w:r>
        <w:rPr>
          <w:rFonts w:cs="宋体" w:asciiTheme="majorEastAsia" w:hAnsiTheme="majorEastAsia" w:eastAsiaTheme="majorEastAsia"/>
          <w:color w:val="auto"/>
          <w:sz w:val="24"/>
        </w:rPr>
        <w:t>AI分析，实现城市综合事件的智能识别输出。</w:t>
      </w:r>
    </w:p>
    <w:p w14:paraId="63769E9E">
      <w:pPr>
        <w:snapToGrid w:val="0"/>
        <w:ind w:firstLine="480" w:firstLineChars="200"/>
        <w:rPr>
          <w:rFonts w:cs="宋体" w:asciiTheme="majorEastAsia" w:hAnsiTheme="majorEastAsia" w:eastAsiaTheme="majorEastAsia"/>
          <w:color w:val="auto"/>
          <w:sz w:val="24"/>
        </w:rPr>
      </w:pPr>
      <w:r>
        <w:rPr>
          <w:rFonts w:cs="宋体" w:asciiTheme="majorEastAsia" w:hAnsiTheme="majorEastAsia" w:eastAsiaTheme="majorEastAsia"/>
          <w:color w:val="auto"/>
          <w:sz w:val="24"/>
        </w:rPr>
        <w:t>3）配置维护常态化</w:t>
      </w:r>
    </w:p>
    <w:p w14:paraId="54764103">
      <w:pPr>
        <w:snapToGrid w:val="0"/>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基于时空地图，通过摄像头一张图，采取分级分域的机制实现在一张图上实现视频摄像头的配置维护管理，</w:t>
      </w:r>
      <w:r>
        <w:rPr>
          <w:rFonts w:hint="eastAsia" w:cs="宋体" w:asciiTheme="majorEastAsia" w:hAnsiTheme="majorEastAsia" w:eastAsiaTheme="majorEastAsia"/>
          <w:bCs/>
          <w:color w:val="auto"/>
          <w:sz w:val="24"/>
        </w:rPr>
        <w:t>建立统一的视频</w:t>
      </w:r>
      <w:r>
        <w:rPr>
          <w:rFonts w:hint="eastAsia" w:cs="宋体" w:asciiTheme="majorEastAsia" w:hAnsiTheme="majorEastAsia" w:eastAsiaTheme="majorEastAsia"/>
          <w:color w:val="auto"/>
          <w:sz w:val="24"/>
        </w:rPr>
        <w:t>图片捕获集中管理平台，结合对每个摄像头识别的案件变动情况、城市区域规划、城市道路改造等因素，采取定期与非定期的巡检方式，及时对摄像头的相关参数进行调整，做到每个摄像头事件识别数量的最大化。</w:t>
      </w:r>
    </w:p>
    <w:p w14:paraId="25893847">
      <w:pPr>
        <w:pStyle w:val="7"/>
        <w:spacing w:line="240" w:lineRule="auto"/>
        <w:rPr>
          <w:color w:val="auto"/>
        </w:rPr>
      </w:pPr>
      <w:r>
        <w:rPr>
          <w:rFonts w:hint="eastAsia"/>
          <w:color w:val="auto"/>
        </w:rPr>
        <w:t>服务架构设计</w:t>
      </w:r>
    </w:p>
    <w:p w14:paraId="5E88E88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drawing>
          <wp:inline distT="0" distB="0" distL="114300" distR="114300">
            <wp:extent cx="5319395" cy="6870065"/>
            <wp:effectExtent l="0" t="0" r="14605" b="6985"/>
            <wp:docPr id="32" name="图片 5"/>
            <wp:cNvGraphicFramePr/>
            <a:graphic xmlns:a="http://schemas.openxmlformats.org/drawingml/2006/main">
              <a:graphicData uri="http://schemas.openxmlformats.org/drawingml/2006/picture">
                <pic:pic xmlns:pic="http://schemas.openxmlformats.org/drawingml/2006/picture">
                  <pic:nvPicPr>
                    <pic:cNvPr id="32" name="图片 5"/>
                    <pic:cNvPicPr/>
                  </pic:nvPicPr>
                  <pic:blipFill>
                    <a:blip r:embed="rId12" cstate="print"/>
                    <a:stretch>
                      <a:fillRect/>
                    </a:stretch>
                  </pic:blipFill>
                  <pic:spPr>
                    <a:xfrm>
                      <a:off x="0" y="0"/>
                      <a:ext cx="5319395" cy="6870065"/>
                    </a:xfrm>
                    <a:prstGeom prst="rect">
                      <a:avLst/>
                    </a:prstGeom>
                    <a:noFill/>
                    <a:ln>
                      <a:noFill/>
                    </a:ln>
                  </pic:spPr>
                </pic:pic>
              </a:graphicData>
            </a:graphic>
          </wp:inline>
        </w:drawing>
      </w:r>
    </w:p>
    <w:p w14:paraId="4838A22B">
      <w:pPr>
        <w:ind w:firstLine="480" w:firstLineChars="200"/>
        <w:jc w:val="center"/>
        <w:rPr>
          <w:rFonts w:cs="Times New Roman" w:asciiTheme="majorEastAsia" w:hAnsiTheme="majorEastAsia" w:eastAsiaTheme="majorEastAsia"/>
          <w:color w:val="auto"/>
          <w:sz w:val="24"/>
          <w:szCs w:val="21"/>
        </w:rPr>
      </w:pPr>
      <w:r>
        <w:rPr>
          <w:rFonts w:hint="eastAsia" w:ascii="Times New Roman" w:hAnsi="Times New Roman" w:eastAsia="宋体" w:cs="Times New Roman"/>
          <w:color w:val="auto"/>
          <w:sz w:val="24"/>
          <w:szCs w:val="21"/>
        </w:rPr>
        <w:t xml:space="preserve"> </w:t>
      </w:r>
      <w:bookmarkStart w:id="75" w:name="_Toc32420"/>
      <w:r>
        <w:rPr>
          <w:rFonts w:hint="eastAsia" w:ascii="Times New Roman" w:hAnsi="Times New Roman" w:eastAsia="宋体" w:cs="Times New Roman"/>
          <w:color w:val="auto"/>
          <w:sz w:val="24"/>
          <w:szCs w:val="21"/>
        </w:rPr>
        <w:t>AI赋能服务架构设计</w:t>
      </w:r>
      <w:bookmarkEnd w:id="75"/>
      <w:r>
        <w:rPr>
          <w:rFonts w:hint="eastAsia" w:cs="Times New Roman" w:asciiTheme="majorEastAsia" w:hAnsiTheme="majorEastAsia" w:eastAsiaTheme="majorEastAsia"/>
          <w:color w:val="auto"/>
          <w:sz w:val="24"/>
          <w:szCs w:val="21"/>
        </w:rPr>
        <w:t>示意图</w:t>
      </w:r>
    </w:p>
    <w:p w14:paraId="297EE833">
      <w:pPr>
        <w:ind w:firstLine="480" w:firstLineChars="200"/>
        <w:jc w:val="center"/>
        <w:rPr>
          <w:rFonts w:ascii="Times New Roman" w:hAnsi="Times New Roman" w:eastAsia="宋体" w:cs="Times New Roman"/>
          <w:color w:val="auto"/>
          <w:sz w:val="24"/>
          <w:szCs w:val="21"/>
        </w:rPr>
      </w:pPr>
    </w:p>
    <w:p w14:paraId="08F40AC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视频AI智能服务对接时空大数据服务平台，整合以网格为基础单位的视频监控资源，并对汇聚后的视频监控资源进行分析、管理以及为各种综合性应用、行业应用提供多维度的感知数据。视频AI智能结构化系统总体系统架构如上图所示。</w:t>
      </w:r>
    </w:p>
    <w:p w14:paraId="46AF60B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drawing>
          <wp:inline distT="0" distB="0" distL="0" distR="0">
            <wp:extent cx="5274310" cy="2962910"/>
            <wp:effectExtent l="0" t="0" r="2540" b="8890"/>
            <wp:docPr id="11" name="图片 11" descr="图片包含 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包含 屏幕截图&#10;&#10;描述已自动生成"/>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962910"/>
                    </a:xfrm>
                    <a:prstGeom prst="rect">
                      <a:avLst/>
                    </a:prstGeom>
                  </pic:spPr>
                </pic:pic>
              </a:graphicData>
            </a:graphic>
          </wp:inline>
        </w:drawing>
      </w:r>
    </w:p>
    <w:p w14:paraId="6F985858">
      <w:pPr>
        <w:ind w:firstLine="480" w:firstLineChars="200"/>
        <w:jc w:val="center"/>
        <w:rPr>
          <w:rFonts w:cs="Times New Roman" w:asciiTheme="majorEastAsia" w:hAnsiTheme="majorEastAsia" w:eastAsiaTheme="majorEastAsia"/>
          <w:color w:val="auto"/>
          <w:sz w:val="24"/>
          <w:szCs w:val="21"/>
        </w:rPr>
      </w:pPr>
      <w:r>
        <w:rPr>
          <w:rFonts w:hint="eastAsia" w:ascii="Times New Roman" w:hAnsi="Times New Roman" w:eastAsia="宋体" w:cs="Times New Roman"/>
          <w:color w:val="auto"/>
          <w:sz w:val="24"/>
          <w:szCs w:val="21"/>
        </w:rPr>
        <w:t xml:space="preserve"> </w:t>
      </w:r>
      <w:bookmarkStart w:id="76" w:name="_Toc3791"/>
      <w:r>
        <w:rPr>
          <w:rFonts w:hint="eastAsia" w:cs="宋体" w:asciiTheme="majorEastAsia" w:hAnsiTheme="majorEastAsia" w:eastAsiaTheme="majorEastAsia"/>
          <w:color w:val="auto"/>
          <w:sz w:val="24"/>
          <w:szCs w:val="21"/>
        </w:rPr>
        <w:t>视频数据技术实现流程</w:t>
      </w:r>
      <w:bookmarkEnd w:id="76"/>
      <w:r>
        <w:rPr>
          <w:rFonts w:hint="eastAsia" w:cs="Times New Roman" w:asciiTheme="majorEastAsia" w:hAnsiTheme="majorEastAsia" w:eastAsiaTheme="majorEastAsia"/>
          <w:color w:val="auto"/>
          <w:sz w:val="24"/>
          <w:szCs w:val="21"/>
        </w:rPr>
        <w:t>示意图</w:t>
      </w:r>
    </w:p>
    <w:p w14:paraId="693D9221">
      <w:pPr>
        <w:ind w:firstLine="480" w:firstLineChars="200"/>
        <w:jc w:val="center"/>
        <w:rPr>
          <w:rFonts w:cs="宋体" w:asciiTheme="majorEastAsia" w:hAnsiTheme="majorEastAsia" w:eastAsiaTheme="majorEastAsia"/>
          <w:color w:val="auto"/>
          <w:sz w:val="24"/>
          <w:szCs w:val="21"/>
        </w:rPr>
      </w:pPr>
    </w:p>
    <w:p w14:paraId="358F854A">
      <w:pPr>
        <w:pStyle w:val="8"/>
        <w:spacing w:line="240" w:lineRule="auto"/>
        <w:rPr>
          <w:color w:val="auto"/>
        </w:rPr>
      </w:pPr>
      <w:r>
        <w:rPr>
          <w:rFonts w:hint="eastAsia"/>
          <w:color w:val="auto"/>
        </w:rPr>
        <w:t>视频感知接入层</w:t>
      </w:r>
    </w:p>
    <w:p w14:paraId="609E5128">
      <w:pPr>
        <w:ind w:firstLine="480" w:firstLineChars="200"/>
        <w:rPr>
          <w:rFonts w:cs="宋体" w:asciiTheme="majorEastAsia" w:hAnsiTheme="majorEastAsia" w:eastAsiaTheme="majorEastAsia"/>
          <w:color w:val="auto"/>
          <w:sz w:val="24"/>
          <w:szCs w:val="36"/>
        </w:rPr>
      </w:pPr>
      <w:r>
        <w:rPr>
          <w:rFonts w:hint="eastAsia" w:cs="宋体" w:asciiTheme="majorEastAsia" w:hAnsiTheme="majorEastAsia" w:eastAsiaTheme="majorEastAsia"/>
          <w:color w:val="auto"/>
          <w:sz w:val="24"/>
          <w:szCs w:val="36"/>
        </w:rPr>
        <w:t>通过时空平台视频分平台方式进行视频流获取，协议采用国标GB/T 28181(2011版本)。时空平台中的视频网关属于上级节点。公安平台会通过标准协议推送目录到数办服务，然后再推送到时空平台视频网关。</w:t>
      </w:r>
    </w:p>
    <w:p w14:paraId="46C335F1">
      <w:pPr>
        <w:pStyle w:val="8"/>
        <w:spacing w:line="240" w:lineRule="auto"/>
        <w:rPr>
          <w:color w:val="auto"/>
        </w:rPr>
      </w:pPr>
      <w:r>
        <w:rPr>
          <w:rFonts w:hint="eastAsia"/>
          <w:color w:val="auto"/>
        </w:rPr>
        <w:t>识别算法层</w:t>
      </w:r>
    </w:p>
    <w:p w14:paraId="1042032A">
      <w:pPr>
        <w:ind w:firstLine="480" w:firstLineChars="200"/>
        <w:rPr>
          <w:rFonts w:cs="宋体" w:asciiTheme="majorEastAsia" w:hAnsiTheme="majorEastAsia" w:eastAsiaTheme="majorEastAsia"/>
          <w:color w:val="auto"/>
          <w:sz w:val="24"/>
          <w:szCs w:val="36"/>
        </w:rPr>
      </w:pPr>
      <w:r>
        <w:rPr>
          <w:rFonts w:hint="eastAsia" w:cs="宋体" w:asciiTheme="majorEastAsia" w:hAnsiTheme="majorEastAsia" w:eastAsiaTheme="majorEastAsia"/>
          <w:color w:val="auto"/>
          <w:sz w:val="24"/>
          <w:szCs w:val="36"/>
        </w:rPr>
        <w:t>在完成视频流获取的条件下，需要对视频进行识别，运用机器学习、数据挖掘等技术，利用tensor flow框架构建视觉基础算法，算法包括视频活体检测、移动检测、多目标跟踪，视频场景分析，视频算法服务将应用于城管、工地、管廊、内涝等领域，用于检测违规案件、人员违规、场景入侵探测等行为，为当前城市或未来各视频监控信息化业务提供基础算法支撑。</w:t>
      </w:r>
    </w:p>
    <w:p w14:paraId="71F2DA3E">
      <w:pPr>
        <w:pStyle w:val="8"/>
        <w:spacing w:line="240" w:lineRule="auto"/>
        <w:rPr>
          <w:color w:val="auto"/>
        </w:rPr>
      </w:pPr>
      <w:r>
        <w:rPr>
          <w:rFonts w:hint="eastAsia"/>
          <w:color w:val="auto"/>
        </w:rPr>
        <w:t>配置层</w:t>
      </w:r>
    </w:p>
    <w:p w14:paraId="00F4A6C4">
      <w:pPr>
        <w:ind w:firstLine="480" w:firstLineChars="200"/>
        <w:rPr>
          <w:rFonts w:cs="宋体" w:asciiTheme="majorEastAsia" w:hAnsiTheme="majorEastAsia" w:eastAsiaTheme="majorEastAsia"/>
          <w:color w:val="auto"/>
          <w:sz w:val="24"/>
          <w:szCs w:val="36"/>
        </w:rPr>
      </w:pPr>
      <w:r>
        <w:rPr>
          <w:rFonts w:hint="eastAsia" w:cs="宋体" w:asciiTheme="majorEastAsia" w:hAnsiTheme="majorEastAsia" w:eastAsiaTheme="majorEastAsia"/>
          <w:color w:val="auto"/>
          <w:sz w:val="24"/>
          <w:szCs w:val="36"/>
        </w:rPr>
        <w:t>对视频的接入点、算法、摄像头预置点设置、事件轮训间隔设置、事件轮训时段设置、案件点分析屏蔽开关、事件点优先级设置。事件自动录像功设置。</w:t>
      </w:r>
    </w:p>
    <w:p w14:paraId="004E6F08">
      <w:pPr>
        <w:pStyle w:val="8"/>
        <w:spacing w:line="240" w:lineRule="auto"/>
        <w:rPr>
          <w:color w:val="auto"/>
        </w:rPr>
      </w:pPr>
      <w:r>
        <w:rPr>
          <w:rFonts w:hint="eastAsia"/>
          <w:color w:val="auto"/>
        </w:rPr>
        <w:t>应用层</w:t>
      </w:r>
    </w:p>
    <w:p w14:paraId="4711610E">
      <w:pPr>
        <w:ind w:firstLine="480" w:firstLineChars="200"/>
        <w:rPr>
          <w:rFonts w:cs="宋体" w:asciiTheme="majorEastAsia" w:hAnsiTheme="majorEastAsia" w:eastAsiaTheme="majorEastAsia"/>
          <w:color w:val="auto"/>
          <w:sz w:val="24"/>
          <w:szCs w:val="36"/>
        </w:rPr>
      </w:pPr>
      <w:r>
        <w:rPr>
          <w:rFonts w:hint="eastAsia" w:cs="宋体" w:asciiTheme="majorEastAsia" w:hAnsiTheme="majorEastAsia" w:eastAsiaTheme="majorEastAsia"/>
          <w:color w:val="auto"/>
          <w:sz w:val="24"/>
          <w:szCs w:val="36"/>
        </w:rPr>
        <w:t>做为系统的顶层依托下层服务最终为业务平台赋能，对城市管理与社会治理事件形成案件自动发现、自主上报、处置后自动核查、智能预警，提升城市管理与社会治理水平。</w:t>
      </w:r>
    </w:p>
    <w:p w14:paraId="6573AAC7">
      <w:pPr>
        <w:ind w:firstLine="480" w:firstLineChars="200"/>
        <w:rPr>
          <w:rFonts w:cs="宋体" w:asciiTheme="majorEastAsia" w:hAnsiTheme="majorEastAsia" w:eastAsiaTheme="majorEastAsia"/>
          <w:color w:val="auto"/>
          <w:sz w:val="24"/>
          <w:szCs w:val="36"/>
        </w:rPr>
      </w:pPr>
    </w:p>
    <w:p w14:paraId="3E3240FD">
      <w:pPr>
        <w:pStyle w:val="8"/>
        <w:spacing w:line="240" w:lineRule="auto"/>
        <w:rPr>
          <w:color w:val="auto"/>
        </w:rPr>
      </w:pPr>
      <w:r>
        <w:rPr>
          <w:rFonts w:hint="eastAsia"/>
          <w:color w:val="auto"/>
        </w:rPr>
        <w:t>视频数据接入模块</w:t>
      </w:r>
    </w:p>
    <w:p w14:paraId="2DD4E980">
      <w:pPr>
        <w:pStyle w:val="3"/>
        <w:spacing w:line="240" w:lineRule="auto"/>
        <w:rPr>
          <w:color w:val="auto"/>
        </w:rPr>
      </w:pPr>
      <w:r>
        <w:rPr>
          <w:rFonts w:hint="eastAsia"/>
          <w:color w:val="auto"/>
        </w:rPr>
        <w:t>标准协议接入</w:t>
      </w:r>
    </w:p>
    <w:p w14:paraId="302F9B67">
      <w:pPr>
        <w:ind w:firstLine="480" w:firstLineChars="200"/>
        <w:rPr>
          <w:rFonts w:cs="宋体" w:asciiTheme="majorEastAsia" w:hAnsiTheme="majorEastAsia" w:eastAsiaTheme="majorEastAsia"/>
          <w:color w:val="auto"/>
          <w:sz w:val="24"/>
          <w:szCs w:val="36"/>
        </w:rPr>
      </w:pPr>
      <w:r>
        <w:rPr>
          <w:rFonts w:hint="eastAsia" w:cs="宋体" w:asciiTheme="majorEastAsia" w:hAnsiTheme="majorEastAsia" w:eastAsiaTheme="majorEastAsia"/>
          <w:color w:val="auto"/>
          <w:sz w:val="24"/>
          <w:szCs w:val="36"/>
        </w:rPr>
        <w:t>协议采用国标GB/T 28181(2011版本)，时空平台中的视频网关属于上级节点。公安平台会通过标准协议推送目录到数办服务，然后再推送到时空平台视频网关。</w:t>
      </w:r>
    </w:p>
    <w:p w14:paraId="6C705347">
      <w:pPr>
        <w:pStyle w:val="3"/>
        <w:spacing w:line="240" w:lineRule="auto"/>
        <w:rPr>
          <w:color w:val="auto"/>
        </w:rPr>
      </w:pPr>
      <w:r>
        <w:rPr>
          <w:rFonts w:hint="eastAsia"/>
          <w:color w:val="auto"/>
        </w:rPr>
        <w:t>视频数据转码</w:t>
      </w:r>
    </w:p>
    <w:p w14:paraId="052C26BD">
      <w:pPr>
        <w:ind w:firstLine="480" w:firstLineChars="200"/>
        <w:rPr>
          <w:rFonts w:cs="宋体" w:asciiTheme="majorEastAsia" w:hAnsiTheme="majorEastAsia" w:eastAsiaTheme="majorEastAsia"/>
          <w:color w:val="auto"/>
          <w:sz w:val="24"/>
          <w:szCs w:val="36"/>
        </w:rPr>
      </w:pPr>
      <w:r>
        <w:rPr>
          <w:rFonts w:hint="eastAsia" w:cs="宋体" w:asciiTheme="majorEastAsia" w:hAnsiTheme="majorEastAsia" w:eastAsiaTheme="majorEastAsia"/>
          <w:color w:val="auto"/>
          <w:sz w:val="24"/>
          <w:szCs w:val="36"/>
        </w:rPr>
        <w:t>根据视频模式和格式的增加，根据相关搜索，找出对应的视频文件，如果视频搜索出后，发现在当前设备上，无法完成播放，这是通过系统的转码子功能模块实现视频文件的转码，从而得到与终端相适应的模式，系统所提供的转码功能大多数能满足用户的需求。在视频转码的过程中，需要首先提出请求，然后根据相应的换码参数进行配置，同构对数据库内的视频相关信息进行检索后，将需求任务进行上交，然后平台运行 Map 和 Reduce 并行计算进程，根据所提出的路径和作业进行统一上传，然后经过 Hadoop 进行管理，为了能够减少效率问题，系统会将大部分的任务部署到计算机中，然后进行集中处理。TaskTacker 接受到任务后，会将其进行初始化，在此过程中需要对资源进行 Copy，然后在主机上进行启动，对视频进行转码后，将其结果在主机中展现出来，在整个过程中，任务会通过系统的心跳机制传递与任务相关的信息。</w:t>
      </w:r>
    </w:p>
    <w:p w14:paraId="5F2A4833">
      <w:pPr>
        <w:ind w:firstLine="480" w:firstLineChars="200"/>
        <w:rPr>
          <w:rFonts w:cs="宋体" w:asciiTheme="majorEastAsia" w:hAnsiTheme="majorEastAsia" w:eastAsiaTheme="majorEastAsia"/>
          <w:color w:val="auto"/>
          <w:sz w:val="24"/>
          <w:szCs w:val="36"/>
        </w:rPr>
      </w:pPr>
      <w:r>
        <w:rPr>
          <w:rFonts w:hint="eastAsia" w:cs="宋体" w:asciiTheme="majorEastAsia" w:hAnsiTheme="majorEastAsia" w:eastAsiaTheme="majorEastAsia"/>
          <w:color w:val="auto"/>
          <w:sz w:val="24"/>
          <w:szCs w:val="21"/>
        </w:rPr>
        <w:drawing>
          <wp:inline distT="0" distB="0" distL="114300" distR="114300">
            <wp:extent cx="5269865" cy="2853055"/>
            <wp:effectExtent l="0" t="0" r="6985" b="4445"/>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14" cstate="print"/>
                    <a:stretch>
                      <a:fillRect/>
                    </a:stretch>
                  </pic:blipFill>
                  <pic:spPr>
                    <a:xfrm>
                      <a:off x="0" y="0"/>
                      <a:ext cx="5269865" cy="2853055"/>
                    </a:xfrm>
                    <a:prstGeom prst="rect">
                      <a:avLst/>
                    </a:prstGeom>
                    <a:noFill/>
                    <a:ln>
                      <a:noFill/>
                    </a:ln>
                  </pic:spPr>
                </pic:pic>
              </a:graphicData>
            </a:graphic>
          </wp:inline>
        </w:drawing>
      </w:r>
    </w:p>
    <w:p w14:paraId="56808576">
      <w:pPr>
        <w:ind w:firstLine="480" w:firstLineChars="200"/>
        <w:jc w:val="center"/>
        <w:rPr>
          <w:rFonts w:cs="Times New Roman" w:asciiTheme="majorEastAsia" w:hAnsiTheme="majorEastAsia" w:eastAsiaTheme="majorEastAsia"/>
          <w:color w:val="auto"/>
          <w:sz w:val="24"/>
          <w:szCs w:val="21"/>
        </w:rPr>
      </w:pPr>
      <w:r>
        <w:rPr>
          <w:rFonts w:hint="eastAsia" w:ascii="Times New Roman" w:hAnsi="Times New Roman" w:eastAsia="宋体" w:cs="Times New Roman"/>
          <w:color w:val="auto"/>
          <w:sz w:val="24"/>
          <w:szCs w:val="21"/>
        </w:rPr>
        <w:t xml:space="preserve"> </w:t>
      </w:r>
      <w:bookmarkStart w:id="77" w:name="_Toc9657"/>
      <w:r>
        <w:rPr>
          <w:rFonts w:hint="eastAsia" w:cs="宋体" w:asciiTheme="majorEastAsia" w:hAnsiTheme="majorEastAsia" w:eastAsiaTheme="majorEastAsia"/>
          <w:color w:val="auto"/>
          <w:sz w:val="24"/>
          <w:szCs w:val="36"/>
        </w:rPr>
        <w:t>视频数据转码流程</w:t>
      </w:r>
      <w:bookmarkEnd w:id="77"/>
      <w:r>
        <w:rPr>
          <w:rFonts w:hint="eastAsia" w:cs="Times New Roman" w:asciiTheme="majorEastAsia" w:hAnsiTheme="majorEastAsia" w:eastAsiaTheme="majorEastAsia"/>
          <w:color w:val="auto"/>
          <w:sz w:val="24"/>
          <w:szCs w:val="21"/>
        </w:rPr>
        <w:t>示意图</w:t>
      </w:r>
    </w:p>
    <w:p w14:paraId="6692167E">
      <w:pPr>
        <w:ind w:firstLine="480" w:firstLineChars="200"/>
        <w:jc w:val="center"/>
        <w:rPr>
          <w:rFonts w:cs="宋体" w:asciiTheme="majorEastAsia" w:hAnsiTheme="majorEastAsia" w:eastAsiaTheme="majorEastAsia"/>
          <w:color w:val="auto"/>
          <w:sz w:val="24"/>
          <w:szCs w:val="36"/>
        </w:rPr>
      </w:pPr>
    </w:p>
    <w:p w14:paraId="42E5F9B9">
      <w:pPr>
        <w:pStyle w:val="8"/>
        <w:spacing w:line="240" w:lineRule="auto"/>
        <w:rPr>
          <w:color w:val="auto"/>
        </w:rPr>
      </w:pPr>
      <w:r>
        <w:rPr>
          <w:rFonts w:hint="eastAsia"/>
          <w:color w:val="auto"/>
        </w:rPr>
        <w:t>视频识别深度学习基础模块</w:t>
      </w:r>
    </w:p>
    <w:p w14:paraId="7F6255E2">
      <w:pPr>
        <w:pStyle w:val="3"/>
        <w:spacing w:line="240" w:lineRule="auto"/>
        <w:rPr>
          <w:color w:val="auto"/>
        </w:rPr>
      </w:pPr>
      <w:r>
        <w:rPr>
          <w:rFonts w:hint="eastAsia"/>
          <w:color w:val="auto"/>
        </w:rPr>
        <w:t>案件预训练模块</w:t>
      </w:r>
    </w:p>
    <w:p w14:paraId="68F406C7">
      <w:pPr>
        <w:ind w:firstLine="480" w:firstLineChars="200"/>
        <w:rPr>
          <w:rFonts w:cs="宋体" w:asciiTheme="majorEastAsia" w:hAnsiTheme="majorEastAsia" w:eastAsiaTheme="majorEastAsia"/>
          <w:color w:val="auto"/>
          <w:sz w:val="24"/>
          <w:szCs w:val="36"/>
        </w:rPr>
      </w:pPr>
      <w:r>
        <w:rPr>
          <w:rFonts w:hint="eastAsia" w:cs="宋体" w:asciiTheme="majorEastAsia" w:hAnsiTheme="majorEastAsia" w:eastAsiaTheme="majorEastAsia"/>
          <w:color w:val="auto"/>
          <w:sz w:val="24"/>
          <w:szCs w:val="36"/>
        </w:rPr>
        <w:t>针对案件特征选择多层卷积的预训练深度网络，结合数据标记方法，能够提取目标物体局部高维特征，案件预训练模块包含清洗工具、去噪工具、人工标记、数据整合以及案件数据存储，如下图所示。</w:t>
      </w:r>
    </w:p>
    <w:p w14:paraId="101FC02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drawing>
          <wp:inline distT="0" distB="0" distL="114300" distR="114300">
            <wp:extent cx="5705475" cy="2505075"/>
            <wp:effectExtent l="0" t="0" r="0" b="889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5" cstate="print"/>
                    <a:stretch>
                      <a:fillRect/>
                    </a:stretch>
                  </pic:blipFill>
                  <pic:spPr>
                    <a:xfrm>
                      <a:off x="0" y="0"/>
                      <a:ext cx="5705475" cy="2505075"/>
                    </a:xfrm>
                    <a:prstGeom prst="rect">
                      <a:avLst/>
                    </a:prstGeom>
                    <a:noFill/>
                    <a:ln>
                      <a:noFill/>
                    </a:ln>
                  </pic:spPr>
                </pic:pic>
              </a:graphicData>
            </a:graphic>
          </wp:inline>
        </w:drawing>
      </w:r>
    </w:p>
    <w:p w14:paraId="731B7585">
      <w:pPr>
        <w:ind w:firstLine="480" w:firstLineChars="200"/>
        <w:jc w:val="center"/>
        <w:rPr>
          <w:rFonts w:cs="Times New Roman" w:asciiTheme="majorEastAsia" w:hAnsiTheme="majorEastAsia" w:eastAsiaTheme="majorEastAsia"/>
          <w:color w:val="auto"/>
          <w:sz w:val="24"/>
          <w:szCs w:val="21"/>
        </w:rPr>
      </w:pPr>
      <w:r>
        <w:rPr>
          <w:rFonts w:hint="eastAsia" w:ascii="Times New Roman" w:hAnsi="Times New Roman" w:eastAsia="宋体" w:cs="Times New Roman"/>
          <w:color w:val="auto"/>
          <w:sz w:val="24"/>
          <w:szCs w:val="21"/>
        </w:rPr>
        <w:t xml:space="preserve"> </w:t>
      </w:r>
      <w:bookmarkStart w:id="78" w:name="_Toc23299"/>
      <w:r>
        <w:rPr>
          <w:rFonts w:hint="eastAsia" w:cs="宋体" w:asciiTheme="majorEastAsia" w:hAnsiTheme="majorEastAsia" w:eastAsiaTheme="majorEastAsia"/>
          <w:color w:val="auto"/>
          <w:sz w:val="24"/>
        </w:rPr>
        <w:t>案件预训练模块</w:t>
      </w:r>
      <w:bookmarkEnd w:id="78"/>
      <w:r>
        <w:rPr>
          <w:rFonts w:hint="eastAsia" w:cs="Times New Roman" w:asciiTheme="majorEastAsia" w:hAnsiTheme="majorEastAsia" w:eastAsiaTheme="majorEastAsia"/>
          <w:color w:val="auto"/>
          <w:sz w:val="24"/>
          <w:szCs w:val="21"/>
        </w:rPr>
        <w:t>示意图</w:t>
      </w:r>
    </w:p>
    <w:p w14:paraId="7344DECF">
      <w:pPr>
        <w:ind w:firstLine="480" w:firstLineChars="200"/>
        <w:jc w:val="center"/>
        <w:rPr>
          <w:rFonts w:cs="宋体" w:asciiTheme="majorEastAsia" w:hAnsiTheme="majorEastAsia" w:eastAsiaTheme="majorEastAsia"/>
          <w:color w:val="auto"/>
          <w:sz w:val="24"/>
        </w:rPr>
      </w:pPr>
    </w:p>
    <w:p w14:paraId="2B872CA4">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通过案件预处理操作，对案件进行预训练，得到对应的案件类型分析算法，为模型做数据训练支撑。</w:t>
      </w:r>
    </w:p>
    <w:p w14:paraId="4D98BC50">
      <w:pPr>
        <w:pStyle w:val="9"/>
        <w:spacing w:line="240" w:lineRule="auto"/>
        <w:rPr>
          <w:rFonts w:asciiTheme="majorEastAsia" w:hAnsiTheme="majorEastAsia"/>
          <w:color w:val="auto"/>
        </w:rPr>
      </w:pPr>
      <w:r>
        <w:rPr>
          <w:rFonts w:hint="eastAsia" w:asciiTheme="majorEastAsia" w:hAnsiTheme="majorEastAsia"/>
          <w:color w:val="auto"/>
        </w:rPr>
        <w:t>数据梳理</w:t>
      </w:r>
    </w:p>
    <w:p w14:paraId="3E9E517C">
      <w:pPr>
        <w:ind w:firstLine="420"/>
        <w:rPr>
          <w:rFonts w:ascii="宋体" w:hAnsi="宋体" w:eastAsia="宋体" w:cs="Times New Roman"/>
          <w:color w:val="auto"/>
          <w:sz w:val="24"/>
        </w:rPr>
      </w:pPr>
      <w:r>
        <w:rPr>
          <w:rFonts w:hint="eastAsia" w:ascii="宋体" w:hAnsi="宋体" w:eastAsia="宋体" w:cs="Times New Roman"/>
          <w:color w:val="auto"/>
          <w:sz w:val="24"/>
        </w:rPr>
        <w:t>连续不断的监控流中，有重大价值者可能仅为一两秒的数据流。通过预训练的数据梳理，剔除清洗掉监控的预设阈值时间段内前后无变化的视频图像，挖掘获取有变动的价值图像信息区间。</w:t>
      </w:r>
    </w:p>
    <w:p w14:paraId="5810A865">
      <w:pPr>
        <w:pStyle w:val="9"/>
        <w:spacing w:line="240" w:lineRule="auto"/>
        <w:rPr>
          <w:rFonts w:asciiTheme="majorEastAsia" w:hAnsiTheme="majorEastAsia"/>
          <w:color w:val="auto"/>
        </w:rPr>
      </w:pPr>
      <w:r>
        <w:rPr>
          <w:rFonts w:hint="eastAsia" w:asciiTheme="majorEastAsia" w:hAnsiTheme="majorEastAsia"/>
          <w:color w:val="auto"/>
        </w:rPr>
        <w:t>去噪工具</w:t>
      </w:r>
    </w:p>
    <w:p w14:paraId="0B749D82">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在数字化和传输过程中常受到成像设备与外部环境噪声干扰等影响，称为含噪图像或噪声图像。为了适配算法并提高识别率，需要对数据进行预训练的视频图像去噪造作，减少数字图像中噪声。</w:t>
      </w:r>
    </w:p>
    <w:p w14:paraId="5925C9AA">
      <w:pPr>
        <w:pStyle w:val="9"/>
        <w:spacing w:line="240" w:lineRule="auto"/>
        <w:rPr>
          <w:rFonts w:asciiTheme="majorEastAsia" w:hAnsiTheme="majorEastAsia"/>
          <w:color w:val="auto"/>
        </w:rPr>
      </w:pPr>
      <w:r>
        <w:rPr>
          <w:rFonts w:hint="eastAsia" w:asciiTheme="majorEastAsia" w:hAnsiTheme="majorEastAsia"/>
          <w:color w:val="auto"/>
        </w:rPr>
        <w:t>人工标记</w:t>
      </w:r>
    </w:p>
    <w:p w14:paraId="4F4CD6E6">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基于opencv的追踪算法，在大量训练集合中，需要对视频图像训练集进行标记，例如一个25fps的视频，只需要隔100帧左右手动标注一下物体的位置，最后在整个视频中就能有比较流畅的运动追踪体现。</w:t>
      </w:r>
    </w:p>
    <w:p w14:paraId="19EE0250">
      <w:pPr>
        <w:pStyle w:val="9"/>
        <w:spacing w:line="240" w:lineRule="auto"/>
        <w:rPr>
          <w:rFonts w:asciiTheme="majorEastAsia" w:hAnsiTheme="majorEastAsia"/>
          <w:color w:val="auto"/>
        </w:rPr>
      </w:pPr>
      <w:r>
        <w:rPr>
          <w:rFonts w:hint="eastAsia" w:asciiTheme="majorEastAsia" w:hAnsiTheme="majorEastAsia"/>
          <w:color w:val="auto"/>
        </w:rPr>
        <w:t>数据整合</w:t>
      </w:r>
    </w:p>
    <w:p w14:paraId="0C1C0961">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视频图像数据整合处理操作：</w:t>
      </w:r>
    </w:p>
    <w:p w14:paraId="7AF011AF">
      <w:pPr>
        <w:numPr>
          <w:ilvl w:val="0"/>
          <w:numId w:val="33"/>
        </w:numPr>
        <w:ind w:left="36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视频图像数据整合处理，先获取图像文件目录和文件名，后将文件路径和文件名拼接，用于处理；</w:t>
      </w:r>
    </w:p>
    <w:p w14:paraId="2CB9C2DD">
      <w:pPr>
        <w:numPr>
          <w:ilvl w:val="0"/>
          <w:numId w:val="33"/>
        </w:numPr>
        <w:ind w:left="36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视频图像尺寸调整需要将图像转换为float32格式（降低图像信息损失，若整数之间直接处理，会丢失小数部分的信息），保存图像时将数据格式转换为uint8格式；</w:t>
      </w:r>
    </w:p>
    <w:p w14:paraId="5DC93E0E">
      <w:pPr>
        <w:numPr>
          <w:ilvl w:val="0"/>
          <w:numId w:val="33"/>
        </w:numPr>
        <w:ind w:left="36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matplotlib保存视频图像时，首先通过imshow获取数据，然后保存；为了保证大量视频图像数据存储正常，需要保存之后，即时关闭打开的窗口，使用close关闭；</w:t>
      </w:r>
    </w:p>
    <w:p w14:paraId="01C8C50E">
      <w:pPr>
        <w:numPr>
          <w:ilvl w:val="0"/>
          <w:numId w:val="33"/>
        </w:numPr>
        <w:ind w:left="36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视频图像合并，需要获取图像的拼接路径，而不是单独的文件名称,shutil.copy(file, path)file为文件，path为目标路径；</w:t>
      </w:r>
    </w:p>
    <w:p w14:paraId="51BD6743">
      <w:pPr>
        <w:numPr>
          <w:ilvl w:val="0"/>
          <w:numId w:val="33"/>
        </w:numPr>
        <w:ind w:left="36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对数据进行分组处理,可有效缓解服务器或本地主机的压力。</w:t>
      </w:r>
    </w:p>
    <w:p w14:paraId="295510B6">
      <w:pPr>
        <w:pStyle w:val="9"/>
        <w:spacing w:line="240" w:lineRule="auto"/>
        <w:rPr>
          <w:rFonts w:asciiTheme="majorEastAsia" w:hAnsiTheme="majorEastAsia"/>
          <w:color w:val="auto"/>
        </w:rPr>
      </w:pPr>
      <w:r>
        <w:rPr>
          <w:rFonts w:hint="eastAsia" w:asciiTheme="majorEastAsia" w:hAnsiTheme="majorEastAsia"/>
          <w:color w:val="auto"/>
        </w:rPr>
        <w:t>案件数据存储</w:t>
      </w:r>
    </w:p>
    <w:p w14:paraId="5781C5D6">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 xml:space="preserve">案件视频流数据通过使用 API 进行储存，将历史录像数据传输到 HDFS 分布式储存系统中。在进行上传的过程中，前期会将其先保存在存储目录中，因此我们会看到本地的“缓冲区”经过服务器的储存，能够使其分别上传到 HDFS 中，成功后会使用 File.delete 进行批量删除，其主要过程如下： </w:t>
      </w:r>
    </w:p>
    <w:p w14:paraId="767596CF">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1）构建相应的对象，设置相关访问对象；</w:t>
      </w:r>
    </w:p>
    <w:p w14:paraId="23DEDAF0">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2）其次可以根据 FileSystem 中的获取实例；</w:t>
      </w:r>
    </w:p>
    <w:p w14:paraId="2483DE6C">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3）通过 HDFS 系统进行相关视频文件的手机，并在缓冲区进行信息的储存；</w:t>
      </w:r>
    </w:p>
    <w:p w14:paraId="61B21F8E">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4）由平台系统将视频文件传输到 HDFS 上；</w:t>
      </w:r>
    </w:p>
    <w:p w14:paraId="712AAA3D">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5）批量删除平台“高速数据缓冲区”中的全部视频流数据。</w:t>
      </w:r>
    </w:p>
    <w:p w14:paraId="4801702A">
      <w:pPr>
        <w:pStyle w:val="3"/>
        <w:spacing w:line="240" w:lineRule="auto"/>
        <w:rPr>
          <w:color w:val="auto"/>
        </w:rPr>
      </w:pPr>
      <w:r>
        <w:rPr>
          <w:rFonts w:hint="eastAsia"/>
          <w:color w:val="auto"/>
        </w:rPr>
        <w:t>案件目标特征分析模块</w:t>
      </w:r>
    </w:p>
    <w:p w14:paraId="7AECC1A7">
      <w:pPr>
        <w:ind w:firstLine="480" w:firstLineChars="200"/>
        <w:jc w:val="center"/>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drawing>
          <wp:inline distT="0" distB="0" distL="0" distR="0">
            <wp:extent cx="4091940" cy="2686050"/>
            <wp:effectExtent l="0" t="0" r="3810" b="0"/>
            <wp:docPr id="2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1"/>
                    <pic:cNvPicPr>
                      <a:picLocks noChangeAspect="1"/>
                    </pic:cNvPicPr>
                  </pic:nvPicPr>
                  <pic:blipFill>
                    <a:blip r:embed="rId16" cstate="print"/>
                    <a:stretch>
                      <a:fillRect/>
                    </a:stretch>
                  </pic:blipFill>
                  <pic:spPr>
                    <a:xfrm>
                      <a:off x="0" y="0"/>
                      <a:ext cx="4110792" cy="2698254"/>
                    </a:xfrm>
                    <a:prstGeom prst="rect">
                      <a:avLst/>
                    </a:prstGeom>
                  </pic:spPr>
                </pic:pic>
              </a:graphicData>
            </a:graphic>
          </wp:inline>
        </w:drawing>
      </w:r>
    </w:p>
    <w:p w14:paraId="505481A4">
      <w:pPr>
        <w:ind w:firstLine="480" w:firstLineChars="200"/>
        <w:jc w:val="center"/>
        <w:rPr>
          <w:rFonts w:cs="Times New Roman" w:asciiTheme="majorEastAsia" w:hAnsiTheme="majorEastAsia" w:eastAsiaTheme="majorEastAsia"/>
          <w:color w:val="auto"/>
          <w:sz w:val="24"/>
          <w:szCs w:val="21"/>
        </w:rPr>
      </w:pPr>
      <w:r>
        <w:rPr>
          <w:rFonts w:hint="eastAsia" w:ascii="Times New Roman" w:hAnsi="Times New Roman" w:eastAsia="宋体" w:cs="Times New Roman"/>
          <w:color w:val="auto"/>
          <w:sz w:val="24"/>
          <w:szCs w:val="21"/>
        </w:rPr>
        <w:t xml:space="preserve"> </w:t>
      </w:r>
      <w:bookmarkStart w:id="79" w:name="_Toc17641"/>
      <w:r>
        <w:rPr>
          <w:rFonts w:hint="eastAsia" w:cs="宋体" w:asciiTheme="majorEastAsia" w:hAnsiTheme="majorEastAsia" w:eastAsiaTheme="majorEastAsia"/>
          <w:color w:val="auto"/>
          <w:sz w:val="24"/>
          <w:szCs w:val="21"/>
        </w:rPr>
        <w:t>案件目标特征分析模块</w:t>
      </w:r>
      <w:bookmarkEnd w:id="79"/>
      <w:r>
        <w:rPr>
          <w:rFonts w:hint="eastAsia" w:cs="Times New Roman" w:asciiTheme="majorEastAsia" w:hAnsiTheme="majorEastAsia" w:eastAsiaTheme="majorEastAsia"/>
          <w:color w:val="auto"/>
          <w:sz w:val="24"/>
          <w:szCs w:val="21"/>
        </w:rPr>
        <w:t>示意图</w:t>
      </w:r>
    </w:p>
    <w:p w14:paraId="54C17DF8">
      <w:pPr>
        <w:ind w:firstLine="480" w:firstLineChars="200"/>
        <w:jc w:val="center"/>
        <w:rPr>
          <w:rFonts w:cs="宋体" w:asciiTheme="majorEastAsia" w:hAnsiTheme="majorEastAsia" w:eastAsiaTheme="majorEastAsia"/>
          <w:color w:val="auto"/>
          <w:sz w:val="24"/>
          <w:szCs w:val="21"/>
        </w:rPr>
      </w:pPr>
    </w:p>
    <w:p w14:paraId="2A3CD3CB">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针对出店经营、流动摊点、沿街晾晒、机动车违停、垃圾满溢、非机动车乱停放、路灯、车行道、占道广告牌、物料乱堆放、施工废弃料、废弃家具设备、暴露垃圾、非法小广告、道路不洁等相关类型案件，提供案件目标特征提取，得出案件的分析结果。其中包含模块有：静态特征分析、动态特征分析和案件分类分析，如上图。</w:t>
      </w:r>
    </w:p>
    <w:p w14:paraId="61EC8BD0">
      <w:pPr>
        <w:pStyle w:val="9"/>
        <w:spacing w:line="240" w:lineRule="auto"/>
        <w:rPr>
          <w:rFonts w:asciiTheme="majorEastAsia" w:hAnsiTheme="majorEastAsia"/>
          <w:color w:val="auto"/>
        </w:rPr>
      </w:pPr>
      <w:r>
        <w:rPr>
          <w:rFonts w:hint="eastAsia" w:asciiTheme="majorEastAsia" w:hAnsiTheme="majorEastAsia"/>
          <w:color w:val="auto"/>
        </w:rPr>
        <w:t>静态特征分析</w:t>
      </w:r>
    </w:p>
    <w:p w14:paraId="6D968AEA">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在视频监控的既定条件下，以多个静态特征分析个变量达到均衡是的特征。比较静态分析是比较新旧均衡点的分析方法。</w:t>
      </w:r>
    </w:p>
    <w:p w14:paraId="6C3B2325">
      <w:pPr>
        <w:pStyle w:val="9"/>
        <w:spacing w:line="240" w:lineRule="auto"/>
        <w:rPr>
          <w:rFonts w:asciiTheme="majorEastAsia" w:hAnsiTheme="majorEastAsia"/>
          <w:color w:val="auto"/>
        </w:rPr>
      </w:pPr>
      <w:r>
        <w:rPr>
          <w:rFonts w:hint="eastAsia" w:asciiTheme="majorEastAsia" w:hAnsiTheme="majorEastAsia"/>
          <w:color w:val="auto"/>
        </w:rPr>
        <w:t>动态特征分析</w:t>
      </w:r>
    </w:p>
    <w:p w14:paraId="11D8250C">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所谓视频动态分析技术核心利用高斯分析函数，采用均值偏移动态估计算法，可比较视频监控画面内移动物体轮廓的像素活动。</w:t>
      </w:r>
    </w:p>
    <w:p w14:paraId="6960434D">
      <w:pPr>
        <w:pStyle w:val="9"/>
        <w:spacing w:line="240" w:lineRule="auto"/>
        <w:rPr>
          <w:rFonts w:asciiTheme="majorEastAsia" w:hAnsiTheme="majorEastAsia"/>
          <w:color w:val="auto"/>
        </w:rPr>
      </w:pPr>
      <w:r>
        <w:rPr>
          <w:rFonts w:hint="eastAsia" w:asciiTheme="majorEastAsia" w:hAnsiTheme="majorEastAsia"/>
          <w:color w:val="auto"/>
        </w:rPr>
        <w:t>案件分类分析</w:t>
      </w:r>
    </w:p>
    <w:p w14:paraId="53D9D1E9">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针对出店经营、流动摊点、沿街晾晒、机动车违停、垃圾满溢、非机动车乱停放、路灯、车行道、占道广告牌、物料乱堆放、施工废弃料、废弃家具设备进行归类。</w:t>
      </w:r>
    </w:p>
    <w:p w14:paraId="4ED2150A">
      <w:pPr>
        <w:pStyle w:val="9"/>
        <w:spacing w:line="240" w:lineRule="auto"/>
        <w:rPr>
          <w:rFonts w:asciiTheme="majorEastAsia" w:hAnsiTheme="majorEastAsia"/>
          <w:color w:val="auto"/>
        </w:rPr>
      </w:pPr>
      <w:r>
        <w:rPr>
          <w:rFonts w:hint="eastAsia" w:asciiTheme="majorEastAsia" w:hAnsiTheme="majorEastAsia"/>
          <w:color w:val="auto"/>
        </w:rPr>
        <w:t>案件拉框检测</w:t>
      </w:r>
    </w:p>
    <w:p w14:paraId="6087C87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rPr>
        <w:t>案件拉框检测模块是针对车辆的违停区域的拉框，进行目标兴趣区域检测，使得车辆违停事件进行自动上报，其中模块组成部分分别是拉框工具、预置位设置、兴趣框分析、标签标记、违停数据训练等，</w:t>
      </w:r>
    </w:p>
    <w:p w14:paraId="7CE3ADFD">
      <w:pPr>
        <w:numPr>
          <w:ilvl w:val="0"/>
          <w:numId w:val="34"/>
        </w:num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拉框工具</w:t>
      </w:r>
    </w:p>
    <w:p w14:paraId="1483FFCE">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在摄像头范围内，正常停放区和违停区进行拉框选定，将违停区设定为拉框区域，拉框工具作为固定案件的兴趣区选择，可以提高识别效率，减少误报情况。对视频图像分析后对接事件管理分系统。</w:t>
      </w:r>
    </w:p>
    <w:p w14:paraId="57EC874E">
      <w:pPr>
        <w:numPr>
          <w:ilvl w:val="0"/>
          <w:numId w:val="34"/>
        </w:num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预置位设置</w:t>
      </w:r>
    </w:p>
    <w:p w14:paraId="4315D6E3">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在摄像头角度调整的情况下，预置位的设置是将云台预置位和案件兴趣框区的预置位的相对位置固定，那么当云台预置位改变，案件兴趣框也随之进行相对位置移动，无需人工再进行拉框。</w:t>
      </w:r>
    </w:p>
    <w:p w14:paraId="2633F10B">
      <w:pPr>
        <w:numPr>
          <w:ilvl w:val="0"/>
          <w:numId w:val="34"/>
        </w:num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标签标记</w:t>
      </w:r>
    </w:p>
    <w:p w14:paraId="1A989C8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案件的机器学习过程中需要对案件视频图像的标签进行处理。提取大量图像的0与1类似的标签可以将标签数据放到设定的Mat格式中，供后续训练使用。</w:t>
      </w:r>
    </w:p>
    <w:p w14:paraId="215B3CBB">
      <w:pPr>
        <w:numPr>
          <w:ilvl w:val="0"/>
          <w:numId w:val="34"/>
        </w:num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违停数据训练</w:t>
      </w:r>
    </w:p>
    <w:p w14:paraId="3E7316E4">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针对拉框区域的设置，通过大量的违停数据训练，可快速迭代入案件拉框检测功能模块中。</w:t>
      </w:r>
    </w:p>
    <w:p w14:paraId="13129B89">
      <w:pPr>
        <w:pStyle w:val="3"/>
        <w:spacing w:line="240" w:lineRule="auto"/>
        <w:rPr>
          <w:color w:val="auto"/>
        </w:rPr>
      </w:pPr>
      <w:r>
        <w:rPr>
          <w:rFonts w:hint="eastAsia"/>
          <w:color w:val="auto"/>
        </w:rPr>
        <w:t>案件目标检测模块</w:t>
      </w:r>
    </w:p>
    <w:p w14:paraId="15E6E3E3">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当前城市管理案件的案件类型共计15类，占城管案件的80%。出店经营、流动摊点、沿街晾晒、机动车违停、垃圾满溢、非机动车乱停放、路灯、车行道、占道广告牌、物料乱堆放、施工废弃料、废弃家具设备、暴露垃圾、非法小广告、道路不洁等。案件目标检测模块包含单目标检测功能、多目标检测功能和案件目标筛选。</w:t>
      </w:r>
    </w:p>
    <w:p w14:paraId="7C37B770">
      <w:pPr>
        <w:ind w:firstLine="480" w:firstLineChars="200"/>
        <w:jc w:val="center"/>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drawing>
          <wp:inline distT="0" distB="0" distL="114300" distR="114300">
            <wp:extent cx="3276600" cy="2533650"/>
            <wp:effectExtent l="0" t="0" r="0" b="0"/>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17" cstate="print"/>
                    <a:stretch>
                      <a:fillRect/>
                    </a:stretch>
                  </pic:blipFill>
                  <pic:spPr>
                    <a:xfrm>
                      <a:off x="0" y="0"/>
                      <a:ext cx="3276600" cy="2533650"/>
                    </a:xfrm>
                    <a:prstGeom prst="rect">
                      <a:avLst/>
                    </a:prstGeom>
                    <a:noFill/>
                    <a:ln>
                      <a:noFill/>
                    </a:ln>
                  </pic:spPr>
                </pic:pic>
              </a:graphicData>
            </a:graphic>
          </wp:inline>
        </w:drawing>
      </w:r>
    </w:p>
    <w:p w14:paraId="501DF756">
      <w:pPr>
        <w:ind w:firstLine="480" w:firstLineChars="200"/>
        <w:jc w:val="center"/>
        <w:rPr>
          <w:rFonts w:cs="Times New Roman" w:asciiTheme="majorEastAsia" w:hAnsiTheme="majorEastAsia" w:eastAsiaTheme="majorEastAsia"/>
          <w:color w:val="auto"/>
          <w:sz w:val="24"/>
          <w:szCs w:val="21"/>
        </w:rPr>
      </w:pPr>
      <w:r>
        <w:rPr>
          <w:rFonts w:hint="eastAsia" w:ascii="Times New Roman" w:hAnsi="Times New Roman" w:eastAsia="宋体" w:cs="Times New Roman"/>
          <w:color w:val="auto"/>
          <w:sz w:val="24"/>
          <w:szCs w:val="21"/>
        </w:rPr>
        <w:t xml:space="preserve"> </w:t>
      </w:r>
      <w:bookmarkStart w:id="80" w:name="_Toc6435"/>
      <w:r>
        <w:rPr>
          <w:rFonts w:hint="eastAsia" w:ascii="Times New Roman" w:hAnsi="Times New Roman" w:eastAsia="宋体" w:cs="Times New Roman"/>
          <w:color w:val="auto"/>
          <w:sz w:val="24"/>
          <w:szCs w:val="21"/>
        </w:rPr>
        <w:t>案件目标检测模块</w:t>
      </w:r>
      <w:bookmarkEnd w:id="80"/>
      <w:r>
        <w:rPr>
          <w:rFonts w:hint="eastAsia" w:cs="Times New Roman" w:asciiTheme="majorEastAsia" w:hAnsiTheme="majorEastAsia" w:eastAsiaTheme="majorEastAsia"/>
          <w:color w:val="auto"/>
          <w:sz w:val="24"/>
          <w:szCs w:val="21"/>
        </w:rPr>
        <w:t>示意图</w:t>
      </w:r>
    </w:p>
    <w:p w14:paraId="5F02BD07">
      <w:pPr>
        <w:ind w:firstLine="480" w:firstLineChars="200"/>
        <w:jc w:val="center"/>
        <w:rPr>
          <w:rFonts w:ascii="Times New Roman" w:hAnsi="Times New Roman" w:eastAsia="宋体" w:cs="Times New Roman"/>
          <w:color w:val="auto"/>
          <w:sz w:val="24"/>
          <w:szCs w:val="21"/>
        </w:rPr>
      </w:pPr>
    </w:p>
    <w:p w14:paraId="635BBD07">
      <w:pPr>
        <w:pStyle w:val="9"/>
        <w:spacing w:line="240" w:lineRule="auto"/>
        <w:rPr>
          <w:rFonts w:asciiTheme="majorEastAsia" w:hAnsiTheme="majorEastAsia"/>
          <w:color w:val="auto"/>
        </w:rPr>
      </w:pPr>
      <w:r>
        <w:rPr>
          <w:rFonts w:hint="eastAsia" w:asciiTheme="majorEastAsia" w:hAnsiTheme="majorEastAsia"/>
          <w:color w:val="auto"/>
        </w:rPr>
        <w:t>单目标检测</w:t>
      </w:r>
    </w:p>
    <w:p w14:paraId="3EF86A21">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基于opencv的单目标检测对图像/视频中物体的轮廓、以及多边形计算和感兴趣区域计算等。使用边缘检测的滤波函数将非边缘区域转换成黑色，将边缘区域转换为白色或者其他饱和颜色。</w:t>
      </w:r>
    </w:p>
    <w:p w14:paraId="6B6273CF">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预处理训练模块中的去噪操作是在目标检测前进行的，提前进行了模糊滤波函数处理，减少将噪声错误的识别为边缘的过程，输出图像的每一个像素是核窗口内输入图像对应像素的像素的平均值，也就是所有像素加权系数相等。</w:t>
      </w:r>
    </w:p>
    <w:p w14:paraId="3668AC17">
      <w:pPr>
        <w:pStyle w:val="9"/>
        <w:spacing w:line="240" w:lineRule="auto"/>
        <w:rPr>
          <w:rFonts w:asciiTheme="majorEastAsia" w:hAnsiTheme="majorEastAsia"/>
          <w:color w:val="auto"/>
        </w:rPr>
      </w:pPr>
      <w:r>
        <w:rPr>
          <w:rFonts w:hint="eastAsia" w:asciiTheme="majorEastAsia" w:hAnsiTheme="majorEastAsia"/>
          <w:color w:val="auto"/>
        </w:rPr>
        <w:t>多目标检测</w:t>
      </w:r>
    </w:p>
    <w:p w14:paraId="4F549F11">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多目标检测是对多个不同目标检测对象进行多边形计算和感兴趣区域计算。在单目标检测的基础上进行二次加权。按照前面提取出来的各个潜在目标的特征参数编制一个对应于各潜在目标的目标链，进行逐帧更新。</w:t>
      </w:r>
    </w:p>
    <w:p w14:paraId="53C7C42C">
      <w:pPr>
        <w:pStyle w:val="9"/>
        <w:spacing w:line="240" w:lineRule="auto"/>
        <w:rPr>
          <w:rFonts w:asciiTheme="majorEastAsia" w:hAnsiTheme="majorEastAsia"/>
          <w:color w:val="auto"/>
        </w:rPr>
      </w:pPr>
      <w:r>
        <w:rPr>
          <w:rFonts w:hint="eastAsia" w:asciiTheme="majorEastAsia" w:hAnsiTheme="majorEastAsia"/>
          <w:color w:val="auto"/>
        </w:rPr>
        <w:t>案件目标筛选</w:t>
      </w:r>
    </w:p>
    <w:p w14:paraId="6B3A073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rPr>
        <w:t>不同类型的案件在预处理过程进行了规范，在识别出来的案件需要对目标进行归类快速筛选。通过对案件目标的筛选得到较为标准的分类规范，对接事件管理指挥分系统，进行事件的后续操作。</w:t>
      </w:r>
    </w:p>
    <w:p w14:paraId="45DD2A8C">
      <w:pPr>
        <w:pStyle w:val="3"/>
        <w:spacing w:line="240" w:lineRule="auto"/>
        <w:rPr>
          <w:color w:val="auto"/>
        </w:rPr>
      </w:pPr>
      <w:r>
        <w:rPr>
          <w:rFonts w:hint="eastAsia"/>
          <w:color w:val="auto"/>
        </w:rPr>
        <w:t>深度学习图像检测算法</w:t>
      </w:r>
    </w:p>
    <w:p w14:paraId="4A58F31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深度学习的图像检测算法模型，首先获取视频流媒体的帧数据，利用预训练（迁移学习）进行特征图提取，之后将得到的特征图片输入到边框区域网络，通过边框区域网络对特征图中可能存在的目标进行边框确定，并分割特征图的前景与背景部分，最后将回归后的目标特征与原始的特征图一并输入到网络全连接层，对目标物体的位置和类别进行判断，最终检测出图像的指定目标。</w:t>
      </w:r>
    </w:p>
    <w:p w14:paraId="5AAD7A51">
      <w:pPr>
        <w:ind w:firstLine="480" w:firstLineChars="200"/>
        <w:jc w:val="center"/>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drawing>
          <wp:inline distT="0" distB="0" distL="114300" distR="114300">
            <wp:extent cx="3515360" cy="4981575"/>
            <wp:effectExtent l="0" t="0" r="8890" b="9525"/>
            <wp:docPr id="33" name="图片 3" descr="神经模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descr="神经模型图"/>
                    <pic:cNvPicPr>
                      <a:picLocks noChangeAspect="1"/>
                    </pic:cNvPicPr>
                  </pic:nvPicPr>
                  <pic:blipFill>
                    <a:blip r:embed="rId18" cstate="print"/>
                    <a:stretch>
                      <a:fillRect/>
                    </a:stretch>
                  </pic:blipFill>
                  <pic:spPr>
                    <a:xfrm>
                      <a:off x="0" y="0"/>
                      <a:ext cx="3515360" cy="4981575"/>
                    </a:xfrm>
                    <a:prstGeom prst="rect">
                      <a:avLst/>
                    </a:prstGeom>
                    <a:noFill/>
                    <a:ln>
                      <a:noFill/>
                    </a:ln>
                  </pic:spPr>
                </pic:pic>
              </a:graphicData>
            </a:graphic>
          </wp:inline>
        </w:drawing>
      </w:r>
    </w:p>
    <w:p w14:paraId="723BA697">
      <w:pPr>
        <w:ind w:firstLine="480" w:firstLineChars="200"/>
        <w:jc w:val="center"/>
        <w:rPr>
          <w:rFonts w:cs="Times New Roman" w:asciiTheme="majorEastAsia" w:hAnsiTheme="majorEastAsia" w:eastAsiaTheme="majorEastAsia"/>
          <w:color w:val="auto"/>
          <w:sz w:val="24"/>
          <w:szCs w:val="21"/>
        </w:rPr>
      </w:pPr>
      <w:r>
        <w:rPr>
          <w:rFonts w:hint="eastAsia" w:ascii="Times New Roman" w:hAnsi="Times New Roman" w:eastAsia="宋体" w:cs="Times New Roman"/>
          <w:color w:val="auto"/>
          <w:sz w:val="24"/>
          <w:szCs w:val="21"/>
        </w:rPr>
        <w:t xml:space="preserve"> </w:t>
      </w:r>
      <w:bookmarkStart w:id="81" w:name="_Toc13809"/>
      <w:r>
        <w:rPr>
          <w:rFonts w:hint="eastAsia" w:ascii="Times New Roman" w:hAnsi="Times New Roman" w:eastAsia="宋体" w:cs="Times New Roman"/>
          <w:color w:val="auto"/>
          <w:sz w:val="24"/>
          <w:szCs w:val="21"/>
        </w:rPr>
        <w:t>深度学习图像检测算法流程</w:t>
      </w:r>
      <w:bookmarkEnd w:id="81"/>
      <w:r>
        <w:rPr>
          <w:rFonts w:hint="eastAsia" w:cs="Times New Roman" w:asciiTheme="majorEastAsia" w:hAnsiTheme="majorEastAsia" w:eastAsiaTheme="majorEastAsia"/>
          <w:color w:val="auto"/>
          <w:sz w:val="24"/>
          <w:szCs w:val="21"/>
        </w:rPr>
        <w:t>示意图</w:t>
      </w:r>
    </w:p>
    <w:p w14:paraId="63E034A1">
      <w:pPr>
        <w:ind w:firstLine="480" w:firstLineChars="200"/>
        <w:jc w:val="center"/>
        <w:rPr>
          <w:rFonts w:ascii="Times New Roman" w:hAnsi="Times New Roman" w:eastAsia="宋体" w:cs="Times New Roman"/>
          <w:color w:val="auto"/>
          <w:sz w:val="24"/>
          <w:szCs w:val="21"/>
        </w:rPr>
      </w:pPr>
    </w:p>
    <w:p w14:paraId="0EE67216">
      <w:pPr>
        <w:pStyle w:val="3"/>
        <w:spacing w:line="240" w:lineRule="auto"/>
        <w:rPr>
          <w:color w:val="auto"/>
        </w:rPr>
      </w:pPr>
      <w:r>
        <w:rPr>
          <w:rFonts w:hint="eastAsia"/>
          <w:color w:val="auto"/>
        </w:rPr>
        <w:t>Fast R-CNN算法</w:t>
      </w:r>
    </w:p>
    <w:p w14:paraId="0B966DD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Fast R-CNN算法是以深度学习技术为核心的目标检测算法。Fast R-CNN是一种全新的网络结构选择候选区域，即区域推荐网络RPN（Region Proposal Network），是可以训练的网络，使得目标检测算法从此可以端到端进行训练。Fast R-CNN包含三个重要的部分：特征提取网络、RPN、ROI池化（Region Intersting Pooling）。</w:t>
      </w:r>
    </w:p>
    <w:p w14:paraId="0626C49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特征提取网络</w:t>
      </w:r>
    </w:p>
    <w:p w14:paraId="2846AE2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特征提取是目标检测任务中很重要的一个环节。一般来说，骨干网络提取到特征的质量与检测的效果有密切的关系。特征提取做的越好，后续分类回归的难度就越小，最后检测的准确率相应地就越高。Fast R-CNN原论文中用的骨干网络是VGG-16，VGG-16参数量较大提取特征能力也比较有限，而且ResNet具有更少的参数量和更强的特征提取能力，所以论文使用的骨干网络是ResNet-101。下面主要就来介绍一下ResNet的网络结构。</w:t>
      </w:r>
    </w:p>
    <w:p w14:paraId="56ABA9D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drawing>
          <wp:inline distT="0" distB="0" distL="114300" distR="114300">
            <wp:extent cx="4841875" cy="2272030"/>
            <wp:effectExtent l="0" t="0" r="15875" b="13970"/>
            <wp:docPr id="7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8"/>
                    <pic:cNvPicPr>
                      <a:picLocks noChangeAspect="1"/>
                    </pic:cNvPicPr>
                  </pic:nvPicPr>
                  <pic:blipFill>
                    <a:blip r:embed="rId19" cstate="print"/>
                    <a:stretch>
                      <a:fillRect/>
                    </a:stretch>
                  </pic:blipFill>
                  <pic:spPr>
                    <a:xfrm>
                      <a:off x="0" y="0"/>
                      <a:ext cx="4849494" cy="2275410"/>
                    </a:xfrm>
                    <a:prstGeom prst="rect">
                      <a:avLst/>
                    </a:prstGeom>
                    <a:noFill/>
                    <a:ln>
                      <a:noFill/>
                    </a:ln>
                  </pic:spPr>
                </pic:pic>
              </a:graphicData>
            </a:graphic>
          </wp:inline>
        </w:drawing>
      </w:r>
    </w:p>
    <w:p w14:paraId="071C4545">
      <w:pPr>
        <w:ind w:firstLine="960" w:firstLineChars="4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图2-1                                      图2-2</w:t>
      </w:r>
    </w:p>
    <w:p w14:paraId="3944F24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ResNet，即深度残差网络（Deep Residual Network）这种结构的提出主要是解决深层网络难以训练的问题。单纯地堆叠全连接层或者卷积层增加网络的深度到一定程度，即网络加深到一定程度，经实验结果表明，算法的性能反而会下降。ResNet采取了残差连接的思想，巧妙地解决了这个问题。如图2-1所示，图中弯曲的箭头所表示的就是残差连接（shortcutconnection），如果把网络中连续的某几层看成一个模块，这种这种连接方式让模块的输入和输出连接起来，即对应的像素点相加作为整体输出。假设输入是X，模块层的输出是Ｆ（X），那么经过残差连接后最后一层输出为Ｆ（X）＋X。实际的使用中通常会在残差单元中添加1*1的卷积，进行先合并通道再还原通道的操作，可以通过这种方式减小网络参数量。这整体可以看成一个残差单元，而ResNet正是由残差单元堆叠而成，构成较深的网络。传统的特征提取网络一般都分为5个部分，同样ResNet也分成5个stage.论文使用的即ResNet-101，结构如图２-２所示。假设输入图片的尺寸是224*224，每个stage的输出stride就会翻倍，即尺寸变为原来一半。stage５的输出尺寸是７*７，stride大小是３２。另一方面，每个stage的输出通道（channel）也会翻倍，这也体现了卷积网络设计的思想：随着特征图尺寸的减小，增加通道（或者说卷积核）的数量，以保证整体特征数目的稳定。在残差单元内部，依然使用１*１卷积减小网络参数量。用于目标检测提取特征的ResNet－101去掉最后分类用的。</w:t>
      </w:r>
    </w:p>
    <w:p w14:paraId="35CCC3D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平均池化层和全连接层，仅仅保留各个stage的输出特征图。</w:t>
      </w:r>
    </w:p>
    <w:p w14:paraId="4CCF2F0A">
      <w:pPr>
        <w:ind w:firstLine="1912" w:firstLineChars="797"/>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drawing>
          <wp:inline distT="0" distB="0" distL="114300" distR="114300">
            <wp:extent cx="2957195" cy="3577590"/>
            <wp:effectExtent l="0" t="0" r="14605" b="3810"/>
            <wp:docPr id="7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
                    <pic:cNvPicPr>
                      <a:picLocks noChangeAspect="1"/>
                    </pic:cNvPicPr>
                  </pic:nvPicPr>
                  <pic:blipFill>
                    <a:blip r:embed="rId20" cstate="print"/>
                    <a:stretch>
                      <a:fillRect/>
                    </a:stretch>
                  </pic:blipFill>
                  <pic:spPr>
                    <a:xfrm>
                      <a:off x="0" y="0"/>
                      <a:ext cx="2960364" cy="3581421"/>
                    </a:xfrm>
                    <a:prstGeom prst="rect">
                      <a:avLst/>
                    </a:prstGeom>
                    <a:noFill/>
                    <a:ln>
                      <a:noFill/>
                    </a:ln>
                  </pic:spPr>
                </pic:pic>
              </a:graphicData>
            </a:graphic>
          </wp:inline>
        </w:drawing>
      </w:r>
    </w:p>
    <w:p w14:paraId="770F1A40">
      <w:pPr>
        <w:ind w:firstLine="480" w:firstLineChars="200"/>
        <w:jc w:val="center"/>
        <w:rPr>
          <w:rFonts w:ascii="Times New Roman" w:hAnsi="Times New Roman" w:eastAsia="宋体" w:cs="Times New Roman"/>
          <w:color w:val="auto"/>
          <w:sz w:val="24"/>
          <w:szCs w:val="21"/>
        </w:rPr>
      </w:pPr>
      <w:bookmarkStart w:id="82" w:name="_Toc23663"/>
      <w:r>
        <w:rPr>
          <w:rFonts w:hint="eastAsia" w:cs="宋体" w:asciiTheme="majorEastAsia" w:hAnsiTheme="majorEastAsia" w:eastAsiaTheme="majorEastAsia"/>
          <w:color w:val="auto"/>
          <w:sz w:val="24"/>
          <w:szCs w:val="21"/>
        </w:rPr>
        <w:t>输出特征</w:t>
      </w:r>
      <w:r>
        <w:rPr>
          <w:rFonts w:hint="eastAsia" w:ascii="Times New Roman" w:hAnsi="Times New Roman" w:eastAsia="宋体" w:cs="Times New Roman"/>
          <w:color w:val="auto"/>
          <w:sz w:val="24"/>
          <w:szCs w:val="21"/>
        </w:rPr>
        <w:t>示意图</w:t>
      </w:r>
    </w:p>
    <w:bookmarkEnd w:id="82"/>
    <w:p w14:paraId="03E0FD9E">
      <w:pPr>
        <w:ind w:firstLine="480" w:firstLineChars="200"/>
        <w:jc w:val="center"/>
        <w:rPr>
          <w:rFonts w:ascii="Times New Roman" w:hAnsi="Times New Roman" w:eastAsia="宋体" w:cs="Times New Roman"/>
          <w:color w:val="auto"/>
          <w:sz w:val="24"/>
          <w:szCs w:val="21"/>
        </w:rPr>
      </w:pPr>
    </w:p>
    <w:p w14:paraId="050E8E9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我们令ResNet每个stage的输出特征图分别为conv2,conv,conv3,conv4，conv5，也即C1,C2,C3,C4,C5。经典ResNet中C1,C2,C3,C4,C5对应的stride分别为2,4,8,32,C5输出尺寸是7*7。FasterR-CNN会用到C4和C5的特征：C4的特征用于生成候选区域框，C5的特征用于分类和边框回归。值得注意的是，特征提取网络的越高层（比如C5）包含的高层语义信息越丰富，越低层（如C3）包含的像素信息越丰富，丰富的像素信息有助于回归精确的边框，丰富的语义信息有助于对物体进行分类。在检测任务中合理利用像素信息和语义信息能够提升整体的检测精度。</w:t>
      </w:r>
    </w:p>
    <w:p w14:paraId="49CB41C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RPN</w:t>
      </w:r>
    </w:p>
    <w:p w14:paraId="7CA136C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RPN是整个FasterR-CNN框架最核心的部分，在此之前都是用传统方法产生候选区域，而RPN则是利用CNN提取到的特征生成候选区域框。RPN网络训练和测试略有不同，因为是基于深度学习理论的网络，有监督的网络训练需要标注信息，RPN在训练的时候会给生成的候选区域框打上标签。</w:t>
      </w:r>
    </w:p>
    <w:p w14:paraId="1A26BFEF">
      <w:pPr>
        <w:ind w:firstLine="480" w:firstLineChars="200"/>
        <w:jc w:val="center"/>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drawing>
          <wp:inline distT="0" distB="0" distL="114300" distR="114300">
            <wp:extent cx="3153410" cy="2224405"/>
            <wp:effectExtent l="0" t="0" r="8890" b="4445"/>
            <wp:docPr id="7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9"/>
                    <pic:cNvPicPr>
                      <a:picLocks noChangeAspect="1"/>
                    </pic:cNvPicPr>
                  </pic:nvPicPr>
                  <pic:blipFill>
                    <a:blip r:embed="rId21" cstate="print"/>
                    <a:stretch>
                      <a:fillRect/>
                    </a:stretch>
                  </pic:blipFill>
                  <pic:spPr>
                    <a:xfrm>
                      <a:off x="0" y="0"/>
                      <a:ext cx="3157967" cy="2228112"/>
                    </a:xfrm>
                    <a:prstGeom prst="rect">
                      <a:avLst/>
                    </a:prstGeom>
                    <a:noFill/>
                    <a:ln>
                      <a:noFill/>
                    </a:ln>
                  </pic:spPr>
                </pic:pic>
              </a:graphicData>
            </a:graphic>
          </wp:inline>
        </w:drawing>
      </w:r>
    </w:p>
    <w:p w14:paraId="0AD773FA">
      <w:pPr>
        <w:ind w:firstLine="480" w:firstLineChars="200"/>
        <w:jc w:val="center"/>
        <w:rPr>
          <w:rFonts w:ascii="Times New Roman" w:hAnsi="Times New Roman" w:eastAsia="宋体" w:cs="Times New Roman"/>
          <w:color w:val="auto"/>
          <w:sz w:val="24"/>
          <w:szCs w:val="21"/>
        </w:rPr>
      </w:pPr>
      <w:bookmarkStart w:id="83" w:name="_Toc28323"/>
      <w:r>
        <w:rPr>
          <w:rFonts w:hint="eastAsia" w:cs="宋体" w:asciiTheme="majorEastAsia" w:hAnsiTheme="majorEastAsia" w:eastAsiaTheme="majorEastAsia"/>
          <w:color w:val="auto"/>
          <w:sz w:val="24"/>
          <w:szCs w:val="21"/>
        </w:rPr>
        <w:t>RPN</w:t>
      </w:r>
      <w:r>
        <w:rPr>
          <w:rFonts w:hint="eastAsia" w:cs="Times New Roman" w:asciiTheme="majorEastAsia" w:hAnsiTheme="majorEastAsia" w:eastAsiaTheme="majorEastAsia"/>
          <w:color w:val="auto"/>
          <w:sz w:val="24"/>
          <w:szCs w:val="21"/>
        </w:rPr>
        <w:t>框架</w:t>
      </w:r>
      <w:bookmarkEnd w:id="83"/>
      <w:r>
        <w:rPr>
          <w:rFonts w:hint="eastAsia" w:ascii="Times New Roman" w:hAnsi="Times New Roman" w:eastAsia="宋体" w:cs="Times New Roman"/>
          <w:color w:val="auto"/>
          <w:sz w:val="24"/>
          <w:szCs w:val="21"/>
        </w:rPr>
        <w:t>示意图</w:t>
      </w:r>
    </w:p>
    <w:p w14:paraId="092673CB">
      <w:pPr>
        <w:ind w:firstLine="480" w:firstLineChars="200"/>
        <w:jc w:val="center"/>
        <w:rPr>
          <w:rFonts w:ascii="Times New Roman" w:hAnsi="Times New Roman" w:eastAsia="宋体" w:cs="Times New Roman"/>
          <w:color w:val="auto"/>
          <w:sz w:val="24"/>
          <w:szCs w:val="21"/>
        </w:rPr>
      </w:pPr>
    </w:p>
    <w:p w14:paraId="3C906FA6">
      <w:pPr>
        <w:ind w:firstLine="480" w:firstLineChars="200"/>
        <w:rPr>
          <w:rFonts w:cs="宋体" w:asciiTheme="majorEastAsia" w:hAnsiTheme="majorEastAsia" w:eastAsiaTheme="majorEastAsia"/>
          <w:color w:val="auto"/>
          <w:sz w:val="24"/>
          <w:szCs w:val="21"/>
        </w:rPr>
      </w:pPr>
    </w:p>
    <w:p w14:paraId="02A072A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ROI池化</w:t>
      </w:r>
    </w:p>
    <w:p w14:paraId="31DB6DC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RPN层输出的ROI是一系列尺寸不一的原图边框坐标，通过除以stride可以得到在对应特征层上的映射坐标，即ROI的在Ｃ４上的特征是ROI池化层的输入。ROI池化的目的是将不同尺寸的ROI特征图最大池化到同一尺寸，借鉴了SPP-Net的思想：假设ROI池化之后同一的输出大小是7*7，则把输入的特征图划分成7*7个网格，在每个网格中做最大池化（即选取该网格中最大值作为输出）。ROI池化之后的输出接着作为ResNet-101的stage5的输入，然后经过全局平均池化降维，降维后的向量分别输入两个全连接层做分类和边框回归。此时分类网络输出向量长度为实际类别个数加1（前景添加为1类），预测的边框回归系数为总类别个数*４，即对于每个类预测一组回归系数。同样，这一部分的loss也是多任务loss，是分类和边框回归loss之和，分类loss依然是交叉熵，边框回归loss是smoothL1。整个网络的loss是RPN loss和FasterR-CNN部分loss的和。这样一来，使得faster可以端到端训练。</w:t>
      </w:r>
    </w:p>
    <w:p w14:paraId="571FA35B">
      <w:pPr>
        <w:pStyle w:val="3"/>
        <w:spacing w:line="240" w:lineRule="auto"/>
        <w:rPr>
          <w:color w:val="auto"/>
        </w:rPr>
      </w:pPr>
      <w:r>
        <w:rPr>
          <w:rFonts w:hint="eastAsia"/>
          <w:color w:val="auto"/>
        </w:rPr>
        <w:t>案件处置图像均衡化</w:t>
      </w:r>
    </w:p>
    <w:p w14:paraId="20E8349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案件预处理器利用图像增强，图像处理等技术，对数据集中不完善的数据进行去噪、过滤等操作，达到数据预处理目的。</w:t>
      </w:r>
    </w:p>
    <w:p w14:paraId="6F47C00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利用图像直方图对对比度进行调整的方法，增加许多案件图片的局部对比度。通过对案件图片库中背景和前景都太亮或者太暗的图像进行处置，可以在环境因素或者光线问题导致的曝光过度或者曝光不足照片中得到更好的细节。</w:t>
      </w:r>
    </w:p>
    <w:p w14:paraId="017D7D1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案件预处理器实现过程是根据明亮图像、灰暗图像以及均匀灰度图像的直方图进行直方图均衡化，从而将目标区域从背景脱离出来，为下一步的案件目标识别检测做准备。累计分布函数CDF是案件于连续函数，所有小于等于a的值，其出现概率的和。F(a) = P(x&lt;=a)。针对于灰度级从[0,L-1]的图像，则是统计各个灰度级的累计分布概率，灰度值k(0&lt;k&lt;L-1)的累计概率是P(0), P(1),P(2).....P(K)之和。</w:t>
      </w:r>
    </w:p>
    <w:p w14:paraId="03FAB3FA">
      <w:pPr>
        <w:ind w:firstLine="480" w:firstLineChars="200"/>
        <w:jc w:val="center"/>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drawing>
          <wp:inline distT="0" distB="0" distL="114300" distR="114300">
            <wp:extent cx="2679065" cy="1765935"/>
            <wp:effectExtent l="0" t="0" r="6985" b="5715"/>
            <wp:docPr id="78" name="图片 4" descr="b7003af33a87e95079adccd318385343faf2b4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 descr="b7003af33a87e95079adccd318385343faf2b4d2"/>
                    <pic:cNvPicPr>
                      <a:picLocks noChangeAspect="1"/>
                    </pic:cNvPicPr>
                  </pic:nvPicPr>
                  <pic:blipFill>
                    <a:blip r:embed="rId22" cstate="print"/>
                    <a:stretch>
                      <a:fillRect/>
                    </a:stretch>
                  </pic:blipFill>
                  <pic:spPr>
                    <a:xfrm>
                      <a:off x="0" y="0"/>
                      <a:ext cx="2677793" cy="1765104"/>
                    </a:xfrm>
                    <a:prstGeom prst="rect">
                      <a:avLst/>
                    </a:prstGeom>
                    <a:noFill/>
                    <a:ln>
                      <a:noFill/>
                    </a:ln>
                  </pic:spPr>
                </pic:pic>
              </a:graphicData>
            </a:graphic>
          </wp:inline>
        </w:drawing>
      </w:r>
    </w:p>
    <w:p w14:paraId="2ED265B8">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84" w:name="_Toc22244"/>
      <w:r>
        <w:rPr>
          <w:rFonts w:hint="eastAsia" w:cs="Times New Roman" w:asciiTheme="majorEastAsia" w:hAnsiTheme="majorEastAsia" w:eastAsiaTheme="majorEastAsia"/>
          <w:color w:val="auto"/>
          <w:sz w:val="24"/>
          <w:szCs w:val="21"/>
        </w:rPr>
        <w:t>累计分布函数</w:t>
      </w:r>
      <w:bookmarkEnd w:id="84"/>
      <w:r>
        <w:rPr>
          <w:rFonts w:hint="eastAsia" w:ascii="Times New Roman" w:hAnsi="Times New Roman" w:eastAsia="宋体" w:cs="Times New Roman"/>
          <w:color w:val="auto"/>
          <w:sz w:val="24"/>
          <w:szCs w:val="21"/>
        </w:rPr>
        <w:t>示意图</w:t>
      </w:r>
    </w:p>
    <w:p w14:paraId="186A9C6A">
      <w:pPr>
        <w:ind w:firstLine="480" w:firstLineChars="200"/>
        <w:jc w:val="center"/>
        <w:rPr>
          <w:rFonts w:ascii="Times New Roman" w:hAnsi="Times New Roman" w:eastAsia="宋体" w:cs="Times New Roman"/>
          <w:color w:val="auto"/>
          <w:sz w:val="24"/>
          <w:szCs w:val="21"/>
        </w:rPr>
      </w:pPr>
    </w:p>
    <w:p w14:paraId="32759EF7">
      <w:pPr>
        <w:pStyle w:val="7"/>
        <w:spacing w:line="240" w:lineRule="auto"/>
        <w:rPr>
          <w:color w:val="auto"/>
        </w:rPr>
      </w:pPr>
      <w:r>
        <w:rPr>
          <w:rFonts w:hint="eastAsia"/>
          <w:color w:val="auto"/>
        </w:rPr>
        <w:t>系统功能设计</w:t>
      </w:r>
    </w:p>
    <w:p w14:paraId="43849DD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视频识别系统运用人工智能技术，对城市重点区域进行监控，实现热点城管案件的智能识别、记录取证、自动上报。充分利用丰富的视频资源，让每一路视频监控都成为一名全天候视频监督员，开启智能化城市管理新时代。</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城管案件智能识别平台主要包含实时信息、案件管理、摄像头管理、实时识别、系统配置五大模块。</w:t>
      </w:r>
    </w:p>
    <w:p w14:paraId="2E43C546">
      <w:pPr>
        <w:pStyle w:val="8"/>
        <w:spacing w:line="240" w:lineRule="auto"/>
        <w:rPr>
          <w:color w:val="auto"/>
        </w:rPr>
      </w:pPr>
      <w:r>
        <w:rPr>
          <w:rFonts w:hint="eastAsia"/>
          <w:color w:val="auto"/>
        </w:rPr>
        <w:t>实时信息</w:t>
      </w:r>
    </w:p>
    <w:p w14:paraId="61E6A1D3">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该模块主要分为三部分，提供件情况、案件高发地点、实时案件、案件在地图上的分布、摄像头分析情况、案件高发阶段、重复违规案件和今日案件类型分布。</w:t>
      </w:r>
    </w:p>
    <w:p w14:paraId="58F5109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drawing>
          <wp:inline distT="0" distB="0" distL="0" distR="0">
            <wp:extent cx="5506720" cy="3505200"/>
            <wp:effectExtent l="0" t="0" r="17780" b="0"/>
            <wp:docPr id="2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jpeg"/>
                    <pic:cNvPicPr>
                      <a:picLocks noChangeAspect="1"/>
                    </pic:cNvPicPr>
                  </pic:nvPicPr>
                  <pic:blipFill>
                    <a:blip r:embed="rId23" cstate="print"/>
                    <a:stretch>
                      <a:fillRect/>
                    </a:stretch>
                  </pic:blipFill>
                  <pic:spPr>
                    <a:xfrm>
                      <a:off x="0" y="0"/>
                      <a:ext cx="5506720" cy="3505200"/>
                    </a:xfrm>
                    <a:prstGeom prst="rect">
                      <a:avLst/>
                    </a:prstGeom>
                  </pic:spPr>
                </pic:pic>
              </a:graphicData>
            </a:graphic>
          </wp:inline>
        </w:drawing>
      </w:r>
    </w:p>
    <w:p w14:paraId="52D63B40">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85" w:name="_Toc11146"/>
      <w:r>
        <w:rPr>
          <w:rFonts w:hint="eastAsia" w:ascii="Times New Roman" w:hAnsi="Times New Roman" w:eastAsia="宋体" w:cs="Times New Roman"/>
          <w:color w:val="auto"/>
          <w:sz w:val="24"/>
          <w:szCs w:val="21"/>
        </w:rPr>
        <w:t>实时信息</w:t>
      </w:r>
      <w:bookmarkEnd w:id="85"/>
      <w:r>
        <w:rPr>
          <w:rFonts w:hint="eastAsia" w:ascii="Times New Roman" w:hAnsi="Times New Roman" w:eastAsia="宋体" w:cs="Times New Roman"/>
          <w:color w:val="auto"/>
          <w:sz w:val="24"/>
          <w:szCs w:val="21"/>
        </w:rPr>
        <w:t>示意图</w:t>
      </w:r>
    </w:p>
    <w:p w14:paraId="0F089466">
      <w:pPr>
        <w:ind w:firstLine="480" w:firstLineChars="200"/>
        <w:jc w:val="center"/>
        <w:rPr>
          <w:rFonts w:ascii="Times New Roman" w:hAnsi="Times New Roman" w:eastAsia="宋体" w:cs="Times New Roman"/>
          <w:color w:val="auto"/>
          <w:sz w:val="24"/>
          <w:szCs w:val="21"/>
        </w:rPr>
      </w:pPr>
    </w:p>
    <w:p w14:paraId="5082FD34">
      <w:pPr>
        <w:pStyle w:val="3"/>
        <w:spacing w:line="240" w:lineRule="auto"/>
        <w:rPr>
          <w:color w:val="auto"/>
        </w:rPr>
      </w:pPr>
      <w:r>
        <w:rPr>
          <w:rFonts w:hint="eastAsia"/>
          <w:color w:val="auto"/>
        </w:rPr>
        <w:t>今日案件情况</w:t>
      </w:r>
    </w:p>
    <w:p w14:paraId="0FA6630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识别案件：截止当前时间共识别案件数量（案件状态：未上报、已上报、已作废、已立案、处理中、已结案）；</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2)受理案件：案件状态为“已立案”的数量；</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3)结案案件：案件状态为“已</w:t>
      </w:r>
      <w:r>
        <w:rPr>
          <w:rFonts w:hint="eastAsia" w:cs="Times New Roman" w:asciiTheme="majorEastAsia" w:hAnsiTheme="majorEastAsia" w:eastAsiaTheme="majorEastAsia"/>
          <w:color w:val="auto"/>
          <w:sz w:val="24"/>
          <w:szCs w:val="21"/>
          <w:lang w:val="en-US" w:eastAsia="zh-CN"/>
        </w:rPr>
        <w:t>结</w:t>
      </w:r>
      <w:r>
        <w:rPr>
          <w:rFonts w:hint="eastAsia" w:cs="Times New Roman" w:asciiTheme="majorEastAsia" w:hAnsiTheme="majorEastAsia" w:eastAsiaTheme="majorEastAsia"/>
          <w:color w:val="auto"/>
          <w:sz w:val="24"/>
          <w:szCs w:val="21"/>
        </w:rPr>
        <w:t>案”和“已作废”的数量。</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b.案件高发地点：推送案件数量累计最多的三个地点；</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c.实时案件：实时更新推送当前系统识别到的最新的 5 个案件名称可查看案件详情。</w:t>
      </w:r>
    </w:p>
    <w:p w14:paraId="0B8090C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drawing>
          <wp:inline distT="0" distB="0" distL="0" distR="0">
            <wp:extent cx="5462905" cy="2671445"/>
            <wp:effectExtent l="0" t="0" r="4445" b="14605"/>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pic:cNvPicPr>
                      <a:picLocks noChangeAspect="1"/>
                    </pic:cNvPicPr>
                  </pic:nvPicPr>
                  <pic:blipFill>
                    <a:blip r:embed="rId24" cstate="print"/>
                    <a:stretch>
                      <a:fillRect/>
                    </a:stretch>
                  </pic:blipFill>
                  <pic:spPr>
                    <a:xfrm>
                      <a:off x="0" y="0"/>
                      <a:ext cx="5462905" cy="2671445"/>
                    </a:xfrm>
                    <a:prstGeom prst="rect">
                      <a:avLst/>
                    </a:prstGeom>
                  </pic:spPr>
                </pic:pic>
              </a:graphicData>
            </a:graphic>
          </wp:inline>
        </w:drawing>
      </w:r>
    </w:p>
    <w:p w14:paraId="7557DB67">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86" w:name="_Toc30980"/>
      <w:r>
        <w:rPr>
          <w:rFonts w:hint="eastAsia" w:ascii="Times New Roman" w:hAnsi="Times New Roman" w:eastAsia="宋体" w:cs="Times New Roman"/>
          <w:color w:val="auto"/>
          <w:sz w:val="24"/>
          <w:szCs w:val="21"/>
        </w:rPr>
        <w:t>今日案件情况</w:t>
      </w:r>
      <w:bookmarkEnd w:id="86"/>
      <w:r>
        <w:rPr>
          <w:rFonts w:hint="eastAsia" w:ascii="Times New Roman" w:hAnsi="Times New Roman" w:eastAsia="宋体" w:cs="Times New Roman"/>
          <w:color w:val="auto"/>
          <w:sz w:val="24"/>
          <w:szCs w:val="21"/>
        </w:rPr>
        <w:t>示意图</w:t>
      </w:r>
    </w:p>
    <w:p w14:paraId="33396056">
      <w:pPr>
        <w:pStyle w:val="3"/>
        <w:spacing w:line="240" w:lineRule="auto"/>
        <w:rPr>
          <w:color w:val="auto"/>
        </w:rPr>
      </w:pPr>
      <w:r>
        <w:rPr>
          <w:rFonts w:hint="eastAsia"/>
          <w:color w:val="auto"/>
        </w:rPr>
        <w:t>案件地图分布</w:t>
      </w:r>
    </w:p>
    <w:p w14:paraId="7CCAF741">
      <w:pPr>
        <w:ind w:firstLine="480" w:firstLineChars="200"/>
        <w:jc w:val="left"/>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地图缩放：可以通过上图左上角的“+”、“-”图标对地图进行缩放， 同时也可以使用鼠标的滑轮对地图进行缩放操作；</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b.搜索：通过上图右上角的搜索框功能栏进行搜索，可以直接在输入框中输入地点进行搜索，查看案件类型；也可以选择案件类型之后，再输入地点进行更精确的查询，查询结果会直接定位到地图中；</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c.查看对应地点案件详情：点击地图中的小圆圈，则可以查看截止目前为止，该地点案件发生情况，查看当前该摄像头的监控内容。</w:t>
      </w:r>
    </w:p>
    <w:p w14:paraId="03CED808">
      <w:pPr>
        <w:ind w:firstLine="480" w:firstLineChars="200"/>
        <w:jc w:val="center"/>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drawing>
          <wp:inline distT="0" distB="0" distL="0" distR="0">
            <wp:extent cx="3768090" cy="3435350"/>
            <wp:effectExtent l="0" t="0" r="3810" b="12700"/>
            <wp:docPr id="3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7.jpeg"/>
                    <pic:cNvPicPr>
                      <a:picLocks noChangeAspect="1"/>
                    </pic:cNvPicPr>
                  </pic:nvPicPr>
                  <pic:blipFill>
                    <a:blip r:embed="rId25" cstate="print"/>
                    <a:stretch>
                      <a:fillRect/>
                    </a:stretch>
                  </pic:blipFill>
                  <pic:spPr>
                    <a:xfrm>
                      <a:off x="0" y="0"/>
                      <a:ext cx="3779861" cy="3445932"/>
                    </a:xfrm>
                    <a:prstGeom prst="rect">
                      <a:avLst/>
                    </a:prstGeom>
                  </pic:spPr>
                </pic:pic>
              </a:graphicData>
            </a:graphic>
          </wp:inline>
        </w:drawing>
      </w:r>
    </w:p>
    <w:p w14:paraId="48CEBAF2">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87" w:name="_Toc11725"/>
      <w:r>
        <w:rPr>
          <w:rFonts w:hint="eastAsia" w:ascii="Times New Roman" w:hAnsi="Times New Roman" w:eastAsia="宋体" w:cs="Times New Roman"/>
          <w:color w:val="auto"/>
          <w:sz w:val="24"/>
          <w:szCs w:val="21"/>
        </w:rPr>
        <w:t>案件地图分布</w:t>
      </w:r>
      <w:bookmarkEnd w:id="87"/>
      <w:r>
        <w:rPr>
          <w:rFonts w:hint="eastAsia" w:ascii="Times New Roman" w:hAnsi="Times New Roman" w:eastAsia="宋体" w:cs="Times New Roman"/>
          <w:color w:val="auto"/>
          <w:sz w:val="24"/>
          <w:szCs w:val="21"/>
        </w:rPr>
        <w:t>示意图</w:t>
      </w:r>
    </w:p>
    <w:p w14:paraId="530F61EF">
      <w:pPr>
        <w:ind w:firstLine="480" w:firstLineChars="200"/>
        <w:jc w:val="center"/>
        <w:rPr>
          <w:rFonts w:ascii="Times New Roman" w:hAnsi="Times New Roman" w:eastAsia="宋体" w:cs="Times New Roman"/>
          <w:color w:val="auto"/>
          <w:sz w:val="24"/>
          <w:szCs w:val="21"/>
        </w:rPr>
      </w:pPr>
    </w:p>
    <w:p w14:paraId="7F71F3EA">
      <w:pPr>
        <w:pStyle w:val="3"/>
        <w:spacing w:line="240" w:lineRule="auto"/>
        <w:rPr>
          <w:color w:val="auto"/>
        </w:rPr>
      </w:pPr>
      <w:r>
        <w:rPr>
          <w:rFonts w:hint="eastAsia"/>
          <w:color w:val="auto"/>
        </w:rPr>
        <w:t>摄像头分析情况</w:t>
      </w:r>
    </w:p>
    <w:p w14:paraId="008253E2">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展示当前平台摄像头总数，开启案件识别分析的摄像头个数，和未开启案件识别分析的个数。</w:t>
      </w:r>
    </w:p>
    <w:p w14:paraId="05F8F8B9">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摄像头数量：展示接入视频AI识别算法的摄像头数量；</w:t>
      </w:r>
    </w:p>
    <w:p w14:paraId="3AB45F4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摄像头开启数量：显示已经开启的摄像头数量；</w:t>
      </w:r>
    </w:p>
    <w:p w14:paraId="659A554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摄像头关闭数量：显示关闭的摄像头数量；</w:t>
      </w:r>
    </w:p>
    <w:p w14:paraId="19CF654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drawing>
          <wp:inline distT="0" distB="0" distL="0" distR="0">
            <wp:extent cx="4397375" cy="1304290"/>
            <wp:effectExtent l="0" t="0" r="3175" b="1016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397375" cy="1304290"/>
                    </a:xfrm>
                    <a:prstGeom prst="rect">
                      <a:avLst/>
                    </a:prstGeom>
                    <a:noFill/>
                    <a:ln>
                      <a:noFill/>
                    </a:ln>
                  </pic:spPr>
                </pic:pic>
              </a:graphicData>
            </a:graphic>
          </wp:inline>
        </w:drawing>
      </w:r>
      <w:r>
        <w:rPr>
          <w:rFonts w:hint="eastAsia" w:cs="Times New Roman" w:asciiTheme="majorEastAsia" w:hAnsiTheme="majorEastAsia" w:eastAsiaTheme="majorEastAsia"/>
          <w:color w:val="auto"/>
          <w:sz w:val="24"/>
          <w:szCs w:val="21"/>
        </w:rPr>
        <w:t xml:space="preserve"> </w:t>
      </w:r>
    </w:p>
    <w:p w14:paraId="10BB1A28">
      <w:pPr>
        <w:ind w:firstLine="480" w:firstLineChars="200"/>
        <w:jc w:val="center"/>
        <w:rPr>
          <w:rFonts w:ascii="Times New Roman" w:hAnsi="Times New Roman" w:eastAsia="宋体" w:cs="Times New Roman"/>
          <w:color w:val="auto"/>
          <w:sz w:val="24"/>
          <w:szCs w:val="21"/>
        </w:rPr>
      </w:pPr>
      <w:bookmarkStart w:id="88" w:name="_Toc16085"/>
      <w:r>
        <w:rPr>
          <w:rFonts w:hint="eastAsia" w:ascii="Times New Roman" w:hAnsi="Times New Roman" w:eastAsia="宋体" w:cs="Times New Roman"/>
          <w:color w:val="auto"/>
          <w:sz w:val="24"/>
          <w:szCs w:val="21"/>
        </w:rPr>
        <w:t>摄像头分析情况</w:t>
      </w:r>
      <w:bookmarkEnd w:id="88"/>
      <w:r>
        <w:rPr>
          <w:rFonts w:hint="eastAsia" w:ascii="Times New Roman" w:hAnsi="Times New Roman" w:eastAsia="宋体" w:cs="Times New Roman"/>
          <w:color w:val="auto"/>
          <w:sz w:val="24"/>
          <w:szCs w:val="21"/>
        </w:rPr>
        <w:t>示意图</w:t>
      </w:r>
    </w:p>
    <w:p w14:paraId="028D4A42">
      <w:pPr>
        <w:ind w:firstLine="480" w:firstLineChars="200"/>
        <w:jc w:val="center"/>
        <w:rPr>
          <w:rFonts w:ascii="Times New Roman" w:hAnsi="Times New Roman" w:eastAsia="宋体" w:cs="Times New Roman"/>
          <w:color w:val="auto"/>
          <w:sz w:val="24"/>
          <w:szCs w:val="21"/>
        </w:rPr>
      </w:pPr>
    </w:p>
    <w:p w14:paraId="44BC3889">
      <w:pPr>
        <w:pStyle w:val="3"/>
        <w:spacing w:line="240" w:lineRule="auto"/>
        <w:rPr>
          <w:color w:val="auto"/>
        </w:rPr>
      </w:pPr>
      <w:r>
        <w:rPr>
          <w:rFonts w:hint="eastAsia"/>
          <w:color w:val="auto"/>
        </w:rPr>
        <w:t>案件高发时段</w:t>
      </w:r>
    </w:p>
    <w:p w14:paraId="6FEF8D5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统计每个时段案件数量</w:t>
      </w:r>
    </w:p>
    <w:p w14:paraId="609F0B43">
      <w:pPr>
        <w:pStyle w:val="3"/>
        <w:spacing w:line="240" w:lineRule="auto"/>
        <w:rPr>
          <w:color w:val="auto"/>
        </w:rPr>
      </w:pPr>
      <w:r>
        <w:rPr>
          <w:rFonts w:hint="eastAsia"/>
          <w:color w:val="auto"/>
        </w:rPr>
        <w:t>重复违规案件</w:t>
      </w:r>
    </w:p>
    <w:p w14:paraId="32B9679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展示该地点案件重复违规累积数量排在前两位的地方，点击可以查看详情；今日案件类型分布</w:t>
      </w:r>
    </w:p>
    <w:p w14:paraId="3C398D90">
      <w:pPr>
        <w:pStyle w:val="3"/>
        <w:spacing w:line="240" w:lineRule="auto"/>
        <w:rPr>
          <w:color w:val="auto"/>
        </w:rPr>
      </w:pPr>
      <w:r>
        <w:rPr>
          <w:rFonts w:hint="eastAsia"/>
          <w:color w:val="auto"/>
        </w:rPr>
        <w:t>今日案件类型分布</w:t>
      </w:r>
    </w:p>
    <w:p w14:paraId="4137463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ab/>
      </w:r>
      <w:r>
        <w:rPr>
          <w:rFonts w:hint="eastAsia" w:cs="Times New Roman" w:asciiTheme="majorEastAsia" w:hAnsiTheme="majorEastAsia" w:eastAsiaTheme="majorEastAsia"/>
          <w:color w:val="auto"/>
          <w:sz w:val="24"/>
          <w:szCs w:val="21"/>
        </w:rPr>
        <w:t>示案件类型前5名，占总案件数量的百分比。</w:t>
      </w:r>
    </w:p>
    <w:p w14:paraId="7EC36F9B">
      <w:pPr>
        <w:pStyle w:val="8"/>
        <w:spacing w:line="240" w:lineRule="auto"/>
        <w:rPr>
          <w:color w:val="auto"/>
        </w:rPr>
      </w:pPr>
      <w:r>
        <w:rPr>
          <w:rFonts w:hint="eastAsia"/>
          <w:color w:val="auto"/>
        </w:rPr>
        <w:t>案件管理</w:t>
      </w:r>
    </w:p>
    <w:p w14:paraId="58028B0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案件管理提供案件查询、导出，案件删除和案件审核功能。</w:t>
      </w:r>
    </w:p>
    <w:p w14:paraId="1F54945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drawing>
          <wp:inline distT="0" distB="0" distL="0" distR="0">
            <wp:extent cx="5535930" cy="2790825"/>
            <wp:effectExtent l="0" t="0" r="7620" b="9525"/>
            <wp:docPr id="66"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9.jpeg"/>
                    <pic:cNvPicPr>
                      <a:picLocks noChangeAspect="1"/>
                    </pic:cNvPicPr>
                  </pic:nvPicPr>
                  <pic:blipFill>
                    <a:blip r:embed="rId27" cstate="print"/>
                    <a:stretch>
                      <a:fillRect/>
                    </a:stretch>
                  </pic:blipFill>
                  <pic:spPr>
                    <a:xfrm>
                      <a:off x="0" y="0"/>
                      <a:ext cx="5535930" cy="2790825"/>
                    </a:xfrm>
                    <a:prstGeom prst="rect">
                      <a:avLst/>
                    </a:prstGeom>
                  </pic:spPr>
                </pic:pic>
              </a:graphicData>
            </a:graphic>
          </wp:inline>
        </w:drawing>
      </w:r>
    </w:p>
    <w:p w14:paraId="52ED6D22">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89" w:name="_Toc4181"/>
      <w:r>
        <w:rPr>
          <w:rFonts w:hint="eastAsia" w:ascii="Times New Roman" w:hAnsi="Times New Roman" w:eastAsia="宋体" w:cs="Times New Roman"/>
          <w:color w:val="auto"/>
          <w:sz w:val="24"/>
          <w:szCs w:val="21"/>
        </w:rPr>
        <w:t>案件管理</w:t>
      </w:r>
      <w:bookmarkEnd w:id="89"/>
      <w:r>
        <w:rPr>
          <w:rFonts w:hint="eastAsia" w:ascii="Times New Roman" w:hAnsi="Times New Roman" w:eastAsia="宋体" w:cs="Times New Roman"/>
          <w:color w:val="auto"/>
          <w:sz w:val="24"/>
          <w:szCs w:val="21"/>
        </w:rPr>
        <w:t>示意图</w:t>
      </w:r>
    </w:p>
    <w:p w14:paraId="7A30BE2C">
      <w:pPr>
        <w:ind w:firstLine="480" w:firstLineChars="200"/>
        <w:jc w:val="center"/>
        <w:rPr>
          <w:rFonts w:ascii="Times New Roman" w:hAnsi="Times New Roman" w:eastAsia="宋体" w:cs="Times New Roman"/>
          <w:color w:val="auto"/>
          <w:sz w:val="24"/>
          <w:szCs w:val="21"/>
        </w:rPr>
      </w:pPr>
    </w:p>
    <w:p w14:paraId="0B4D2D94">
      <w:pPr>
        <w:pStyle w:val="3"/>
        <w:spacing w:line="240" w:lineRule="auto"/>
        <w:rPr>
          <w:color w:val="auto"/>
        </w:rPr>
      </w:pPr>
      <w:r>
        <w:rPr>
          <w:rFonts w:hint="eastAsia"/>
          <w:color w:val="auto"/>
        </w:rPr>
        <w:t>案件查询</w:t>
      </w:r>
    </w:p>
    <w:p w14:paraId="27B82432">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提供根据案件类型，案件状态，案件起止时间进行查询，查询结果显示在下面内容；可以对查询结果进行导出为 Excel 表格。</w:t>
      </w:r>
    </w:p>
    <w:p w14:paraId="77B820A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drawing>
          <wp:inline distT="0" distB="0" distL="0" distR="0">
            <wp:extent cx="5494020" cy="914400"/>
            <wp:effectExtent l="0" t="0" r="11430" b="0"/>
            <wp:docPr id="6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0.jpeg"/>
                    <pic:cNvPicPr>
                      <a:picLocks noChangeAspect="1"/>
                    </pic:cNvPicPr>
                  </pic:nvPicPr>
                  <pic:blipFill>
                    <a:blip r:embed="rId28" cstate="print"/>
                    <a:stretch>
                      <a:fillRect/>
                    </a:stretch>
                  </pic:blipFill>
                  <pic:spPr>
                    <a:xfrm>
                      <a:off x="0" y="0"/>
                      <a:ext cx="5494020" cy="914400"/>
                    </a:xfrm>
                    <a:prstGeom prst="rect">
                      <a:avLst/>
                    </a:prstGeom>
                  </pic:spPr>
                </pic:pic>
              </a:graphicData>
            </a:graphic>
          </wp:inline>
        </w:drawing>
      </w:r>
    </w:p>
    <w:p w14:paraId="0064976F">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90" w:name="_Toc20012"/>
      <w:r>
        <w:rPr>
          <w:rFonts w:hint="eastAsia" w:ascii="Times New Roman" w:hAnsi="Times New Roman" w:eastAsia="宋体" w:cs="Times New Roman"/>
          <w:color w:val="auto"/>
          <w:sz w:val="24"/>
          <w:szCs w:val="21"/>
        </w:rPr>
        <w:t>案件查询</w:t>
      </w:r>
      <w:bookmarkEnd w:id="90"/>
      <w:r>
        <w:rPr>
          <w:rFonts w:hint="eastAsia" w:ascii="Times New Roman" w:hAnsi="Times New Roman" w:eastAsia="宋体" w:cs="Times New Roman"/>
          <w:color w:val="auto"/>
          <w:sz w:val="24"/>
          <w:szCs w:val="21"/>
        </w:rPr>
        <w:t>示意图</w:t>
      </w:r>
    </w:p>
    <w:p w14:paraId="612C7CCD">
      <w:pPr>
        <w:ind w:firstLine="480" w:firstLineChars="200"/>
        <w:jc w:val="center"/>
        <w:rPr>
          <w:rFonts w:ascii="Times New Roman" w:hAnsi="Times New Roman" w:eastAsia="宋体" w:cs="Times New Roman"/>
          <w:color w:val="auto"/>
          <w:sz w:val="24"/>
          <w:szCs w:val="21"/>
        </w:rPr>
      </w:pPr>
    </w:p>
    <w:p w14:paraId="5EB6B7BA">
      <w:pPr>
        <w:pStyle w:val="3"/>
        <w:spacing w:line="240" w:lineRule="auto"/>
        <w:rPr>
          <w:color w:val="auto"/>
        </w:rPr>
      </w:pPr>
      <w:r>
        <w:rPr>
          <w:rFonts w:hint="eastAsia"/>
          <w:color w:val="auto"/>
        </w:rPr>
        <w:t>案件一览</w:t>
      </w:r>
    </w:p>
    <w:p w14:paraId="16A120F3">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针对不同事件专题进行事件详情查看，事件详情包含事件文字详情以及事件截图一览，能够通过截图对事件概貌有所掌握，从而有更加高效的事件解决过程。</w:t>
      </w:r>
    </w:p>
    <w:p w14:paraId="66830E1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1、事发地摄像头查看：可以查看发现案件摄像头的实时视频流，方便掌握现场的实时状况；</w:t>
      </w:r>
    </w:p>
    <w:p w14:paraId="57D5A895">
      <w:pPr>
        <w:pStyle w:val="12"/>
        <w:spacing w:line="240" w:lineRule="auto"/>
        <w:ind w:firstLine="480"/>
        <w:rPr>
          <w:color w:val="auto"/>
        </w:rPr>
      </w:pPr>
      <w:r>
        <w:rPr>
          <w:rFonts w:hint="eastAsia" w:asciiTheme="majorEastAsia" w:hAnsiTheme="majorEastAsia" w:eastAsiaTheme="majorEastAsia"/>
          <w:color w:val="auto"/>
        </w:rPr>
        <w:drawing>
          <wp:inline distT="0" distB="0" distL="0" distR="0">
            <wp:extent cx="5759450" cy="3063875"/>
            <wp:effectExtent l="0" t="0" r="12700" b="317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759450" cy="3063875"/>
                    </a:xfrm>
                    <a:prstGeom prst="rect">
                      <a:avLst/>
                    </a:prstGeom>
                    <a:noFill/>
                    <a:ln>
                      <a:noFill/>
                    </a:ln>
                  </pic:spPr>
                </pic:pic>
              </a:graphicData>
            </a:graphic>
          </wp:inline>
        </w:drawing>
      </w:r>
    </w:p>
    <w:p w14:paraId="5426CD76">
      <w:pPr>
        <w:ind w:firstLine="480" w:firstLineChars="200"/>
        <w:jc w:val="center"/>
        <w:rPr>
          <w:rFonts w:ascii="Times New Roman" w:hAnsi="Times New Roman" w:eastAsia="宋体" w:cs="Times New Roman"/>
          <w:color w:val="auto"/>
          <w:sz w:val="24"/>
        </w:rPr>
      </w:pPr>
      <w:r>
        <w:rPr>
          <w:rFonts w:hint="eastAsia"/>
          <w:color w:val="auto"/>
          <w:sz w:val="24"/>
        </w:rPr>
        <w:t xml:space="preserve"> </w:t>
      </w:r>
      <w:bookmarkStart w:id="91" w:name="_Toc30770"/>
      <w:r>
        <w:rPr>
          <w:rFonts w:hint="eastAsia" w:asciiTheme="majorEastAsia" w:hAnsiTheme="majorEastAsia" w:eastAsiaTheme="majorEastAsia"/>
          <w:color w:val="auto"/>
          <w:sz w:val="24"/>
        </w:rPr>
        <w:t>摄像头查询</w:t>
      </w:r>
      <w:bookmarkEnd w:id="91"/>
      <w:r>
        <w:rPr>
          <w:rFonts w:hint="eastAsia" w:ascii="Times New Roman" w:hAnsi="Times New Roman" w:eastAsia="宋体" w:cs="Times New Roman"/>
          <w:color w:val="auto"/>
          <w:sz w:val="24"/>
        </w:rPr>
        <w:t>示意图</w:t>
      </w:r>
    </w:p>
    <w:p w14:paraId="4CF50156">
      <w:pPr>
        <w:pStyle w:val="12"/>
        <w:spacing w:line="240" w:lineRule="auto"/>
        <w:ind w:firstLine="480"/>
        <w:rPr>
          <w:rFonts w:asciiTheme="majorEastAsia" w:hAnsiTheme="majorEastAsia" w:eastAsiaTheme="majorEastAsia"/>
          <w:color w:val="auto"/>
        </w:rPr>
      </w:pPr>
    </w:p>
    <w:p w14:paraId="529A58B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2、案件照片查看：展示视频AI识别的到的案件照片；</w:t>
      </w:r>
    </w:p>
    <w:p w14:paraId="577A9CED">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3、事件准确率展示：展示视频AI识别到的案件的准确率值，可提供给工作人员做为案件立案判别的基础。</w:t>
      </w:r>
    </w:p>
    <w:p w14:paraId="4CF46C9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drawing>
          <wp:inline distT="0" distB="0" distL="0" distR="0">
            <wp:extent cx="5048885" cy="4341495"/>
            <wp:effectExtent l="0" t="0" r="18415" b="190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048885" cy="4341495"/>
                    </a:xfrm>
                    <a:prstGeom prst="rect">
                      <a:avLst/>
                    </a:prstGeom>
                    <a:noFill/>
                    <a:ln>
                      <a:noFill/>
                    </a:ln>
                  </pic:spPr>
                </pic:pic>
              </a:graphicData>
            </a:graphic>
          </wp:inline>
        </w:drawing>
      </w:r>
      <w:r>
        <w:rPr>
          <w:rFonts w:hint="eastAsia" w:cs="Times New Roman" w:asciiTheme="majorEastAsia" w:hAnsiTheme="majorEastAsia" w:eastAsiaTheme="majorEastAsia"/>
          <w:color w:val="auto"/>
          <w:sz w:val="24"/>
          <w:szCs w:val="21"/>
        </w:rPr>
        <w:t xml:space="preserve"> </w:t>
      </w:r>
    </w:p>
    <w:p w14:paraId="170837CC">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92" w:name="_Toc18987"/>
      <w:r>
        <w:rPr>
          <w:rFonts w:hint="eastAsia" w:cs="Times New Roman" w:asciiTheme="majorEastAsia" w:hAnsiTheme="majorEastAsia" w:eastAsiaTheme="majorEastAsia"/>
          <w:color w:val="auto"/>
          <w:sz w:val="24"/>
          <w:szCs w:val="21"/>
        </w:rPr>
        <w:t>事件展示</w:t>
      </w:r>
      <w:bookmarkEnd w:id="92"/>
      <w:r>
        <w:rPr>
          <w:rFonts w:hint="eastAsia" w:ascii="Times New Roman" w:hAnsi="Times New Roman" w:eastAsia="宋体" w:cs="Times New Roman"/>
          <w:color w:val="auto"/>
          <w:sz w:val="24"/>
          <w:szCs w:val="21"/>
        </w:rPr>
        <w:t>示意图</w:t>
      </w:r>
    </w:p>
    <w:p w14:paraId="0D3C94B4">
      <w:pPr>
        <w:ind w:firstLine="480" w:firstLineChars="200"/>
        <w:jc w:val="center"/>
        <w:rPr>
          <w:rFonts w:cs="Times New Roman" w:asciiTheme="majorEastAsia" w:hAnsiTheme="majorEastAsia" w:eastAsiaTheme="majorEastAsia"/>
          <w:color w:val="auto"/>
          <w:sz w:val="24"/>
          <w:szCs w:val="21"/>
        </w:rPr>
      </w:pPr>
    </w:p>
    <w:p w14:paraId="1BD2D01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4、案件发生地：展示案件发生的位置。</w:t>
      </w:r>
    </w:p>
    <w:p w14:paraId="07BE42E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drawing>
          <wp:inline distT="0" distB="0" distL="0" distR="0">
            <wp:extent cx="3275965" cy="2886075"/>
            <wp:effectExtent l="0" t="0" r="63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275965" cy="2886075"/>
                    </a:xfrm>
                    <a:prstGeom prst="rect">
                      <a:avLst/>
                    </a:prstGeom>
                    <a:noFill/>
                    <a:ln>
                      <a:noFill/>
                    </a:ln>
                  </pic:spPr>
                </pic:pic>
              </a:graphicData>
            </a:graphic>
          </wp:inline>
        </w:drawing>
      </w:r>
      <w:r>
        <w:rPr>
          <w:rFonts w:hint="eastAsia" w:cs="Times New Roman" w:asciiTheme="majorEastAsia" w:hAnsiTheme="majorEastAsia" w:eastAsiaTheme="majorEastAsia"/>
          <w:color w:val="auto"/>
          <w:sz w:val="24"/>
          <w:szCs w:val="21"/>
        </w:rPr>
        <w:t xml:space="preserve"> </w:t>
      </w:r>
    </w:p>
    <w:p w14:paraId="66A3D6A2">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93" w:name="_Toc9275"/>
      <w:r>
        <w:rPr>
          <w:rFonts w:hint="eastAsia" w:ascii="Times New Roman" w:hAnsi="Times New Roman" w:eastAsia="宋体" w:cs="Times New Roman"/>
          <w:color w:val="auto"/>
          <w:sz w:val="24"/>
          <w:szCs w:val="21"/>
        </w:rPr>
        <w:t>案件发生地</w:t>
      </w:r>
      <w:bookmarkEnd w:id="93"/>
      <w:r>
        <w:rPr>
          <w:rFonts w:hint="eastAsia" w:ascii="Times New Roman" w:hAnsi="Times New Roman" w:eastAsia="宋体" w:cs="Times New Roman"/>
          <w:color w:val="auto"/>
          <w:sz w:val="24"/>
          <w:szCs w:val="21"/>
        </w:rPr>
        <w:t>示意图</w:t>
      </w:r>
    </w:p>
    <w:p w14:paraId="29C2AC04">
      <w:pPr>
        <w:ind w:firstLine="480" w:firstLineChars="200"/>
        <w:jc w:val="center"/>
        <w:rPr>
          <w:rFonts w:ascii="Times New Roman" w:hAnsi="Times New Roman" w:eastAsia="宋体" w:cs="Times New Roman"/>
          <w:color w:val="auto"/>
          <w:sz w:val="24"/>
          <w:szCs w:val="21"/>
        </w:rPr>
      </w:pPr>
    </w:p>
    <w:p w14:paraId="73186309">
      <w:pPr>
        <w:pStyle w:val="3"/>
        <w:spacing w:line="240" w:lineRule="auto"/>
        <w:rPr>
          <w:color w:val="auto"/>
        </w:rPr>
      </w:pPr>
      <w:r>
        <w:rPr>
          <w:rFonts w:hint="eastAsia"/>
          <w:color w:val="auto"/>
        </w:rPr>
        <w:t>案件视频回放</w:t>
      </w:r>
    </w:p>
    <w:p w14:paraId="382F8A6C">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待核实的案件需要对事件进行详细查看，则播放案件视频，在设定的时间区间内播放视频案件。</w:t>
      </w:r>
    </w:p>
    <w:p w14:paraId="585524A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drawing>
          <wp:inline distT="0" distB="0" distL="114300" distR="114300">
            <wp:extent cx="4873625" cy="3014980"/>
            <wp:effectExtent l="0" t="0" r="3175" b="13970"/>
            <wp:docPr id="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
                    <pic:cNvPicPr>
                      <a:picLocks noChangeAspect="1"/>
                    </pic:cNvPicPr>
                  </pic:nvPicPr>
                  <pic:blipFill>
                    <a:blip r:embed="rId32" cstate="print"/>
                    <a:stretch>
                      <a:fillRect/>
                    </a:stretch>
                  </pic:blipFill>
                  <pic:spPr>
                    <a:xfrm>
                      <a:off x="0" y="0"/>
                      <a:ext cx="4875141" cy="3015709"/>
                    </a:xfrm>
                    <a:prstGeom prst="rect">
                      <a:avLst/>
                    </a:prstGeom>
                    <a:noFill/>
                    <a:ln>
                      <a:noFill/>
                    </a:ln>
                  </pic:spPr>
                </pic:pic>
              </a:graphicData>
            </a:graphic>
          </wp:inline>
        </w:drawing>
      </w:r>
    </w:p>
    <w:p w14:paraId="1A35FC6B">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94" w:name="_Toc9"/>
      <w:r>
        <w:rPr>
          <w:rFonts w:hint="eastAsia" w:ascii="Times New Roman" w:hAnsi="Times New Roman" w:eastAsia="宋体" w:cs="Times New Roman"/>
          <w:color w:val="auto"/>
          <w:sz w:val="24"/>
          <w:szCs w:val="21"/>
        </w:rPr>
        <w:t>案件视频回放</w:t>
      </w:r>
      <w:bookmarkEnd w:id="94"/>
      <w:r>
        <w:rPr>
          <w:rFonts w:hint="eastAsia" w:ascii="Times New Roman" w:hAnsi="Times New Roman" w:eastAsia="宋体" w:cs="Times New Roman"/>
          <w:color w:val="auto"/>
          <w:sz w:val="24"/>
          <w:szCs w:val="21"/>
        </w:rPr>
        <w:t>示意图</w:t>
      </w:r>
    </w:p>
    <w:p w14:paraId="74DD5C91">
      <w:pPr>
        <w:ind w:firstLine="480" w:firstLineChars="200"/>
        <w:jc w:val="center"/>
        <w:rPr>
          <w:rFonts w:ascii="Times New Roman" w:hAnsi="Times New Roman" w:eastAsia="宋体" w:cs="Times New Roman"/>
          <w:color w:val="auto"/>
          <w:sz w:val="24"/>
          <w:szCs w:val="21"/>
        </w:rPr>
      </w:pPr>
    </w:p>
    <w:p w14:paraId="03C602C4">
      <w:pPr>
        <w:pStyle w:val="3"/>
        <w:spacing w:line="240" w:lineRule="auto"/>
        <w:rPr>
          <w:color w:val="auto"/>
        </w:rPr>
      </w:pPr>
      <w:r>
        <w:rPr>
          <w:rFonts w:hint="eastAsia"/>
          <w:color w:val="auto"/>
        </w:rPr>
        <w:t>案件删除</w:t>
      </w:r>
    </w:p>
    <w:p w14:paraId="304C5A9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以缩略图方式展示案件列表并提供批量删除功能，在案件右上方勾选想要删除的案件可将案件删除。</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drawing>
          <wp:inline distT="0" distB="0" distL="0" distR="0">
            <wp:extent cx="5531485" cy="2112010"/>
            <wp:effectExtent l="0" t="0" r="12065" b="2540"/>
            <wp:docPr id="70"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1.jpeg"/>
                    <pic:cNvPicPr>
                      <a:picLocks noChangeAspect="1"/>
                    </pic:cNvPicPr>
                  </pic:nvPicPr>
                  <pic:blipFill>
                    <a:blip r:embed="rId33" cstate="print"/>
                    <a:stretch>
                      <a:fillRect/>
                    </a:stretch>
                  </pic:blipFill>
                  <pic:spPr>
                    <a:xfrm>
                      <a:off x="0" y="0"/>
                      <a:ext cx="5531485" cy="2112010"/>
                    </a:xfrm>
                    <a:prstGeom prst="rect">
                      <a:avLst/>
                    </a:prstGeom>
                  </pic:spPr>
                </pic:pic>
              </a:graphicData>
            </a:graphic>
          </wp:inline>
        </w:drawing>
      </w:r>
    </w:p>
    <w:p w14:paraId="72EF5A72">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95" w:name="_Toc8181"/>
      <w:r>
        <w:rPr>
          <w:rFonts w:hint="eastAsia" w:ascii="Times New Roman" w:hAnsi="Times New Roman" w:eastAsia="宋体" w:cs="Times New Roman"/>
          <w:color w:val="auto"/>
          <w:sz w:val="24"/>
          <w:szCs w:val="21"/>
        </w:rPr>
        <w:t>案件删除</w:t>
      </w:r>
      <w:bookmarkEnd w:id="95"/>
      <w:r>
        <w:rPr>
          <w:rFonts w:hint="eastAsia" w:ascii="Times New Roman" w:hAnsi="Times New Roman" w:eastAsia="宋体" w:cs="Times New Roman"/>
          <w:color w:val="auto"/>
          <w:sz w:val="24"/>
          <w:szCs w:val="21"/>
        </w:rPr>
        <w:t>示意图</w:t>
      </w:r>
    </w:p>
    <w:p w14:paraId="3930BE2B">
      <w:pPr>
        <w:ind w:firstLine="480" w:firstLineChars="200"/>
        <w:jc w:val="center"/>
        <w:rPr>
          <w:rFonts w:ascii="Times New Roman" w:hAnsi="Times New Roman" w:eastAsia="宋体" w:cs="Times New Roman"/>
          <w:color w:val="auto"/>
          <w:sz w:val="24"/>
          <w:szCs w:val="21"/>
        </w:rPr>
      </w:pPr>
    </w:p>
    <w:p w14:paraId="4535FE79">
      <w:pPr>
        <w:pStyle w:val="3"/>
        <w:spacing w:line="240" w:lineRule="auto"/>
        <w:rPr>
          <w:color w:val="auto"/>
        </w:rPr>
      </w:pPr>
      <w:r>
        <w:rPr>
          <w:rFonts w:hint="eastAsia"/>
          <w:color w:val="auto"/>
        </w:rPr>
        <w:t>案件审核</w:t>
      </w:r>
    </w:p>
    <w:p w14:paraId="3F7F4DE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提供案件审核功能，通过查看摄像头进行核实；在确认案件后案件处于立案；</w:t>
      </w:r>
    </w:p>
    <w:p w14:paraId="643BDDDC">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提供案件修改审核功能可撤销案件之前的审核。</w:t>
      </w:r>
    </w:p>
    <w:p w14:paraId="1CD80D4F">
      <w:pPr>
        <w:jc w:val="center"/>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drawing>
          <wp:inline distT="0" distB="0" distL="0" distR="0">
            <wp:extent cx="5443220" cy="2188845"/>
            <wp:effectExtent l="0" t="0" r="5080" b="1905"/>
            <wp:docPr id="7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12.jpeg"/>
                    <pic:cNvPicPr>
                      <a:picLocks noChangeAspect="1"/>
                    </pic:cNvPicPr>
                  </pic:nvPicPr>
                  <pic:blipFill>
                    <a:blip r:embed="rId34" cstate="print"/>
                    <a:stretch>
                      <a:fillRect/>
                    </a:stretch>
                  </pic:blipFill>
                  <pic:spPr>
                    <a:xfrm>
                      <a:off x="0" y="0"/>
                      <a:ext cx="5443220" cy="2188845"/>
                    </a:xfrm>
                    <a:prstGeom prst="rect">
                      <a:avLst/>
                    </a:prstGeom>
                  </pic:spPr>
                </pic:pic>
              </a:graphicData>
            </a:graphic>
          </wp:inline>
        </w:drawing>
      </w:r>
    </w:p>
    <w:p w14:paraId="483D0827">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96" w:name="_Toc20753"/>
      <w:r>
        <w:rPr>
          <w:rFonts w:hint="eastAsia" w:ascii="Times New Roman" w:hAnsi="Times New Roman" w:eastAsia="宋体" w:cs="Times New Roman"/>
          <w:color w:val="auto"/>
          <w:sz w:val="24"/>
          <w:szCs w:val="21"/>
        </w:rPr>
        <w:t>案件审核</w:t>
      </w:r>
      <w:bookmarkEnd w:id="96"/>
      <w:r>
        <w:rPr>
          <w:rFonts w:hint="eastAsia" w:ascii="Times New Roman" w:hAnsi="Times New Roman" w:eastAsia="宋体" w:cs="Times New Roman"/>
          <w:color w:val="auto"/>
          <w:sz w:val="24"/>
          <w:szCs w:val="21"/>
        </w:rPr>
        <w:t>示意图</w:t>
      </w:r>
    </w:p>
    <w:p w14:paraId="4F41A361">
      <w:pPr>
        <w:ind w:firstLine="480" w:firstLineChars="200"/>
        <w:jc w:val="center"/>
        <w:rPr>
          <w:rFonts w:ascii="Times New Roman" w:hAnsi="Times New Roman" w:eastAsia="宋体" w:cs="Times New Roman"/>
          <w:color w:val="auto"/>
          <w:sz w:val="24"/>
          <w:szCs w:val="21"/>
        </w:rPr>
      </w:pPr>
    </w:p>
    <w:p w14:paraId="50F82BE0">
      <w:pPr>
        <w:pStyle w:val="8"/>
        <w:spacing w:line="240" w:lineRule="auto"/>
        <w:rPr>
          <w:color w:val="auto"/>
        </w:rPr>
      </w:pPr>
      <w:r>
        <w:rPr>
          <w:rFonts w:hint="eastAsia"/>
          <w:color w:val="auto"/>
        </w:rPr>
        <w:t>摄像头管理</w:t>
      </w:r>
    </w:p>
    <w:p w14:paraId="31E3C68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提供摄像头管理模块实现监控点的视频源接入、区域分组、可查询、添加、删除要监控地点的摄像头。</w:t>
      </w:r>
    </w:p>
    <w:p w14:paraId="3366142D">
      <w:pPr>
        <w:jc w:val="center"/>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drawing>
          <wp:inline distT="0" distB="0" distL="0" distR="0">
            <wp:extent cx="5535930" cy="2790825"/>
            <wp:effectExtent l="0" t="0" r="7620" b="9525"/>
            <wp:docPr id="72"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4.jpeg"/>
                    <pic:cNvPicPr>
                      <a:picLocks noChangeAspect="1"/>
                    </pic:cNvPicPr>
                  </pic:nvPicPr>
                  <pic:blipFill>
                    <a:blip r:embed="rId35" cstate="print"/>
                    <a:stretch>
                      <a:fillRect/>
                    </a:stretch>
                  </pic:blipFill>
                  <pic:spPr>
                    <a:xfrm>
                      <a:off x="0" y="0"/>
                      <a:ext cx="5535930" cy="2790825"/>
                    </a:xfrm>
                    <a:prstGeom prst="rect">
                      <a:avLst/>
                    </a:prstGeom>
                  </pic:spPr>
                </pic:pic>
              </a:graphicData>
            </a:graphic>
          </wp:inline>
        </w:drawing>
      </w:r>
    </w:p>
    <w:p w14:paraId="22ADFB30">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97" w:name="_Toc7607"/>
      <w:r>
        <w:rPr>
          <w:rFonts w:hint="eastAsia" w:ascii="Times New Roman" w:hAnsi="Times New Roman" w:eastAsia="宋体" w:cs="Times New Roman"/>
          <w:color w:val="auto"/>
          <w:sz w:val="24"/>
          <w:szCs w:val="21"/>
        </w:rPr>
        <w:t>摄像头管理</w:t>
      </w:r>
      <w:bookmarkEnd w:id="97"/>
      <w:r>
        <w:rPr>
          <w:rFonts w:hint="eastAsia" w:ascii="Times New Roman" w:hAnsi="Times New Roman" w:eastAsia="宋体" w:cs="Times New Roman"/>
          <w:color w:val="auto"/>
          <w:sz w:val="24"/>
          <w:szCs w:val="21"/>
        </w:rPr>
        <w:t>示意图</w:t>
      </w:r>
    </w:p>
    <w:p w14:paraId="0EC10042">
      <w:pPr>
        <w:ind w:firstLine="480" w:firstLineChars="200"/>
        <w:jc w:val="center"/>
        <w:rPr>
          <w:rFonts w:ascii="Times New Roman" w:hAnsi="Times New Roman" w:eastAsia="宋体" w:cs="Times New Roman"/>
          <w:color w:val="auto"/>
          <w:sz w:val="24"/>
          <w:szCs w:val="21"/>
        </w:rPr>
      </w:pPr>
    </w:p>
    <w:p w14:paraId="344518B4">
      <w:pPr>
        <w:pStyle w:val="3"/>
        <w:spacing w:line="240" w:lineRule="auto"/>
        <w:rPr>
          <w:color w:val="auto"/>
        </w:rPr>
      </w:pPr>
      <w:r>
        <w:rPr>
          <w:rFonts w:hint="eastAsia"/>
          <w:color w:val="auto"/>
        </w:rPr>
        <w:t>摄像头区域管理</w:t>
      </w:r>
    </w:p>
    <w:p w14:paraId="757AEA23">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提供摄像头区域类别展示、列表添加、修改、删除功能。</w:t>
      </w:r>
    </w:p>
    <w:p w14:paraId="3C2C6C8F">
      <w:pPr>
        <w:pStyle w:val="3"/>
        <w:spacing w:line="240" w:lineRule="auto"/>
        <w:rPr>
          <w:color w:val="auto"/>
        </w:rPr>
      </w:pPr>
      <w:r>
        <w:rPr>
          <w:rFonts w:hint="eastAsia"/>
          <w:color w:val="auto"/>
        </w:rPr>
        <w:t>摄像头列表管理</w:t>
      </w:r>
    </w:p>
    <w:p w14:paraId="7A268772">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摄像头列表管理提供以下功能：</w:t>
      </w:r>
    </w:p>
    <w:p w14:paraId="56FCDA3F">
      <w:pPr>
        <w:ind w:left="418" w:leftChars="199"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a.摄像头查询：根据摄像头地点、是否开启分析、是否有分析点进行摄像头筛选、查询；</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b.摄像头添加、删除、导出</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1)单个摄像头添加：填写相关信息，保存后就可以添加一条摄像头信息；</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2)批量添加摄像头：提供 excel 表格将表格内摄像头信息添加到列表中；</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3)单个摄像头删除；</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4)批量删除；</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5)导出：导出全部摄像头信息（所有区域摄像头信息）。</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c.摄像头配置</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1)轮巡分析状态：用来控制，案件轮巡过程中，是否要识别该摄像对应的区域；</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2)详情：查看当前摄像头的详细信息；</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3)编辑：编辑该摄像头的相关信息；</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4)删除：删除当前摄像头；</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5)播放：预览当前摄像的内容。</w:t>
      </w:r>
    </w:p>
    <w:p w14:paraId="712BCB29">
      <w:pPr>
        <w:pStyle w:val="8"/>
        <w:spacing w:line="240" w:lineRule="auto"/>
        <w:rPr>
          <w:color w:val="auto"/>
        </w:rPr>
      </w:pPr>
      <w:r>
        <w:rPr>
          <w:rFonts w:hint="eastAsia"/>
          <w:color w:val="auto"/>
        </w:rPr>
        <w:t>系统配置</w:t>
      </w:r>
    </w:p>
    <w:p w14:paraId="56437AC6">
      <w:pPr>
        <w:pStyle w:val="3"/>
        <w:spacing w:line="240" w:lineRule="auto"/>
        <w:rPr>
          <w:color w:val="auto"/>
        </w:rPr>
      </w:pPr>
      <w:r>
        <w:rPr>
          <w:rFonts w:hint="eastAsia"/>
          <w:color w:val="auto"/>
        </w:rPr>
        <w:t>分析时间配置</w:t>
      </w:r>
    </w:p>
    <w:p w14:paraId="1D00CCC3">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提供摄像头分分析时间配置功能包含：</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a.轮巡时间配置：摄像头每天在哪个时间段内进行案件轮巡抓拍；</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b.轮巡周期配置，在轮巡时间内，每隔多久进行一次案件轮巡抓拍;</w:t>
      </w:r>
    </w:p>
    <w:p w14:paraId="7A5C21BE">
      <w:pPr>
        <w:rPr>
          <w:rFonts w:cs="Times New Roman" w:asciiTheme="majorEastAsia" w:hAnsiTheme="majorEastAsia" w:eastAsiaTheme="majorEastAsia"/>
          <w:color w:val="auto"/>
          <w:sz w:val="24"/>
          <w:szCs w:val="22"/>
        </w:rPr>
      </w:pPr>
      <w:r>
        <w:rPr>
          <w:rFonts w:hint="eastAsia" w:cs="Times New Roman" w:asciiTheme="majorEastAsia" w:hAnsiTheme="majorEastAsia" w:eastAsiaTheme="majorEastAsia"/>
          <w:color w:val="auto"/>
          <w:sz w:val="24"/>
          <w:szCs w:val="21"/>
        </w:rPr>
        <w:t>c.是否开启轮巡，如果开启，则表示在设置的时间内，进行周期性的案件轮巡抓拍；</w:t>
      </w:r>
      <w:r>
        <w:rPr>
          <w:rFonts w:hint="eastAsia" w:cs="Times New Roman" w:asciiTheme="majorEastAsia" w:hAnsiTheme="majorEastAsia" w:eastAsiaTheme="majorEastAsia"/>
          <w:color w:val="auto"/>
          <w:sz w:val="24"/>
          <w:szCs w:val="21"/>
        </w:rPr>
        <w:cr/>
      </w:r>
      <w:r>
        <w:rPr>
          <w:rFonts w:hint="eastAsia" w:cs="Times New Roman" w:asciiTheme="majorEastAsia" w:hAnsiTheme="majorEastAsia" w:eastAsiaTheme="majorEastAsia"/>
          <w:color w:val="auto"/>
          <w:sz w:val="24"/>
          <w:szCs w:val="21"/>
        </w:rPr>
        <w:t>d.保存配置信息</w:t>
      </w:r>
      <w:r>
        <w:rPr>
          <w:rFonts w:hint="eastAsia" w:cs="宋体" w:asciiTheme="majorEastAsia" w:hAnsiTheme="majorEastAsia" w:eastAsiaTheme="majorEastAsia"/>
          <w:color w:val="auto"/>
          <w:sz w:val="24"/>
          <w:szCs w:val="21"/>
        </w:rPr>
        <w:t>。</w:t>
      </w:r>
    </w:p>
    <w:p w14:paraId="1B6487A2">
      <w:pPr>
        <w:pStyle w:val="7"/>
        <w:spacing w:line="240" w:lineRule="auto"/>
        <w:rPr>
          <w:color w:val="auto"/>
        </w:rPr>
      </w:pPr>
      <w:r>
        <w:rPr>
          <w:rFonts w:hint="eastAsia"/>
          <w:color w:val="auto"/>
        </w:rPr>
        <w:t>事件检测类型</w:t>
      </w:r>
    </w:p>
    <w:p w14:paraId="61F14A1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rPr>
        <w:t>在现有的监控摄像机的条件下，对设置的监控区域实行</w:t>
      </w:r>
      <w:r>
        <w:rPr>
          <w:rFonts w:cs="Times New Roman" w:asciiTheme="majorEastAsia" w:hAnsiTheme="majorEastAsia" w:eastAsiaTheme="majorEastAsia"/>
          <w:color w:val="auto"/>
          <w:sz w:val="24"/>
        </w:rPr>
        <w:t>24</w:t>
      </w:r>
      <w:r>
        <w:rPr>
          <w:rFonts w:hint="eastAsia" w:cs="Times New Roman" w:asciiTheme="majorEastAsia" w:hAnsiTheme="majorEastAsia" w:eastAsiaTheme="majorEastAsia"/>
          <w:color w:val="auto"/>
          <w:sz w:val="24"/>
        </w:rPr>
        <w:t>小时动态实时监控检测，通过视频智能分析技术，对监控区域内的违规类型进行实时的检测报警。主要采用智能视频分析服务器对所管理的网络摄像机采集的视频画面进行实时分析，在人行道等特殊位置划定区域，检测在给定区域内是否有违规行为，若发生则发送违规事件告警信息。</w:t>
      </w:r>
    </w:p>
    <w:p w14:paraId="708EEEA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2"/>
        </w:rPr>
        <w:t>目前算法版本支持的违规事件类型有违规撑伞、出店经营、无证经营游商、非法户外小广告、乱堆物料、沿街晾晒、打包垃圾、暴露垃圾、垃圾箱溢满、非机动车乱停放、机动车违停和人群密度检测和安全帽识别等</w:t>
      </w:r>
      <w:r>
        <w:rPr>
          <w:rFonts w:cs="Times New Roman" w:asciiTheme="majorEastAsia" w:hAnsiTheme="majorEastAsia" w:eastAsiaTheme="majorEastAsia"/>
          <w:color w:val="auto"/>
          <w:sz w:val="24"/>
          <w:szCs w:val="22"/>
        </w:rPr>
        <w:t>13</w:t>
      </w:r>
      <w:r>
        <w:rPr>
          <w:rFonts w:hint="eastAsia" w:cs="Times New Roman" w:asciiTheme="majorEastAsia" w:hAnsiTheme="majorEastAsia" w:eastAsiaTheme="majorEastAsia"/>
          <w:color w:val="auto"/>
          <w:sz w:val="24"/>
          <w:szCs w:val="22"/>
        </w:rPr>
        <w:t>种类型。同时，算法还在不断更新中，持续扩展支持的事件违规类型。</w:t>
      </w:r>
    </w:p>
    <w:p w14:paraId="3DF82594">
      <w:pPr>
        <w:pStyle w:val="8"/>
        <w:spacing w:line="240" w:lineRule="auto"/>
        <w:rPr>
          <w:color w:val="auto"/>
        </w:rPr>
      </w:pPr>
      <w:r>
        <w:rPr>
          <w:rFonts w:hint="eastAsia"/>
          <w:color w:val="auto"/>
        </w:rPr>
        <w:t>出店经营</w:t>
      </w:r>
    </w:p>
    <w:p w14:paraId="486DB2BD">
      <w:pPr>
        <w:ind w:firstLine="480" w:firstLineChars="200"/>
        <w:jc w:val="center"/>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2"/>
        </w:rPr>
        <w:drawing>
          <wp:inline distT="0" distB="0" distL="114300" distR="114300">
            <wp:extent cx="3600450" cy="2159000"/>
            <wp:effectExtent l="0" t="0" r="0" b="12700"/>
            <wp:docPr id="189" name="图片 6" descr="出店经营-模糊处理"/>
            <wp:cNvGraphicFramePr/>
            <a:graphic xmlns:a="http://schemas.openxmlformats.org/drawingml/2006/main">
              <a:graphicData uri="http://schemas.openxmlformats.org/drawingml/2006/picture">
                <pic:pic xmlns:pic="http://schemas.openxmlformats.org/drawingml/2006/picture">
                  <pic:nvPicPr>
                    <pic:cNvPr id="189" name="图片 6" descr="出店经营-模糊处理"/>
                    <pic:cNvPicPr/>
                  </pic:nvPicPr>
                  <pic:blipFill>
                    <a:blip r:embed="rId36" cstate="print"/>
                    <a:stretch>
                      <a:fillRect/>
                    </a:stretch>
                  </pic:blipFill>
                  <pic:spPr>
                    <a:xfrm>
                      <a:off x="0" y="0"/>
                      <a:ext cx="3600450" cy="2159000"/>
                    </a:xfrm>
                    <a:prstGeom prst="rect">
                      <a:avLst/>
                    </a:prstGeom>
                    <a:noFill/>
                    <a:ln>
                      <a:noFill/>
                    </a:ln>
                  </pic:spPr>
                </pic:pic>
              </a:graphicData>
            </a:graphic>
          </wp:inline>
        </w:drawing>
      </w:r>
    </w:p>
    <w:p w14:paraId="20ACCB7A">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98" w:name="_Toc32238"/>
      <w:r>
        <w:rPr>
          <w:rFonts w:hint="eastAsia" w:cs="Times New Roman" w:asciiTheme="majorEastAsia" w:hAnsiTheme="majorEastAsia" w:eastAsiaTheme="majorEastAsia"/>
          <w:color w:val="auto"/>
          <w:sz w:val="24"/>
          <w:szCs w:val="21"/>
        </w:rPr>
        <w:t>出店经营</w:t>
      </w:r>
      <w:bookmarkEnd w:id="98"/>
      <w:r>
        <w:rPr>
          <w:rFonts w:hint="eastAsia" w:ascii="Times New Roman" w:hAnsi="Times New Roman" w:eastAsia="宋体" w:cs="Times New Roman"/>
          <w:color w:val="auto"/>
          <w:sz w:val="24"/>
          <w:szCs w:val="21"/>
        </w:rPr>
        <w:t>示意图</w:t>
      </w:r>
    </w:p>
    <w:p w14:paraId="68EFF611">
      <w:pPr>
        <w:ind w:firstLine="482" w:firstLineChars="200"/>
        <w:jc w:val="center"/>
        <w:rPr>
          <w:rFonts w:cs="Times New Roman" w:asciiTheme="majorEastAsia" w:hAnsiTheme="majorEastAsia" w:eastAsiaTheme="majorEastAsia"/>
          <w:b/>
          <w:color w:val="auto"/>
          <w:sz w:val="24"/>
          <w:szCs w:val="21"/>
        </w:rPr>
      </w:pPr>
    </w:p>
    <w:p w14:paraId="4E0DAD3C">
      <w:pPr>
        <w:spacing w:before="120" w:beforeLines="5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出店经营是指经营物品店外摆放，或者有跨门占道经营行为。当视频画面内的店面门口出现摆放摊位、桌椅等进行经营活动时，经算法分析，主动获取事件的现场画面和发生时间，并将报警图片和信息推送至上级平台，用于生成案卷上报的依据。</w:t>
      </w:r>
    </w:p>
    <w:p w14:paraId="4A0AB3A1">
      <w:pPr>
        <w:pStyle w:val="8"/>
        <w:spacing w:line="240" w:lineRule="auto"/>
        <w:rPr>
          <w:color w:val="auto"/>
        </w:rPr>
      </w:pPr>
      <w:r>
        <w:rPr>
          <w:rFonts w:hint="eastAsia"/>
          <w:color w:val="auto"/>
        </w:rPr>
        <w:t>无照经营游商</w:t>
      </w:r>
    </w:p>
    <w:p w14:paraId="29DFFCF4">
      <w:pPr>
        <w:ind w:firstLine="480" w:firstLineChars="200"/>
        <w:jc w:val="center"/>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2"/>
        </w:rPr>
        <w:drawing>
          <wp:inline distT="0" distB="0" distL="114300" distR="114300">
            <wp:extent cx="3600450" cy="2159000"/>
            <wp:effectExtent l="0" t="0" r="0" b="12700"/>
            <wp:docPr id="207" name="图片 5" descr="无证经营游商-模糊处理"/>
            <wp:cNvGraphicFramePr/>
            <a:graphic xmlns:a="http://schemas.openxmlformats.org/drawingml/2006/main">
              <a:graphicData uri="http://schemas.openxmlformats.org/drawingml/2006/picture">
                <pic:pic xmlns:pic="http://schemas.openxmlformats.org/drawingml/2006/picture">
                  <pic:nvPicPr>
                    <pic:cNvPr id="207" name="图片 5" descr="无证经营游商-模糊处理"/>
                    <pic:cNvPicPr/>
                  </pic:nvPicPr>
                  <pic:blipFill>
                    <a:blip r:embed="rId37" cstate="print"/>
                    <a:stretch>
                      <a:fillRect/>
                    </a:stretch>
                  </pic:blipFill>
                  <pic:spPr>
                    <a:xfrm>
                      <a:off x="0" y="0"/>
                      <a:ext cx="3600450" cy="2159000"/>
                    </a:xfrm>
                    <a:prstGeom prst="rect">
                      <a:avLst/>
                    </a:prstGeom>
                    <a:noFill/>
                    <a:ln>
                      <a:noFill/>
                    </a:ln>
                  </pic:spPr>
                </pic:pic>
              </a:graphicData>
            </a:graphic>
          </wp:inline>
        </w:drawing>
      </w:r>
    </w:p>
    <w:p w14:paraId="25769FAF">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99" w:name="_Toc15371"/>
      <w:r>
        <w:rPr>
          <w:rFonts w:hint="eastAsia" w:cs="Times New Roman" w:asciiTheme="majorEastAsia" w:hAnsiTheme="majorEastAsia" w:eastAsiaTheme="majorEastAsia"/>
          <w:color w:val="auto"/>
          <w:sz w:val="24"/>
          <w:szCs w:val="21"/>
        </w:rPr>
        <w:t>无照经营游商</w:t>
      </w:r>
      <w:bookmarkEnd w:id="99"/>
      <w:r>
        <w:rPr>
          <w:rFonts w:hint="eastAsia" w:ascii="Times New Roman" w:hAnsi="Times New Roman" w:eastAsia="宋体" w:cs="Times New Roman"/>
          <w:color w:val="auto"/>
          <w:sz w:val="24"/>
          <w:szCs w:val="21"/>
        </w:rPr>
        <w:t>示意图</w:t>
      </w:r>
    </w:p>
    <w:p w14:paraId="6E65A96F">
      <w:pPr>
        <w:ind w:firstLine="480" w:firstLineChars="200"/>
        <w:jc w:val="center"/>
        <w:rPr>
          <w:rFonts w:cs="Times New Roman" w:asciiTheme="majorEastAsia" w:hAnsiTheme="majorEastAsia" w:eastAsiaTheme="majorEastAsia"/>
          <w:color w:val="auto"/>
          <w:sz w:val="24"/>
          <w:szCs w:val="22"/>
        </w:rPr>
      </w:pPr>
    </w:p>
    <w:p w14:paraId="319FF78C">
      <w:pPr>
        <w:spacing w:before="120" w:beforeLines="5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无照经营游商是指无营业执照、未经许可在城市道路、公共场所从事流动性经营行为。当视频画面内的公共场所出现三轮车、手推车等移动摊点进行经营活动时，经算法自动分析，主动获取事件的现场画面和发生时间，并将报警图片和信息推送至上级平台，用于生成案卷上报的依据。</w:t>
      </w:r>
    </w:p>
    <w:p w14:paraId="33BD342A">
      <w:pPr>
        <w:pStyle w:val="8"/>
        <w:spacing w:line="240" w:lineRule="auto"/>
        <w:rPr>
          <w:color w:val="auto"/>
        </w:rPr>
      </w:pPr>
      <w:r>
        <w:rPr>
          <w:rFonts w:hint="eastAsia"/>
          <w:color w:val="auto"/>
        </w:rPr>
        <w:t>非法户外小广告</w:t>
      </w:r>
    </w:p>
    <w:p w14:paraId="68A8468A">
      <w:pPr>
        <w:ind w:firstLine="480" w:firstLineChars="200"/>
        <w:jc w:val="center"/>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2"/>
        </w:rPr>
        <w:drawing>
          <wp:inline distT="0" distB="0" distL="114300" distR="114300">
            <wp:extent cx="3600450" cy="2159000"/>
            <wp:effectExtent l="0" t="0" r="0" b="12700"/>
            <wp:docPr id="188" name="图片 7" descr="非法户外小广告-模糊处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7" descr="非法户外小广告-模糊处理"/>
                    <pic:cNvPicPr>
                      <a:picLocks noChangeAspect="1"/>
                    </pic:cNvPicPr>
                  </pic:nvPicPr>
                  <pic:blipFill>
                    <a:blip r:embed="rId38" cstate="print"/>
                    <a:stretch>
                      <a:fillRect/>
                    </a:stretch>
                  </pic:blipFill>
                  <pic:spPr>
                    <a:xfrm>
                      <a:off x="0" y="0"/>
                      <a:ext cx="3600450" cy="2159000"/>
                    </a:xfrm>
                    <a:prstGeom prst="rect">
                      <a:avLst/>
                    </a:prstGeom>
                    <a:noFill/>
                    <a:ln>
                      <a:noFill/>
                    </a:ln>
                  </pic:spPr>
                </pic:pic>
              </a:graphicData>
            </a:graphic>
          </wp:inline>
        </w:drawing>
      </w:r>
    </w:p>
    <w:p w14:paraId="0A473179">
      <w:pPr>
        <w:ind w:firstLine="480" w:firstLineChars="200"/>
        <w:jc w:val="center"/>
        <w:rPr>
          <w:rFonts w:ascii="Times New Roman" w:hAnsi="Times New Roman" w:eastAsia="宋体" w:cs="Times New Roman"/>
          <w:color w:val="auto"/>
          <w:sz w:val="24"/>
          <w:szCs w:val="21"/>
        </w:rPr>
      </w:pPr>
      <w:bookmarkStart w:id="100" w:name="_Toc14117"/>
      <w:r>
        <w:rPr>
          <w:rFonts w:hint="eastAsia" w:cs="Times New Roman" w:asciiTheme="majorEastAsia" w:hAnsiTheme="majorEastAsia" w:eastAsiaTheme="majorEastAsia"/>
          <w:color w:val="auto"/>
          <w:sz w:val="24"/>
          <w:szCs w:val="21"/>
        </w:rPr>
        <w:t>非法户外小广告</w:t>
      </w:r>
      <w:bookmarkEnd w:id="100"/>
      <w:r>
        <w:rPr>
          <w:rFonts w:hint="eastAsia" w:ascii="Times New Roman" w:hAnsi="Times New Roman" w:eastAsia="宋体" w:cs="Times New Roman"/>
          <w:color w:val="auto"/>
          <w:sz w:val="24"/>
          <w:szCs w:val="21"/>
        </w:rPr>
        <w:t>示意图</w:t>
      </w:r>
    </w:p>
    <w:p w14:paraId="73941FFF">
      <w:pPr>
        <w:ind w:firstLine="482" w:firstLineChars="200"/>
        <w:jc w:val="center"/>
        <w:rPr>
          <w:rFonts w:cs="Times New Roman" w:asciiTheme="majorEastAsia" w:hAnsiTheme="majorEastAsia" w:eastAsiaTheme="majorEastAsia"/>
          <w:b/>
          <w:color w:val="auto"/>
          <w:sz w:val="24"/>
          <w:szCs w:val="21"/>
        </w:rPr>
      </w:pPr>
    </w:p>
    <w:p w14:paraId="1B22998C">
      <w:pPr>
        <w:spacing w:before="120" w:beforeLines="5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非法户外小广告是指违规设置以灯箱、霓虹灯、电子显示装置、展示牌等为载体形式的户外广告设施。当视频画面内的店面、马路等违规摆放灯箱、展示牌时，经算法自动分析，主动获取事件的现场画面和发生时间，并将报警图片和信息推送至上级平台，用于生成案卷上报的依据。</w:t>
      </w:r>
    </w:p>
    <w:p w14:paraId="48C53AAE">
      <w:pPr>
        <w:pStyle w:val="8"/>
        <w:spacing w:line="240" w:lineRule="auto"/>
        <w:rPr>
          <w:color w:val="auto"/>
        </w:rPr>
      </w:pPr>
      <w:r>
        <w:rPr>
          <w:rFonts w:hint="eastAsia"/>
          <w:color w:val="auto"/>
        </w:rPr>
        <w:t>乱堆物料</w:t>
      </w:r>
    </w:p>
    <w:p w14:paraId="30E0253A">
      <w:pPr>
        <w:ind w:firstLine="480" w:firstLineChars="200"/>
        <w:jc w:val="center"/>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2"/>
        </w:rPr>
        <w:drawing>
          <wp:inline distT="0" distB="0" distL="114300" distR="114300">
            <wp:extent cx="3600450" cy="2159000"/>
            <wp:effectExtent l="0" t="0" r="0" b="12700"/>
            <wp:docPr id="197" name="图片 15" descr="乱堆物料"/>
            <wp:cNvGraphicFramePr/>
            <a:graphic xmlns:a="http://schemas.openxmlformats.org/drawingml/2006/main">
              <a:graphicData uri="http://schemas.openxmlformats.org/drawingml/2006/picture">
                <pic:pic xmlns:pic="http://schemas.openxmlformats.org/drawingml/2006/picture">
                  <pic:nvPicPr>
                    <pic:cNvPr id="197" name="图片 15" descr="乱堆物料"/>
                    <pic:cNvPicPr/>
                  </pic:nvPicPr>
                  <pic:blipFill>
                    <a:blip r:embed="rId39" cstate="print"/>
                    <a:stretch>
                      <a:fillRect/>
                    </a:stretch>
                  </pic:blipFill>
                  <pic:spPr>
                    <a:xfrm>
                      <a:off x="0" y="0"/>
                      <a:ext cx="3600450" cy="2159000"/>
                    </a:xfrm>
                    <a:prstGeom prst="rect">
                      <a:avLst/>
                    </a:prstGeom>
                    <a:noFill/>
                    <a:ln>
                      <a:noFill/>
                    </a:ln>
                  </pic:spPr>
                </pic:pic>
              </a:graphicData>
            </a:graphic>
          </wp:inline>
        </w:drawing>
      </w:r>
    </w:p>
    <w:p w14:paraId="53E14181">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101" w:name="_Toc14934"/>
      <w:r>
        <w:rPr>
          <w:rFonts w:hint="eastAsia" w:cs="Times New Roman" w:asciiTheme="majorEastAsia" w:hAnsiTheme="majorEastAsia" w:eastAsiaTheme="majorEastAsia"/>
          <w:bCs/>
          <w:color w:val="auto"/>
          <w:sz w:val="24"/>
          <w:szCs w:val="22"/>
        </w:rPr>
        <w:t>乱堆物料</w:t>
      </w:r>
      <w:bookmarkEnd w:id="101"/>
      <w:r>
        <w:rPr>
          <w:rFonts w:hint="eastAsia" w:ascii="Times New Roman" w:hAnsi="Times New Roman" w:eastAsia="宋体" w:cs="Times New Roman"/>
          <w:color w:val="auto"/>
          <w:sz w:val="24"/>
          <w:szCs w:val="21"/>
        </w:rPr>
        <w:t>示意图</w:t>
      </w:r>
    </w:p>
    <w:p w14:paraId="5F044BD1">
      <w:pPr>
        <w:ind w:firstLine="482" w:firstLineChars="200"/>
        <w:jc w:val="center"/>
        <w:rPr>
          <w:rFonts w:cs="Times New Roman" w:asciiTheme="majorEastAsia" w:hAnsiTheme="majorEastAsia" w:eastAsiaTheme="majorEastAsia"/>
          <w:b/>
          <w:color w:val="auto"/>
          <w:sz w:val="24"/>
          <w:szCs w:val="21"/>
        </w:rPr>
      </w:pPr>
    </w:p>
    <w:p w14:paraId="47505ED7">
      <w:pPr>
        <w:spacing w:before="120" w:beforeLines="5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乱堆物料是指未经许可在公共场所堆放物料的现象。当视频画面内出现乱堆物料时，经算法自动分析，主动获取事件的现场画面和发生时间，并将报警图片和信息推送至上级平台，用于生成案卷上报的依据。</w:t>
      </w:r>
    </w:p>
    <w:p w14:paraId="7EB5B772">
      <w:pPr>
        <w:pStyle w:val="8"/>
        <w:spacing w:line="240" w:lineRule="auto"/>
        <w:rPr>
          <w:color w:val="auto"/>
        </w:rPr>
      </w:pPr>
      <w:r>
        <w:rPr>
          <w:rFonts w:hint="eastAsia"/>
          <w:color w:val="auto"/>
        </w:rPr>
        <w:t>沿街晾晒</w:t>
      </w:r>
    </w:p>
    <w:p w14:paraId="057D39D6">
      <w:pPr>
        <w:ind w:firstLine="480" w:firstLineChars="200"/>
        <w:jc w:val="center"/>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2"/>
        </w:rPr>
        <w:drawing>
          <wp:inline distT="0" distB="0" distL="114300" distR="114300">
            <wp:extent cx="3600450" cy="2159000"/>
            <wp:effectExtent l="0" t="0" r="0" b="12700"/>
            <wp:docPr id="186" name="图片 31" descr="沿街晾晒"/>
            <wp:cNvGraphicFramePr/>
            <a:graphic xmlns:a="http://schemas.openxmlformats.org/drawingml/2006/main">
              <a:graphicData uri="http://schemas.openxmlformats.org/drawingml/2006/picture">
                <pic:pic xmlns:pic="http://schemas.openxmlformats.org/drawingml/2006/picture">
                  <pic:nvPicPr>
                    <pic:cNvPr id="186" name="图片 31" descr="沿街晾晒"/>
                    <pic:cNvPicPr/>
                  </pic:nvPicPr>
                  <pic:blipFill>
                    <a:blip r:embed="rId40" cstate="print"/>
                    <a:stretch>
                      <a:fillRect/>
                    </a:stretch>
                  </pic:blipFill>
                  <pic:spPr>
                    <a:xfrm>
                      <a:off x="0" y="0"/>
                      <a:ext cx="3600450" cy="2159000"/>
                    </a:xfrm>
                    <a:prstGeom prst="rect">
                      <a:avLst/>
                    </a:prstGeom>
                    <a:noFill/>
                    <a:ln>
                      <a:noFill/>
                    </a:ln>
                  </pic:spPr>
                </pic:pic>
              </a:graphicData>
            </a:graphic>
          </wp:inline>
        </w:drawing>
      </w:r>
    </w:p>
    <w:p w14:paraId="6BD60BB5">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102" w:name="_Toc5859"/>
      <w:r>
        <w:rPr>
          <w:rFonts w:hint="eastAsia" w:cs="Times New Roman" w:asciiTheme="majorEastAsia" w:hAnsiTheme="majorEastAsia" w:eastAsiaTheme="majorEastAsia"/>
          <w:bCs/>
          <w:color w:val="auto"/>
          <w:sz w:val="24"/>
          <w:szCs w:val="22"/>
        </w:rPr>
        <w:t>沿街晾晒</w:t>
      </w:r>
      <w:bookmarkEnd w:id="102"/>
      <w:r>
        <w:rPr>
          <w:rFonts w:hint="eastAsia" w:ascii="Times New Roman" w:hAnsi="Times New Roman" w:eastAsia="宋体" w:cs="Times New Roman"/>
          <w:color w:val="auto"/>
          <w:sz w:val="24"/>
          <w:szCs w:val="21"/>
        </w:rPr>
        <w:t>示意图</w:t>
      </w:r>
    </w:p>
    <w:p w14:paraId="1C9AC3D1">
      <w:pPr>
        <w:ind w:firstLine="480" w:firstLineChars="200"/>
        <w:jc w:val="center"/>
        <w:rPr>
          <w:rFonts w:cs="Times New Roman" w:asciiTheme="majorEastAsia" w:hAnsiTheme="majorEastAsia" w:eastAsiaTheme="majorEastAsia"/>
          <w:bCs/>
          <w:color w:val="auto"/>
          <w:sz w:val="24"/>
          <w:szCs w:val="21"/>
        </w:rPr>
      </w:pPr>
    </w:p>
    <w:p w14:paraId="4B9398E8">
      <w:pPr>
        <w:spacing w:before="120" w:beforeLines="5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沿街晾晒是指在主要道路及公共场所的树木和护栏、路牌、电线、电杆等设施上吊挂、晾晒物品。当视频画面内出现沿街晾晒时，经算法自动分析，主动获取事件的现场画面和发生时间，并将报警图片和信息推送至上级平台，用于生成案卷上报的依据。</w:t>
      </w:r>
    </w:p>
    <w:p w14:paraId="58D21FBB">
      <w:pPr>
        <w:pStyle w:val="8"/>
        <w:spacing w:line="240" w:lineRule="auto"/>
        <w:rPr>
          <w:color w:val="auto"/>
        </w:rPr>
      </w:pPr>
      <w:r>
        <w:rPr>
          <w:rFonts w:hint="eastAsia"/>
          <w:color w:val="auto"/>
        </w:rPr>
        <w:t>暴露垃圾</w:t>
      </w:r>
    </w:p>
    <w:p w14:paraId="3FDA89BC">
      <w:pPr>
        <w:ind w:firstLine="480" w:firstLineChars="200"/>
        <w:jc w:val="center"/>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2"/>
        </w:rPr>
        <w:drawing>
          <wp:inline distT="0" distB="0" distL="114300" distR="114300">
            <wp:extent cx="3600450" cy="2159000"/>
            <wp:effectExtent l="0" t="0" r="0" b="12700"/>
            <wp:docPr id="190" name="图片 12" descr="暴露垃圾-模糊处理"/>
            <wp:cNvGraphicFramePr/>
            <a:graphic xmlns:a="http://schemas.openxmlformats.org/drawingml/2006/main">
              <a:graphicData uri="http://schemas.openxmlformats.org/drawingml/2006/picture">
                <pic:pic xmlns:pic="http://schemas.openxmlformats.org/drawingml/2006/picture">
                  <pic:nvPicPr>
                    <pic:cNvPr id="190" name="图片 12" descr="暴露垃圾-模糊处理"/>
                    <pic:cNvPicPr/>
                  </pic:nvPicPr>
                  <pic:blipFill>
                    <a:blip r:embed="rId41" cstate="print"/>
                    <a:stretch>
                      <a:fillRect/>
                    </a:stretch>
                  </pic:blipFill>
                  <pic:spPr>
                    <a:xfrm>
                      <a:off x="0" y="0"/>
                      <a:ext cx="3600450" cy="2159000"/>
                    </a:xfrm>
                    <a:prstGeom prst="rect">
                      <a:avLst/>
                    </a:prstGeom>
                    <a:noFill/>
                    <a:ln>
                      <a:noFill/>
                    </a:ln>
                  </pic:spPr>
                </pic:pic>
              </a:graphicData>
            </a:graphic>
          </wp:inline>
        </w:drawing>
      </w:r>
    </w:p>
    <w:p w14:paraId="09982D44">
      <w:pPr>
        <w:ind w:firstLine="480" w:firstLineChars="200"/>
        <w:jc w:val="center"/>
        <w:rPr>
          <w:rFonts w:ascii="Times New Roman" w:hAnsi="Times New Roman" w:eastAsia="宋体" w:cs="Times New Roman"/>
          <w:color w:val="auto"/>
          <w:sz w:val="24"/>
          <w:szCs w:val="21"/>
        </w:rPr>
      </w:pPr>
      <w:bookmarkStart w:id="103" w:name="_Toc28313"/>
      <w:r>
        <w:rPr>
          <w:rFonts w:hint="eastAsia" w:cs="Times New Roman" w:asciiTheme="majorEastAsia" w:hAnsiTheme="majorEastAsia" w:eastAsiaTheme="majorEastAsia"/>
          <w:bCs/>
          <w:color w:val="auto"/>
          <w:sz w:val="24"/>
          <w:szCs w:val="22"/>
        </w:rPr>
        <w:t>暴露垃圾</w:t>
      </w:r>
      <w:bookmarkEnd w:id="103"/>
      <w:r>
        <w:rPr>
          <w:rFonts w:hint="eastAsia" w:ascii="Times New Roman" w:hAnsi="Times New Roman" w:eastAsia="宋体" w:cs="Times New Roman"/>
          <w:color w:val="auto"/>
          <w:sz w:val="24"/>
          <w:szCs w:val="21"/>
        </w:rPr>
        <w:t>示意图</w:t>
      </w:r>
    </w:p>
    <w:p w14:paraId="363B2082">
      <w:pPr>
        <w:ind w:firstLine="480" w:firstLineChars="200"/>
        <w:jc w:val="center"/>
        <w:rPr>
          <w:rFonts w:cs="Times New Roman" w:asciiTheme="majorEastAsia" w:hAnsiTheme="majorEastAsia" w:eastAsiaTheme="majorEastAsia"/>
          <w:bCs/>
          <w:color w:val="auto"/>
          <w:sz w:val="24"/>
          <w:szCs w:val="21"/>
        </w:rPr>
      </w:pPr>
    </w:p>
    <w:p w14:paraId="7EF33B9A">
      <w:pPr>
        <w:spacing w:before="120" w:beforeLines="5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暴露垃圾是指公共场所未倒入垃圾容器的生活垃圾。当视频画面内出现暴露垃圾时，经算法自动分析，主动获取事件的现场画面和发生时间，并将报警图片和信息推送至上级平台，用于生成案卷上报的依据。</w:t>
      </w:r>
    </w:p>
    <w:p w14:paraId="0588943E">
      <w:pPr>
        <w:pStyle w:val="8"/>
        <w:spacing w:line="240" w:lineRule="auto"/>
        <w:rPr>
          <w:color w:val="auto"/>
        </w:rPr>
      </w:pPr>
      <w:r>
        <w:rPr>
          <w:rFonts w:hint="eastAsia"/>
          <w:color w:val="auto"/>
        </w:rPr>
        <w:t>垃圾箱满溢</w:t>
      </w:r>
    </w:p>
    <w:p w14:paraId="79804AFD">
      <w:pPr>
        <w:ind w:firstLine="480" w:firstLineChars="200"/>
        <w:jc w:val="center"/>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2"/>
        </w:rPr>
        <w:drawing>
          <wp:inline distT="0" distB="0" distL="114300" distR="114300">
            <wp:extent cx="3600450" cy="2159000"/>
            <wp:effectExtent l="0" t="0" r="0" b="12700"/>
            <wp:docPr id="194" name="图片 14" descr="垃圾箱溢满-模糊处理"/>
            <wp:cNvGraphicFramePr/>
            <a:graphic xmlns:a="http://schemas.openxmlformats.org/drawingml/2006/main">
              <a:graphicData uri="http://schemas.openxmlformats.org/drawingml/2006/picture">
                <pic:pic xmlns:pic="http://schemas.openxmlformats.org/drawingml/2006/picture">
                  <pic:nvPicPr>
                    <pic:cNvPr id="194" name="图片 14" descr="垃圾箱溢满-模糊处理"/>
                    <pic:cNvPicPr/>
                  </pic:nvPicPr>
                  <pic:blipFill>
                    <a:blip r:embed="rId42" cstate="print"/>
                    <a:stretch>
                      <a:fillRect/>
                    </a:stretch>
                  </pic:blipFill>
                  <pic:spPr>
                    <a:xfrm>
                      <a:off x="0" y="0"/>
                      <a:ext cx="3600450" cy="2159000"/>
                    </a:xfrm>
                    <a:prstGeom prst="rect">
                      <a:avLst/>
                    </a:prstGeom>
                    <a:noFill/>
                    <a:ln>
                      <a:noFill/>
                    </a:ln>
                  </pic:spPr>
                </pic:pic>
              </a:graphicData>
            </a:graphic>
          </wp:inline>
        </w:drawing>
      </w:r>
    </w:p>
    <w:p w14:paraId="5FD8BECF">
      <w:pPr>
        <w:ind w:firstLine="480" w:firstLineChars="200"/>
        <w:jc w:val="center"/>
        <w:rPr>
          <w:rFonts w:ascii="Times New Roman" w:hAnsi="Times New Roman" w:eastAsia="宋体" w:cs="Times New Roman"/>
          <w:color w:val="auto"/>
          <w:sz w:val="24"/>
          <w:szCs w:val="21"/>
        </w:rPr>
      </w:pPr>
      <w:bookmarkStart w:id="104" w:name="_Toc24737"/>
      <w:r>
        <w:rPr>
          <w:rFonts w:hint="eastAsia" w:cs="Times New Roman" w:asciiTheme="majorEastAsia" w:hAnsiTheme="majorEastAsia" w:eastAsiaTheme="majorEastAsia"/>
          <w:bCs/>
          <w:color w:val="auto"/>
          <w:sz w:val="24"/>
          <w:szCs w:val="22"/>
        </w:rPr>
        <w:t>垃圾箱满溢</w:t>
      </w:r>
      <w:bookmarkEnd w:id="104"/>
      <w:r>
        <w:rPr>
          <w:rFonts w:hint="eastAsia" w:ascii="Times New Roman" w:hAnsi="Times New Roman" w:eastAsia="宋体" w:cs="Times New Roman"/>
          <w:color w:val="auto"/>
          <w:sz w:val="24"/>
          <w:szCs w:val="21"/>
        </w:rPr>
        <w:t>示意图</w:t>
      </w:r>
    </w:p>
    <w:p w14:paraId="61CF9F1E">
      <w:pPr>
        <w:ind w:firstLine="480" w:firstLineChars="200"/>
        <w:jc w:val="center"/>
        <w:rPr>
          <w:rFonts w:cs="Times New Roman" w:asciiTheme="majorEastAsia" w:hAnsiTheme="majorEastAsia" w:eastAsiaTheme="majorEastAsia"/>
          <w:bCs/>
          <w:color w:val="auto"/>
          <w:sz w:val="24"/>
          <w:szCs w:val="21"/>
        </w:rPr>
      </w:pPr>
    </w:p>
    <w:p w14:paraId="1E14411F">
      <w:pPr>
        <w:spacing w:before="120" w:beforeLines="5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垃圾箱满溢是指道路、小区旁的垃圾箱出现垃圾溢满且无人处理的现象。当视频画面内出现垃圾箱满溢时，经算法自动分析，主动获取事件的现场画面和发生时间，并将报警图片和信息推送至上级平台，用于生成案卷上报的依据。</w:t>
      </w:r>
    </w:p>
    <w:p w14:paraId="3719DE8E">
      <w:pPr>
        <w:ind w:firstLine="480" w:firstLineChars="200"/>
        <w:rPr>
          <w:rFonts w:cs="Times New Roman" w:asciiTheme="majorEastAsia" w:hAnsiTheme="majorEastAsia" w:eastAsiaTheme="majorEastAsia"/>
          <w:color w:val="auto"/>
          <w:sz w:val="24"/>
          <w:szCs w:val="21"/>
        </w:rPr>
      </w:pPr>
    </w:p>
    <w:p w14:paraId="4B4DD021">
      <w:pPr>
        <w:pStyle w:val="7"/>
        <w:spacing w:line="240" w:lineRule="auto"/>
        <w:rPr>
          <w:color w:val="auto"/>
        </w:rPr>
      </w:pPr>
      <w:r>
        <w:rPr>
          <w:rFonts w:hint="eastAsia"/>
          <w:color w:val="auto"/>
        </w:rPr>
        <w:t>提供的服务性能指标</w:t>
      </w:r>
    </w:p>
    <w:p w14:paraId="718F15E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rPr>
        <w:t>25帧</w:t>
      </w:r>
      <w:r>
        <w:rPr>
          <w:rFonts w:cs="宋体" w:asciiTheme="majorEastAsia" w:hAnsiTheme="majorEastAsia" w:eastAsiaTheme="majorEastAsia"/>
          <w:color w:val="auto"/>
          <w:sz w:val="24"/>
        </w:rPr>
        <w:t>/秒：在一秒钟内实现</w:t>
      </w:r>
      <w:r>
        <w:rPr>
          <w:rFonts w:hint="eastAsia" w:cs="宋体" w:asciiTheme="majorEastAsia" w:hAnsiTheme="majorEastAsia" w:eastAsiaTheme="majorEastAsia"/>
          <w:color w:val="auto"/>
          <w:sz w:val="24"/>
        </w:rPr>
        <w:t>25个高清图像的识别，发现图像中有没有上述事件的发生。或者在</w:t>
      </w:r>
      <w:r>
        <w:rPr>
          <w:rFonts w:cs="宋体" w:asciiTheme="majorEastAsia" w:hAnsiTheme="majorEastAsia" w:eastAsiaTheme="majorEastAsia"/>
          <w:color w:val="auto"/>
          <w:sz w:val="24"/>
        </w:rPr>
        <w:t>1秒钟内能完成从</w:t>
      </w:r>
      <w:r>
        <w:rPr>
          <w:rFonts w:hint="eastAsia" w:cs="宋体" w:asciiTheme="majorEastAsia" w:hAnsiTheme="majorEastAsia" w:eastAsiaTheme="majorEastAsia"/>
          <w:color w:val="auto"/>
          <w:sz w:val="24"/>
        </w:rPr>
        <w:t>25个摄像头获取一帧图像并进行识别。</w:t>
      </w:r>
    </w:p>
    <w:p w14:paraId="096BBD4A">
      <w:pPr>
        <w:pStyle w:val="6"/>
        <w:spacing w:line="240" w:lineRule="auto"/>
        <w:rPr>
          <w:color w:val="auto"/>
        </w:rPr>
      </w:pPr>
      <w:bookmarkStart w:id="105" w:name="_Toc83216271"/>
      <w:r>
        <w:rPr>
          <w:color w:val="auto"/>
        </w:rPr>
        <w:t>一席三屏支撑</w:t>
      </w:r>
      <w:bookmarkEnd w:id="45"/>
      <w:bookmarkEnd w:id="105"/>
    </w:p>
    <w:p w14:paraId="1527CD40">
      <w:pPr>
        <w:spacing w:before="120"/>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一席三屏分为业务辅助屏、业务操作屏、业务指导辅助屏，用于将工作信息、辅助工具和内容进行管理实现基于事件的联动，并输出显示在三块显示器上，以方便并行开展工作，达到快速了解相关资讯和根据推荐方案进行业务处理的目的。</w:t>
      </w:r>
    </w:p>
    <w:p w14:paraId="79FBF3BE">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drawing>
          <wp:inline distT="0" distB="0" distL="114300" distR="114300">
            <wp:extent cx="5676900" cy="2952750"/>
            <wp:effectExtent l="0" t="0" r="0" b="0"/>
            <wp:docPr id="6" name="图片 20"/>
            <wp:cNvGraphicFramePr/>
            <a:graphic xmlns:a="http://schemas.openxmlformats.org/drawingml/2006/main">
              <a:graphicData uri="http://schemas.openxmlformats.org/drawingml/2006/picture">
                <pic:pic xmlns:pic="http://schemas.openxmlformats.org/drawingml/2006/picture">
                  <pic:nvPicPr>
                    <pic:cNvPr id="6" name="图片 20"/>
                    <pic:cNvPicPr/>
                  </pic:nvPicPr>
                  <pic:blipFill>
                    <a:blip r:embed="rId43" cstate="print"/>
                    <a:stretch>
                      <a:fillRect/>
                    </a:stretch>
                  </pic:blipFill>
                  <pic:spPr>
                    <a:xfrm>
                      <a:off x="0" y="0"/>
                      <a:ext cx="5676900" cy="2952750"/>
                    </a:xfrm>
                    <a:prstGeom prst="rect">
                      <a:avLst/>
                    </a:prstGeom>
                    <a:noFill/>
                    <a:ln>
                      <a:noFill/>
                    </a:ln>
                  </pic:spPr>
                </pic:pic>
              </a:graphicData>
            </a:graphic>
          </wp:inline>
        </w:drawing>
      </w:r>
    </w:p>
    <w:p w14:paraId="331169FF">
      <w:pPr>
        <w:ind w:firstLine="480" w:firstLineChars="200"/>
        <w:jc w:val="center"/>
        <w:rPr>
          <w:rFonts w:ascii="Times New Roman" w:hAnsi="Times New Roman" w:eastAsia="宋体" w:cs="Times New Roman"/>
          <w:color w:val="auto"/>
          <w:sz w:val="24"/>
          <w:szCs w:val="21"/>
        </w:rPr>
      </w:pPr>
      <w:bookmarkStart w:id="106" w:name="_Toc9433"/>
      <w:r>
        <w:rPr>
          <w:rFonts w:hint="eastAsia" w:cs="Times New Roman" w:asciiTheme="majorEastAsia" w:hAnsiTheme="majorEastAsia" w:eastAsiaTheme="majorEastAsia"/>
          <w:color w:val="auto"/>
          <w:sz w:val="24"/>
          <w:szCs w:val="21"/>
        </w:rPr>
        <w:t>一席三屏功能示意</w:t>
      </w:r>
      <w:r>
        <w:rPr>
          <w:rFonts w:hint="eastAsia" w:ascii="Times New Roman" w:hAnsi="Times New Roman" w:eastAsia="宋体" w:cs="Times New Roman"/>
          <w:color w:val="auto"/>
          <w:sz w:val="24"/>
          <w:szCs w:val="21"/>
        </w:rPr>
        <w:t>图</w:t>
      </w:r>
    </w:p>
    <w:bookmarkEnd w:id="106"/>
    <w:p w14:paraId="60546A84">
      <w:pPr>
        <w:ind w:firstLine="480" w:firstLineChars="200"/>
        <w:jc w:val="center"/>
        <w:rPr>
          <w:rFonts w:cs="Times New Roman" w:asciiTheme="majorEastAsia" w:hAnsiTheme="majorEastAsia" w:eastAsiaTheme="majorEastAsia"/>
          <w:color w:val="auto"/>
          <w:sz w:val="24"/>
          <w:szCs w:val="21"/>
        </w:rPr>
      </w:pPr>
    </w:p>
    <w:p w14:paraId="7F7D08E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业务辅助屏：基于事件资源一张图，分类显示正在处理的事件定位信息，用不同的颜色标示当前处理状态、所属网格、资源位置、事件发生位置等。</w:t>
      </w:r>
    </w:p>
    <w:p w14:paraId="460444F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业务操作屏：提供案件的受理、表单录入、热线电话受理登记、事件回访核查等业务日常操作。</w:t>
      </w:r>
    </w:p>
    <w:p w14:paraId="6AF374D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知识库（含国家平台业务指导）查询屏：连接机器学习推荐的方案和相关事件管理知识库为受理员提供业务知识，对事件关联的信息展示，包括名词解释、关联事务等辅助提示信息、统一门户信息、工作邮件等。</w:t>
      </w:r>
    </w:p>
    <w:p w14:paraId="757B4D44">
      <w:pPr>
        <w:pStyle w:val="7"/>
        <w:spacing w:line="240" w:lineRule="auto"/>
        <w:rPr>
          <w:color w:val="auto"/>
        </w:rPr>
      </w:pPr>
      <w:r>
        <w:rPr>
          <w:rFonts w:hint="eastAsia"/>
          <w:color w:val="auto"/>
        </w:rPr>
        <w:t>客户端系统</w:t>
      </w:r>
    </w:p>
    <w:p w14:paraId="41D98B04">
      <w:pPr>
        <w:pStyle w:val="8"/>
        <w:spacing w:line="240" w:lineRule="auto"/>
        <w:rPr>
          <w:color w:val="auto"/>
        </w:rPr>
      </w:pPr>
      <w:r>
        <w:rPr>
          <w:rFonts w:hint="eastAsia"/>
          <w:color w:val="auto"/>
        </w:rPr>
        <w:t>统一登录</w:t>
      </w:r>
    </w:p>
    <w:p w14:paraId="3D7635B2">
      <w:pPr>
        <w:spacing w:before="120"/>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实现业务人员在一席三屏客户端登录后自动登录城市综合管理服务平台业务页面、业务辅助屏子系统、以及需要对接的子系统。实现业务人员账号统一，一次登录多业务系统快速使用。</w:t>
      </w:r>
    </w:p>
    <w:p w14:paraId="65AB27B7">
      <w:pPr>
        <w:pStyle w:val="8"/>
        <w:spacing w:line="240" w:lineRule="auto"/>
        <w:rPr>
          <w:color w:val="auto"/>
        </w:rPr>
      </w:pPr>
      <w:r>
        <w:rPr>
          <w:rFonts w:hint="eastAsia"/>
          <w:color w:val="auto"/>
        </w:rPr>
        <w:t>多屏幕控制配置</w:t>
      </w:r>
    </w:p>
    <w:p w14:paraId="0B0F7CC5">
      <w:pPr>
        <w:spacing w:before="120"/>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实现业务人员工作台电脑业务辅助屏、业务操作屏、知识库（含国家平台业务指导）服务屏的统一控制显示内容，无需业务人员打开多个系统页面手工拖放到指定屏幕。</w:t>
      </w:r>
    </w:p>
    <w:p w14:paraId="6670DD99">
      <w:pPr>
        <w:pStyle w:val="8"/>
        <w:spacing w:line="240" w:lineRule="auto"/>
        <w:rPr>
          <w:color w:val="auto"/>
        </w:rPr>
      </w:pPr>
      <w:r>
        <w:rPr>
          <w:rFonts w:hint="eastAsia"/>
          <w:color w:val="auto"/>
        </w:rPr>
        <w:t>空间辅助屏对接</w:t>
      </w:r>
    </w:p>
    <w:p w14:paraId="7B523970">
      <w:pPr>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对接业务空间数据展示模块</w:t>
      </w:r>
      <w:r>
        <w:rPr>
          <w:rFonts w:cs="宋体" w:asciiTheme="majorEastAsia" w:hAnsiTheme="majorEastAsia" w:eastAsiaTheme="majorEastAsia"/>
          <w:color w:val="auto"/>
          <w:sz w:val="24"/>
          <w:szCs w:val="22"/>
        </w:rPr>
        <w:t>；</w:t>
      </w:r>
    </w:p>
    <w:p w14:paraId="11AC1646">
      <w:pPr>
        <w:pStyle w:val="8"/>
        <w:spacing w:line="240" w:lineRule="auto"/>
        <w:rPr>
          <w:color w:val="auto"/>
        </w:rPr>
      </w:pPr>
      <w:r>
        <w:rPr>
          <w:rFonts w:hint="eastAsia"/>
          <w:color w:val="auto"/>
        </w:rPr>
        <w:t>业务操作屏对接</w:t>
      </w:r>
    </w:p>
    <w:p w14:paraId="7BB3EFA1">
      <w:pPr>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对接事件管理中心中统一受理</w:t>
      </w:r>
      <w:r>
        <w:rPr>
          <w:rFonts w:cs="宋体" w:asciiTheme="majorEastAsia" w:hAnsiTheme="majorEastAsia" w:eastAsiaTheme="majorEastAsia"/>
          <w:color w:val="auto"/>
          <w:sz w:val="24"/>
          <w:szCs w:val="22"/>
        </w:rPr>
        <w:t>、</w:t>
      </w:r>
      <w:r>
        <w:rPr>
          <w:rFonts w:hint="eastAsia" w:cs="宋体" w:asciiTheme="majorEastAsia" w:hAnsiTheme="majorEastAsia" w:eastAsiaTheme="majorEastAsia"/>
          <w:color w:val="auto"/>
          <w:sz w:val="24"/>
          <w:szCs w:val="22"/>
        </w:rPr>
        <w:t>统一分拨的业务应用</w:t>
      </w:r>
      <w:r>
        <w:rPr>
          <w:rFonts w:cs="宋体" w:asciiTheme="majorEastAsia" w:hAnsiTheme="majorEastAsia" w:eastAsiaTheme="majorEastAsia"/>
          <w:color w:val="auto"/>
          <w:sz w:val="24"/>
          <w:szCs w:val="22"/>
        </w:rPr>
        <w:t>。</w:t>
      </w:r>
    </w:p>
    <w:p w14:paraId="52896178">
      <w:pPr>
        <w:pStyle w:val="8"/>
        <w:spacing w:line="240" w:lineRule="auto"/>
        <w:rPr>
          <w:color w:val="auto"/>
        </w:rPr>
      </w:pPr>
      <w:r>
        <w:rPr>
          <w:rFonts w:hint="eastAsia"/>
          <w:color w:val="auto"/>
        </w:rPr>
        <w:t>业务辅助屏对接</w:t>
      </w:r>
    </w:p>
    <w:p w14:paraId="49734A73">
      <w:pPr>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对接国家业务指导系统</w:t>
      </w:r>
      <w:r>
        <w:rPr>
          <w:rFonts w:cs="宋体" w:asciiTheme="majorEastAsia" w:hAnsiTheme="majorEastAsia" w:eastAsiaTheme="majorEastAsia"/>
          <w:color w:val="auto"/>
          <w:sz w:val="24"/>
          <w:szCs w:val="22"/>
        </w:rPr>
        <w:t>；</w:t>
      </w:r>
    </w:p>
    <w:p w14:paraId="3BF4A787">
      <w:pPr>
        <w:pStyle w:val="7"/>
        <w:spacing w:line="240" w:lineRule="auto"/>
        <w:rPr>
          <w:color w:val="auto"/>
        </w:rPr>
      </w:pPr>
      <w:r>
        <w:rPr>
          <w:rFonts w:hint="eastAsia"/>
          <w:color w:val="auto"/>
        </w:rPr>
        <w:t>空间辅助屏子系统</w:t>
      </w:r>
    </w:p>
    <w:p w14:paraId="79C1D86B">
      <w:pPr>
        <w:spacing w:before="120"/>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基于事件资源一张图，为受理、批转、办理等多个工作环节提供空间化辅助信息，提高事件流程流转效率。</w:t>
      </w:r>
    </w:p>
    <w:p w14:paraId="224AFAE1">
      <w:pPr>
        <w:pStyle w:val="8"/>
        <w:spacing w:line="240" w:lineRule="auto"/>
        <w:rPr>
          <w:color w:val="auto"/>
        </w:rPr>
      </w:pPr>
      <w:r>
        <w:rPr>
          <w:rFonts w:hint="eastAsia"/>
          <w:color w:val="auto"/>
        </w:rPr>
        <w:t>数据维护展示</w:t>
      </w:r>
    </w:p>
    <w:p w14:paraId="1316CFBC">
      <w:pPr>
        <w:numPr>
          <w:ilvl w:val="0"/>
          <w:numId w:val="35"/>
        </w:num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事件位置落图：显示事件记录的地图位置，在地图上红色小圆点标记事件的位置。</w:t>
      </w:r>
    </w:p>
    <w:p w14:paraId="03A8EAA5">
      <w:pPr>
        <w:numPr>
          <w:ilvl w:val="0"/>
          <w:numId w:val="35"/>
        </w:num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事件周边网格员落图：通过点击地图上的事件红色小圆点展示该事件周边的网格员，以蓝点显示支持查看网格员信息（点击后出现方形图层展示该网格员的详细信息可与之联系）</w:t>
      </w:r>
    </w:p>
    <w:p w14:paraId="0D9C251B">
      <w:pPr>
        <w:numPr>
          <w:ilvl w:val="0"/>
          <w:numId w:val="35"/>
        </w:num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网格区域信息图层：通过案件的位置展示所属网格信息如归属区域、负责部门等便于工作人员确定派遣处理等决策。</w:t>
      </w:r>
    </w:p>
    <w:p w14:paraId="1D849D86">
      <w:pPr>
        <w:numPr>
          <w:ilvl w:val="0"/>
          <w:numId w:val="35"/>
        </w:num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现场视频对接：提供实时的现场周边视频查看。</w:t>
      </w:r>
    </w:p>
    <w:p w14:paraId="656DBA5A">
      <w:pPr>
        <w:numPr>
          <w:ilvl w:val="0"/>
          <w:numId w:val="35"/>
        </w:num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周边资源落图：以事件为中心点分析事件类型展示周边的资源，包括网格人员、城市部件位置等。</w:t>
      </w:r>
    </w:p>
    <w:p w14:paraId="025F3E59">
      <w:pPr>
        <w:numPr>
          <w:ilvl w:val="0"/>
          <w:numId w:val="35"/>
        </w:num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市管道路展示：展示福州市市管道路分布及维护单位。</w:t>
      </w:r>
    </w:p>
    <w:p w14:paraId="724ACD14">
      <w:pPr>
        <w:numPr>
          <w:ilvl w:val="0"/>
          <w:numId w:val="35"/>
        </w:num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共维管道展示：展示运营商各自维护的管道分布。</w:t>
      </w:r>
    </w:p>
    <w:p w14:paraId="52C2B396">
      <w:pPr>
        <w:numPr>
          <w:ilvl w:val="0"/>
          <w:numId w:val="35"/>
        </w:num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绿化维护展示：展示市管绿化维护分布。</w:t>
      </w:r>
    </w:p>
    <w:p w14:paraId="7C2BA97C">
      <w:pPr>
        <w:numPr>
          <w:ilvl w:val="0"/>
          <w:numId w:val="35"/>
        </w:num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施工改造路段展示：展示福州市正在施工改路段分布及维护单位。</w:t>
      </w:r>
    </w:p>
    <w:p w14:paraId="16673D09">
      <w:pPr>
        <w:numPr>
          <w:ilvl w:val="0"/>
          <w:numId w:val="35"/>
        </w:num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水系治理展示：展示福州市水系治理分布及维护单位。</w:t>
      </w:r>
    </w:p>
    <w:p w14:paraId="2EE00BBE">
      <w:pPr>
        <w:numPr>
          <w:ilvl w:val="0"/>
          <w:numId w:val="35"/>
        </w:num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路灯管养展示：展示福州市路灯管养分布及维护单位。</w:t>
      </w:r>
    </w:p>
    <w:p w14:paraId="6F3B7EE5">
      <w:pPr>
        <w:pStyle w:val="7"/>
        <w:spacing w:line="240" w:lineRule="auto"/>
        <w:rPr>
          <w:color w:val="auto"/>
        </w:rPr>
      </w:pPr>
      <w:r>
        <w:rPr>
          <w:rFonts w:hint="eastAsia"/>
          <w:color w:val="auto"/>
        </w:rPr>
        <w:t>语音调度</w:t>
      </w:r>
    </w:p>
    <w:p w14:paraId="3F3A1E33">
      <w:pPr>
        <w:ind w:firstLine="480" w:firstLineChars="200"/>
        <w:rPr>
          <w:rFonts w:cs="宋体" w:asciiTheme="majorEastAsia" w:hAnsiTheme="majorEastAsia" w:eastAsiaTheme="majorEastAsia"/>
          <w:color w:val="auto"/>
          <w:sz w:val="24"/>
          <w:szCs w:val="21"/>
          <w:lang w:val="en-GB"/>
        </w:rPr>
      </w:pPr>
      <w:r>
        <w:rPr>
          <w:rFonts w:hint="eastAsia" w:cs="宋体" w:asciiTheme="majorEastAsia" w:hAnsiTheme="majorEastAsia" w:eastAsiaTheme="majorEastAsia"/>
          <w:color w:val="auto"/>
          <w:sz w:val="24"/>
          <w:szCs w:val="21"/>
          <w:lang w:val="en-GB"/>
        </w:rPr>
        <w:t>语音调度功能解决调度人员需要通过多种不同终端实现对固定电话、数字电话、</w:t>
      </w:r>
      <w:r>
        <w:rPr>
          <w:rFonts w:cs="宋体" w:asciiTheme="majorEastAsia" w:hAnsiTheme="majorEastAsia" w:eastAsiaTheme="majorEastAsia"/>
          <w:color w:val="auto"/>
          <w:sz w:val="24"/>
          <w:szCs w:val="21"/>
          <w:lang w:val="en-GB"/>
        </w:rPr>
        <w:t>PC</w:t>
      </w:r>
      <w:r>
        <w:rPr>
          <w:rFonts w:hint="eastAsia" w:cs="宋体" w:asciiTheme="majorEastAsia" w:hAnsiTheme="majorEastAsia" w:eastAsiaTheme="majorEastAsia"/>
          <w:color w:val="auto"/>
          <w:sz w:val="24"/>
          <w:szCs w:val="21"/>
          <w:lang w:val="en-GB"/>
        </w:rPr>
        <w:t>等进行调度的问题，通过统一的调度台，完成与各种通信终端的通话，以及对各种不同终端的</w:t>
      </w:r>
      <w:r>
        <w:rPr>
          <w:rFonts w:cs="宋体" w:asciiTheme="majorEastAsia" w:hAnsiTheme="majorEastAsia" w:eastAsiaTheme="majorEastAsia"/>
          <w:color w:val="auto"/>
          <w:sz w:val="24"/>
          <w:szCs w:val="21"/>
          <w:lang w:val="en-GB"/>
        </w:rPr>
        <w:t>“</w:t>
      </w:r>
      <w:r>
        <w:rPr>
          <w:rFonts w:hint="eastAsia" w:cs="宋体" w:asciiTheme="majorEastAsia" w:hAnsiTheme="majorEastAsia" w:eastAsiaTheme="majorEastAsia"/>
          <w:color w:val="auto"/>
          <w:sz w:val="24"/>
          <w:szCs w:val="21"/>
          <w:lang w:val="en-GB"/>
        </w:rPr>
        <w:t>一键调度</w:t>
      </w:r>
      <w:r>
        <w:rPr>
          <w:rFonts w:cs="宋体" w:asciiTheme="majorEastAsia" w:hAnsiTheme="majorEastAsia" w:eastAsiaTheme="majorEastAsia"/>
          <w:color w:val="auto"/>
          <w:sz w:val="24"/>
          <w:szCs w:val="21"/>
          <w:lang w:val="en-GB"/>
        </w:rPr>
        <w:t>”</w:t>
      </w:r>
      <w:r>
        <w:rPr>
          <w:rFonts w:hint="eastAsia" w:cs="宋体" w:asciiTheme="majorEastAsia" w:hAnsiTheme="majorEastAsia" w:eastAsiaTheme="majorEastAsia"/>
          <w:color w:val="auto"/>
          <w:sz w:val="24"/>
          <w:szCs w:val="21"/>
          <w:lang w:val="en-GB"/>
        </w:rPr>
        <w:t>，实现对事件处置的统一指挥调度和决策信息的快速传达。</w:t>
      </w:r>
    </w:p>
    <w:p w14:paraId="18E44F0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查看用户信息</w:t>
      </w:r>
    </w:p>
    <w:p w14:paraId="76BC991D">
      <w:pPr>
        <w:ind w:firstLine="480" w:firstLineChars="200"/>
        <w:rPr>
          <w:rFonts w:cs="宋体" w:asciiTheme="majorEastAsia" w:hAnsiTheme="majorEastAsia" w:eastAsiaTheme="majorEastAsia"/>
          <w:color w:val="auto"/>
          <w:sz w:val="24"/>
          <w:szCs w:val="21"/>
          <w:lang w:val="en-GB"/>
        </w:rPr>
      </w:pPr>
      <w:r>
        <w:rPr>
          <w:rFonts w:hint="eastAsia" w:cs="宋体" w:asciiTheme="majorEastAsia" w:hAnsiTheme="majorEastAsia" w:eastAsiaTheme="majorEastAsia"/>
          <w:color w:val="auto"/>
          <w:sz w:val="24"/>
          <w:szCs w:val="21"/>
          <w:lang w:val="en-GB"/>
        </w:rPr>
        <w:t>点击快捷组中的成员，可以在用户信息栏目中查看到相关信息。</w:t>
      </w:r>
    </w:p>
    <w:p w14:paraId="72D6690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语音呼叫</w:t>
      </w:r>
    </w:p>
    <w:p w14:paraId="035C176D">
      <w:pPr>
        <w:ind w:firstLine="480" w:firstLineChars="200"/>
        <w:rPr>
          <w:rFonts w:cs="宋体" w:asciiTheme="majorEastAsia" w:hAnsiTheme="majorEastAsia" w:eastAsiaTheme="majorEastAsia"/>
          <w:color w:val="auto"/>
          <w:sz w:val="24"/>
          <w:szCs w:val="21"/>
          <w:lang w:val="en-GB"/>
        </w:rPr>
      </w:pPr>
      <w:r>
        <w:rPr>
          <w:rFonts w:hint="eastAsia" w:cs="宋体" w:asciiTheme="majorEastAsia" w:hAnsiTheme="majorEastAsia" w:eastAsiaTheme="majorEastAsia"/>
          <w:color w:val="auto"/>
          <w:sz w:val="24"/>
          <w:szCs w:val="21"/>
          <w:lang w:val="en-GB"/>
        </w:rPr>
        <w:t>操作员成功登录客户端并进入调度界面后，可以在界面上对成员发起呼叫。</w:t>
      </w:r>
    </w:p>
    <w:p w14:paraId="77252D6A">
      <w:pPr>
        <w:pStyle w:val="7"/>
        <w:spacing w:line="240" w:lineRule="auto"/>
        <w:rPr>
          <w:color w:val="auto"/>
        </w:rPr>
      </w:pPr>
      <w:r>
        <w:rPr>
          <w:rFonts w:hint="eastAsia"/>
          <w:color w:val="auto"/>
        </w:rPr>
        <w:t>视频查阅</w:t>
      </w:r>
    </w:p>
    <w:p w14:paraId="242E01D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接入各类视频监控资源信息的基础信息，包括视频监控类别、所在地理位置、所在地址、所属单位及联系方式等信息，为网格区域治理提供必要的基础数据支撑。</w:t>
      </w:r>
    </w:p>
    <w:p w14:paraId="50FC5FF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实时视频查阅</w:t>
      </w:r>
    </w:p>
    <w:p w14:paraId="39610AFC">
      <w:pPr>
        <w:ind w:firstLine="480" w:firstLineChars="200"/>
        <w:rPr>
          <w:rFonts w:cs="宋体" w:asciiTheme="majorEastAsia" w:hAnsiTheme="majorEastAsia" w:eastAsiaTheme="majorEastAsia"/>
          <w:color w:val="auto"/>
          <w:sz w:val="24"/>
          <w:szCs w:val="28"/>
        </w:rPr>
      </w:pPr>
      <w:r>
        <w:rPr>
          <w:rFonts w:hint="eastAsia" w:cs="宋体" w:asciiTheme="majorEastAsia" w:hAnsiTheme="majorEastAsia" w:eastAsiaTheme="majorEastAsia"/>
          <w:color w:val="auto"/>
          <w:sz w:val="24"/>
          <w:szCs w:val="21"/>
        </w:rPr>
        <w:t>实现各路视频监控的实时视频画面查阅。</w:t>
      </w:r>
    </w:p>
    <w:p w14:paraId="600B17C8">
      <w:pPr>
        <w:pStyle w:val="7"/>
        <w:spacing w:line="240" w:lineRule="auto"/>
        <w:rPr>
          <w:color w:val="auto"/>
        </w:rPr>
      </w:pPr>
      <w:r>
        <w:rPr>
          <w:rFonts w:hint="eastAsia"/>
          <w:color w:val="auto"/>
        </w:rPr>
        <w:t>城市事件服务</w:t>
      </w:r>
    </w:p>
    <w:p w14:paraId="4A2FAAE0">
      <w:pPr>
        <w:pStyle w:val="8"/>
        <w:spacing w:line="240" w:lineRule="auto"/>
        <w:rPr>
          <w:color w:val="auto"/>
        </w:rPr>
      </w:pPr>
      <w:r>
        <w:rPr>
          <w:rFonts w:hint="eastAsia"/>
          <w:color w:val="auto"/>
        </w:rPr>
        <w:t>事件分类服务</w:t>
      </w:r>
    </w:p>
    <w:p w14:paraId="2517BB0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提供事件产生时根据事件的标题、内容进行分词、同义词匹配，系统将根据匹配内容判断给出建议的对应处置部门，供同上层应用过界面交互辅助人工处理。</w:t>
      </w:r>
    </w:p>
    <w:p w14:paraId="7D0D1620">
      <w:pPr>
        <w:pStyle w:val="8"/>
        <w:spacing w:line="240" w:lineRule="auto"/>
        <w:rPr>
          <w:color w:val="auto"/>
        </w:rPr>
      </w:pPr>
      <w:r>
        <w:rPr>
          <w:rFonts w:hint="eastAsia"/>
          <w:color w:val="auto"/>
        </w:rPr>
        <w:t>事件地理位置服务</w:t>
      </w:r>
    </w:p>
    <w:p w14:paraId="7BB2ADF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通过事件描述内容、视频内容、发现确定发生事件的位置，提供事件位置的相关信息。</w:t>
      </w:r>
    </w:p>
    <w:p w14:paraId="0092FE91">
      <w:pPr>
        <w:pStyle w:val="8"/>
        <w:spacing w:line="240" w:lineRule="auto"/>
        <w:rPr>
          <w:color w:val="auto"/>
        </w:rPr>
      </w:pPr>
      <w:r>
        <w:rPr>
          <w:rFonts w:hint="eastAsia"/>
          <w:color w:val="auto"/>
        </w:rPr>
        <w:t>周边相似事件服务</w:t>
      </w:r>
    </w:p>
    <w:p w14:paraId="381C9EB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通过事件描述内容、视频内容、发现确定发生事件的位置，提供事件位置周边的相似事件信息。</w:t>
      </w:r>
    </w:p>
    <w:p w14:paraId="7FCEBFBB">
      <w:pPr>
        <w:pStyle w:val="8"/>
        <w:spacing w:line="240" w:lineRule="auto"/>
        <w:rPr>
          <w:color w:val="auto"/>
        </w:rPr>
      </w:pPr>
      <w:r>
        <w:rPr>
          <w:rFonts w:hint="eastAsia"/>
          <w:color w:val="auto"/>
        </w:rPr>
        <w:t>周边在途事件服务</w:t>
      </w:r>
    </w:p>
    <w:p w14:paraId="211055F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结合</w:t>
      </w:r>
      <w:r>
        <w:rPr>
          <w:rFonts w:cs="宋体" w:asciiTheme="majorEastAsia" w:hAnsiTheme="majorEastAsia" w:eastAsiaTheme="majorEastAsia"/>
          <w:color w:val="auto"/>
          <w:sz w:val="24"/>
          <w:szCs w:val="21"/>
        </w:rPr>
        <w:t>GIS</w:t>
      </w:r>
      <w:r>
        <w:rPr>
          <w:rFonts w:hint="eastAsia" w:cs="宋体" w:asciiTheme="majorEastAsia" w:hAnsiTheme="majorEastAsia" w:eastAsiaTheme="majorEastAsia"/>
          <w:color w:val="auto"/>
          <w:sz w:val="24"/>
          <w:szCs w:val="21"/>
        </w:rPr>
        <w:t>地理信息、事件类别信息，提供事件坐标周边的类似（或相同）事件的处理情况状态服务。</w:t>
      </w:r>
    </w:p>
    <w:p w14:paraId="39A0F563">
      <w:pPr>
        <w:pStyle w:val="8"/>
        <w:spacing w:line="240" w:lineRule="auto"/>
        <w:rPr>
          <w:color w:val="auto"/>
        </w:rPr>
      </w:pPr>
      <w:r>
        <w:rPr>
          <w:rFonts w:hint="eastAsia"/>
          <w:color w:val="auto"/>
        </w:rPr>
        <w:t>周边网格人员查询服务</w:t>
      </w:r>
    </w:p>
    <w:p w14:paraId="7B62FD1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结合</w:t>
      </w:r>
      <w:r>
        <w:rPr>
          <w:rFonts w:cs="宋体" w:asciiTheme="majorEastAsia" w:hAnsiTheme="majorEastAsia" w:eastAsiaTheme="majorEastAsia"/>
          <w:color w:val="auto"/>
          <w:sz w:val="24"/>
          <w:szCs w:val="21"/>
        </w:rPr>
        <w:t>GIS</w:t>
      </w:r>
      <w:r>
        <w:rPr>
          <w:rFonts w:hint="eastAsia" w:cs="宋体" w:asciiTheme="majorEastAsia" w:hAnsiTheme="majorEastAsia" w:eastAsiaTheme="majorEastAsia"/>
          <w:color w:val="auto"/>
          <w:sz w:val="24"/>
          <w:szCs w:val="21"/>
        </w:rPr>
        <w:t>地理信息、网格人员位置信息，提供事件坐标周边的网格人员位置显示服务。</w:t>
      </w:r>
    </w:p>
    <w:p w14:paraId="6A95056D">
      <w:pPr>
        <w:pStyle w:val="8"/>
        <w:spacing w:line="240" w:lineRule="auto"/>
        <w:rPr>
          <w:color w:val="auto"/>
        </w:rPr>
      </w:pPr>
      <w:r>
        <w:rPr>
          <w:rFonts w:hint="eastAsia"/>
          <w:color w:val="auto"/>
        </w:rPr>
        <w:t>周边部件状态服务</w:t>
      </w:r>
    </w:p>
    <w:p w14:paraId="24C3893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提供基于事件周边位置的部件查询服务，通过事件坐标、类型查询周围部件的运行情况。</w:t>
      </w:r>
    </w:p>
    <w:p w14:paraId="178BD55B">
      <w:pPr>
        <w:pStyle w:val="8"/>
        <w:spacing w:line="240" w:lineRule="auto"/>
        <w:rPr>
          <w:color w:val="auto"/>
        </w:rPr>
      </w:pPr>
      <w:r>
        <w:rPr>
          <w:rFonts w:hint="eastAsia"/>
          <w:color w:val="auto"/>
        </w:rPr>
        <w:t>周边应急资源服务</w:t>
      </w:r>
    </w:p>
    <w:p w14:paraId="3EBAAD1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汇聚全市各个基层单位的各类应急资源信息，包括救援队伍、救援专家、应急物资、救援装备、医疗资源、通信资源、运输资源以及避难场所等。</w:t>
      </w:r>
    </w:p>
    <w:p w14:paraId="2257E2E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提供资源查询服务，可根据事件位置坐标展示周边物资、人员信息供受理人员、调度人员、决策者等联系调度、查阅应急资源信息为事件处置提供支持。</w:t>
      </w:r>
      <w:bookmarkEnd w:id="46"/>
      <w:bookmarkEnd w:id="47"/>
      <w:bookmarkEnd w:id="48"/>
      <w:bookmarkEnd w:id="49"/>
      <w:bookmarkEnd w:id="50"/>
      <w:bookmarkEnd w:id="51"/>
      <w:bookmarkEnd w:id="52"/>
    </w:p>
    <w:p w14:paraId="09FE724E">
      <w:pPr>
        <w:pStyle w:val="41"/>
        <w:rPr>
          <w:color w:val="auto"/>
        </w:rPr>
      </w:pPr>
    </w:p>
    <w:bookmarkEnd w:id="53"/>
    <w:p w14:paraId="0C882B1A">
      <w:pPr>
        <w:keepNext/>
        <w:keepLines/>
        <w:numPr>
          <w:ilvl w:val="2"/>
          <w:numId w:val="1"/>
        </w:numPr>
        <w:ind w:firstLine="200"/>
        <w:contextualSpacing/>
        <w:jc w:val="left"/>
        <w:outlineLvl w:val="2"/>
        <w:rPr>
          <w:rFonts w:ascii="宋体" w:hAnsi="宋体" w:eastAsia="宋体" w:cs="宋体"/>
          <w:color w:val="auto"/>
          <w:sz w:val="28"/>
          <w:szCs w:val="28"/>
          <w:lang w:val="zh-TW" w:eastAsia="zh-TW"/>
        </w:rPr>
      </w:pPr>
      <w:bookmarkStart w:id="107" w:name="_Toc95404049"/>
      <w:r>
        <w:rPr>
          <w:rFonts w:hint="eastAsia" w:ascii="宋体" w:hAnsi="宋体" w:eastAsia="宋体" w:cs="宋体"/>
          <w:color w:val="auto"/>
          <w:sz w:val="28"/>
          <w:szCs w:val="28"/>
          <w:lang w:val="zh-CN"/>
        </w:rPr>
        <w:t>容器微服务系统</w:t>
      </w:r>
      <w:bookmarkEnd w:id="107"/>
    </w:p>
    <w:p w14:paraId="0615760F">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城市综合服务管理平台微服务管理平台之的容器微服务系统</w:t>
      </w:r>
      <w:r>
        <w:rPr>
          <w:rFonts w:hint="eastAsia" w:ascii="Times New Roman" w:hAnsi="Times New Roman" w:eastAsia="宋体" w:cs="Times New Roman"/>
          <w:color w:val="auto"/>
          <w:sz w:val="24"/>
          <w:szCs w:val="21"/>
          <w:lang w:val="zh-TW" w:eastAsia="zh-TW"/>
        </w:rPr>
        <w:t>提供微服务支持，微服务</w:t>
      </w:r>
      <w:r>
        <w:rPr>
          <w:rFonts w:hint="eastAsia" w:ascii="Times New Roman" w:hAnsi="Times New Roman" w:eastAsia="宋体" w:cs="Times New Roman"/>
          <w:color w:val="auto"/>
          <w:sz w:val="24"/>
          <w:szCs w:val="21"/>
          <w:lang w:val="zh-CN"/>
        </w:rPr>
        <w:t>应用</w:t>
      </w:r>
      <w:r>
        <w:rPr>
          <w:rFonts w:hint="eastAsia" w:ascii="Times New Roman" w:hAnsi="Times New Roman" w:eastAsia="宋体" w:cs="Times New Roman"/>
          <w:color w:val="auto"/>
          <w:sz w:val="24"/>
          <w:szCs w:val="21"/>
          <w:lang w:val="zh-TW" w:eastAsia="zh-TW"/>
        </w:rPr>
        <w:t>将</w:t>
      </w:r>
      <w:r>
        <w:rPr>
          <w:rFonts w:hint="eastAsia" w:ascii="Times New Roman" w:hAnsi="Times New Roman" w:eastAsia="宋体" w:cs="Times New Roman"/>
          <w:color w:val="auto"/>
          <w:sz w:val="24"/>
          <w:szCs w:val="21"/>
          <w:lang w:val="zh-CN"/>
        </w:rPr>
        <w:t>封装在</w:t>
      </w:r>
      <w:r>
        <w:rPr>
          <w:rFonts w:hint="eastAsia" w:ascii="Times New Roman" w:hAnsi="Times New Roman" w:eastAsia="宋体" w:cs="Times New Roman"/>
          <w:color w:val="auto"/>
          <w:sz w:val="24"/>
          <w:szCs w:val="21"/>
          <w:lang w:val="zh-TW" w:eastAsia="zh-TW"/>
        </w:rPr>
        <w:t>容器</w:t>
      </w:r>
      <w:r>
        <w:rPr>
          <w:rFonts w:hint="eastAsia" w:ascii="Times New Roman" w:hAnsi="Times New Roman" w:eastAsia="宋体" w:cs="Times New Roman"/>
          <w:color w:val="auto"/>
          <w:sz w:val="24"/>
          <w:szCs w:val="21"/>
          <w:lang w:val="zh-CN"/>
        </w:rPr>
        <w:t>中被外部使用</w:t>
      </w:r>
      <w:r>
        <w:rPr>
          <w:rFonts w:hint="eastAsia" w:ascii="Times New Roman" w:hAnsi="Times New Roman" w:eastAsia="宋体" w:cs="Times New Roman"/>
          <w:color w:val="auto"/>
          <w:sz w:val="24"/>
          <w:szCs w:val="21"/>
          <w:lang w:val="zh-TW" w:eastAsia="zh-TW"/>
        </w:rPr>
        <w:t>，所有的应用、数据和业务逻辑</w:t>
      </w:r>
      <w:r>
        <w:rPr>
          <w:rFonts w:hint="eastAsia" w:ascii="Times New Roman" w:hAnsi="Times New Roman" w:eastAsia="宋体" w:cs="Times New Roman"/>
          <w:color w:val="auto"/>
          <w:sz w:val="24"/>
          <w:szCs w:val="21"/>
          <w:lang w:val="zh-CN"/>
        </w:rPr>
        <w:t>将</w:t>
      </w:r>
      <w:r>
        <w:rPr>
          <w:rFonts w:hint="eastAsia" w:ascii="Times New Roman" w:hAnsi="Times New Roman" w:eastAsia="宋体" w:cs="Times New Roman"/>
          <w:color w:val="auto"/>
          <w:sz w:val="24"/>
          <w:szCs w:val="21"/>
          <w:lang w:val="zh-TW" w:eastAsia="zh-TW"/>
        </w:rPr>
        <w:t>封装在容器内部，</w:t>
      </w:r>
      <w:r>
        <w:rPr>
          <w:rFonts w:hint="eastAsia" w:ascii="Times New Roman" w:hAnsi="Times New Roman" w:eastAsia="宋体" w:cs="Times New Roman"/>
          <w:color w:val="auto"/>
          <w:sz w:val="24"/>
          <w:szCs w:val="21"/>
          <w:lang w:val="zh-CN"/>
        </w:rPr>
        <w:t>最终构建整个城市综合服务管理平台的应用生产系统，保证成千上万的微服务组件和实例在弹性、强扩展性、高可用性平台上运行，能够支撑城市网格、应急指挥、12345、市域多个现有应用的基础上扩展和对接大量城市应用。容器微服务系统</w:t>
      </w:r>
      <w:r>
        <w:rPr>
          <w:rFonts w:hint="eastAsia" w:ascii="Times New Roman" w:hAnsi="Times New Roman" w:eastAsia="宋体" w:cs="Times New Roman"/>
          <w:color w:val="auto"/>
          <w:sz w:val="24"/>
          <w:szCs w:val="21"/>
          <w:lang w:val="zh-TW" w:eastAsia="zh-TW"/>
        </w:rPr>
        <w:t>将</w:t>
      </w:r>
      <w:r>
        <w:rPr>
          <w:rFonts w:hint="eastAsia" w:ascii="Times New Roman" w:hAnsi="Times New Roman" w:eastAsia="宋体" w:cs="Times New Roman"/>
          <w:color w:val="auto"/>
          <w:sz w:val="24"/>
          <w:szCs w:val="21"/>
          <w:lang w:val="zh-CN"/>
        </w:rPr>
        <w:t>首先</w:t>
      </w:r>
      <w:r>
        <w:rPr>
          <w:rFonts w:hint="eastAsia" w:ascii="Times New Roman" w:hAnsi="Times New Roman" w:eastAsia="宋体" w:cs="Times New Roman"/>
          <w:color w:val="auto"/>
          <w:sz w:val="24"/>
          <w:szCs w:val="21"/>
          <w:lang w:val="zh-TW" w:eastAsia="zh-TW"/>
        </w:rPr>
        <w:t>负责将所有的微服务</w:t>
      </w:r>
      <w:r>
        <w:rPr>
          <w:rFonts w:hint="eastAsia" w:ascii="Times New Roman" w:hAnsi="Times New Roman" w:eastAsia="宋体" w:cs="Times New Roman"/>
          <w:color w:val="auto"/>
          <w:sz w:val="24"/>
          <w:szCs w:val="21"/>
          <w:lang w:val="zh-CN"/>
        </w:rPr>
        <w:t>组件</w:t>
      </w:r>
      <w:r>
        <w:rPr>
          <w:rFonts w:hint="eastAsia" w:ascii="Times New Roman" w:hAnsi="Times New Roman" w:eastAsia="宋体" w:cs="Times New Roman"/>
          <w:color w:val="auto"/>
          <w:sz w:val="24"/>
          <w:szCs w:val="21"/>
          <w:lang w:val="zh-TW" w:eastAsia="zh-TW"/>
        </w:rPr>
        <w:t>提供互联互通的服务功能，</w:t>
      </w:r>
      <w:r>
        <w:rPr>
          <w:rFonts w:hint="eastAsia" w:ascii="Times New Roman" w:hAnsi="Times New Roman" w:eastAsia="宋体" w:cs="Times New Roman"/>
          <w:color w:val="auto"/>
          <w:sz w:val="24"/>
          <w:szCs w:val="21"/>
          <w:lang w:val="zh-CN"/>
        </w:rPr>
        <w:t>其次做为城市综合服务管理平台的生产系统的载体，保证系统的健康和正常运行。容器微服务系统</w:t>
      </w:r>
      <w:r>
        <w:rPr>
          <w:rFonts w:hint="eastAsia" w:ascii="Times New Roman" w:hAnsi="Times New Roman" w:eastAsia="宋体" w:cs="Times New Roman"/>
          <w:color w:val="auto"/>
          <w:sz w:val="24"/>
          <w:szCs w:val="21"/>
          <w:lang w:val="zh-TW" w:eastAsia="zh-TW"/>
        </w:rPr>
        <w:t>包含了下列模块：</w:t>
      </w:r>
    </w:p>
    <w:p w14:paraId="2A40E245">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协同模块</w:t>
      </w:r>
      <w:r>
        <w:rPr>
          <w:rFonts w:hint="eastAsia" w:ascii="Times New Roman" w:hAnsi="Times New Roman" w:eastAsia="宋体" w:cs="Times New Roman"/>
          <w:color w:val="auto"/>
          <w:sz w:val="24"/>
          <w:szCs w:val="21"/>
          <w:lang w:val="zh-TW" w:eastAsia="zh-TW"/>
        </w:rPr>
        <w:t>（</w:t>
      </w:r>
      <w:r>
        <w:rPr>
          <w:rFonts w:hint="eastAsia" w:ascii="Times New Roman" w:hAnsi="Times New Roman" w:eastAsia="宋体" w:cs="Times New Roman"/>
          <w:color w:val="auto"/>
          <w:sz w:val="24"/>
          <w:szCs w:val="21"/>
          <w:lang w:val="zh-CN"/>
        </w:rPr>
        <w:t>基于</w:t>
      </w:r>
      <w:r>
        <w:rPr>
          <w:rFonts w:hint="eastAsia" w:ascii="Times New Roman" w:hAnsi="Times New Roman" w:eastAsia="宋体" w:cs="Times New Roman"/>
          <w:color w:val="auto"/>
          <w:sz w:val="24"/>
          <w:szCs w:val="21"/>
          <w:lang w:val="zh-TW" w:eastAsia="zh-TW"/>
        </w:rPr>
        <w:t>服务网格</w:t>
      </w:r>
      <w:r>
        <w:rPr>
          <w:rFonts w:hint="eastAsia" w:ascii="Times New Roman" w:hAnsi="Times New Roman" w:eastAsia="宋体" w:cs="Times New Roman"/>
          <w:color w:val="auto"/>
          <w:sz w:val="24"/>
          <w:szCs w:val="21"/>
          <w:lang w:val="zh-CN"/>
        </w:rPr>
        <w:t>技术完善基础模块功能</w:t>
      </w:r>
      <w:r>
        <w:rPr>
          <w:rFonts w:hint="eastAsia" w:ascii="Times New Roman" w:hAnsi="Times New Roman" w:eastAsia="宋体" w:cs="Times New Roman"/>
          <w:color w:val="auto"/>
          <w:sz w:val="24"/>
          <w:szCs w:val="21"/>
          <w:lang w:val="zh-TW" w:eastAsia="zh-TW"/>
        </w:rPr>
        <w:t>）、接口管理模块（</w:t>
      </w:r>
      <w:r>
        <w:rPr>
          <w:rFonts w:hint="eastAsia" w:ascii="Times New Roman" w:hAnsi="Times New Roman" w:eastAsia="宋体" w:cs="Times New Roman"/>
          <w:color w:val="auto"/>
          <w:sz w:val="24"/>
          <w:szCs w:val="21"/>
          <w:lang w:val="zh-CN"/>
        </w:rPr>
        <w:t>基于</w:t>
      </w:r>
      <w:r>
        <w:rPr>
          <w:rFonts w:hint="eastAsia" w:ascii="Times New Roman" w:hAnsi="Times New Roman" w:eastAsia="宋体" w:cs="Times New Roman"/>
          <w:color w:val="auto"/>
          <w:sz w:val="24"/>
          <w:szCs w:val="21"/>
          <w:lang w:val="zh-TW" w:eastAsia="zh-TW"/>
        </w:rPr>
        <w:t>服务网关和服务代理</w:t>
      </w:r>
      <w:r>
        <w:rPr>
          <w:rFonts w:hint="eastAsia" w:ascii="Times New Roman" w:hAnsi="Times New Roman" w:eastAsia="宋体" w:cs="Times New Roman"/>
          <w:color w:val="auto"/>
          <w:sz w:val="24"/>
          <w:szCs w:val="21"/>
          <w:lang w:val="zh-CN"/>
        </w:rPr>
        <w:t>技术完善接口管理模块功能</w:t>
      </w:r>
      <w:r>
        <w:rPr>
          <w:rFonts w:hint="eastAsia" w:ascii="Times New Roman" w:hAnsi="Times New Roman" w:eastAsia="宋体" w:cs="Times New Roman"/>
          <w:color w:val="auto"/>
          <w:sz w:val="24"/>
          <w:szCs w:val="21"/>
          <w:lang w:val="zh-TW" w:eastAsia="zh-TW"/>
        </w:rPr>
        <w:t>）、服务发现模块（</w:t>
      </w:r>
      <w:r>
        <w:rPr>
          <w:rFonts w:hint="eastAsia" w:ascii="Times New Roman" w:hAnsi="Times New Roman" w:eastAsia="宋体" w:cs="Times New Roman"/>
          <w:color w:val="auto"/>
          <w:sz w:val="24"/>
          <w:szCs w:val="21"/>
          <w:lang w:val="zh-CN"/>
        </w:rPr>
        <w:t>基于</w:t>
      </w:r>
      <w:r>
        <w:rPr>
          <w:rFonts w:hint="eastAsia" w:ascii="Times New Roman" w:hAnsi="Times New Roman" w:eastAsia="宋体" w:cs="Times New Roman"/>
          <w:color w:val="auto"/>
          <w:sz w:val="24"/>
          <w:szCs w:val="21"/>
          <w:lang w:val="zh-TW" w:eastAsia="zh-TW"/>
        </w:rPr>
        <w:t>服务发现和服务注册</w:t>
      </w:r>
      <w:r>
        <w:rPr>
          <w:rFonts w:hint="eastAsia" w:ascii="Times New Roman" w:hAnsi="Times New Roman" w:eastAsia="宋体" w:cs="Times New Roman"/>
          <w:color w:val="auto"/>
          <w:sz w:val="24"/>
          <w:szCs w:val="21"/>
          <w:lang w:val="zh-CN"/>
        </w:rPr>
        <w:t>技术完善发现模块功能</w:t>
      </w:r>
      <w:r>
        <w:rPr>
          <w:rFonts w:hint="eastAsia" w:ascii="Times New Roman" w:hAnsi="Times New Roman" w:eastAsia="宋体" w:cs="Times New Roman"/>
          <w:color w:val="auto"/>
          <w:sz w:val="24"/>
          <w:szCs w:val="21"/>
          <w:lang w:val="zh-TW" w:eastAsia="zh-TW"/>
        </w:rPr>
        <w:t>）、流量管理</w:t>
      </w:r>
      <w:r>
        <w:rPr>
          <w:rFonts w:hint="eastAsia" w:ascii="Times New Roman" w:hAnsi="Times New Roman" w:eastAsia="宋体" w:cs="Times New Roman"/>
          <w:color w:val="auto"/>
          <w:sz w:val="24"/>
          <w:szCs w:val="21"/>
          <w:lang w:val="zh-CN"/>
        </w:rPr>
        <w:t>模块</w:t>
      </w:r>
      <w:r>
        <w:rPr>
          <w:rFonts w:hint="eastAsia" w:ascii="Times New Roman" w:hAnsi="Times New Roman" w:eastAsia="宋体" w:cs="Times New Roman"/>
          <w:color w:val="auto"/>
          <w:sz w:val="24"/>
          <w:szCs w:val="21"/>
          <w:lang w:val="zh-TW" w:eastAsia="zh-TW"/>
        </w:rPr>
        <w:t>（</w:t>
      </w:r>
      <w:r>
        <w:rPr>
          <w:rFonts w:hint="eastAsia" w:ascii="Times New Roman" w:hAnsi="Times New Roman" w:eastAsia="宋体" w:cs="Times New Roman"/>
          <w:color w:val="auto"/>
          <w:sz w:val="24"/>
          <w:szCs w:val="21"/>
          <w:lang w:val="zh-CN"/>
        </w:rPr>
        <w:t>基于</w:t>
      </w:r>
      <w:r>
        <w:rPr>
          <w:rFonts w:hint="eastAsia" w:ascii="Times New Roman" w:hAnsi="Times New Roman" w:eastAsia="宋体" w:cs="Times New Roman"/>
          <w:color w:val="auto"/>
          <w:sz w:val="24"/>
          <w:szCs w:val="21"/>
          <w:lang w:val="zh-TW" w:eastAsia="zh-TW"/>
        </w:rPr>
        <w:t>流量控制</w:t>
      </w:r>
      <w:r>
        <w:rPr>
          <w:rFonts w:hint="eastAsia" w:ascii="Times New Roman" w:hAnsi="Times New Roman" w:eastAsia="宋体" w:cs="Times New Roman"/>
          <w:color w:val="auto"/>
          <w:sz w:val="24"/>
          <w:szCs w:val="21"/>
          <w:lang w:val="zh-CN"/>
        </w:rPr>
        <w:t>技术完善流量管理模块功能</w:t>
      </w:r>
      <w:r>
        <w:rPr>
          <w:rFonts w:hint="eastAsia" w:ascii="Times New Roman" w:hAnsi="Times New Roman" w:eastAsia="宋体" w:cs="Times New Roman"/>
          <w:color w:val="auto"/>
          <w:sz w:val="24"/>
          <w:szCs w:val="21"/>
          <w:lang w:val="zh-TW" w:eastAsia="zh-TW"/>
        </w:rPr>
        <w:t>）、安全策略</w:t>
      </w:r>
      <w:r>
        <w:rPr>
          <w:rFonts w:hint="eastAsia" w:ascii="Times New Roman" w:hAnsi="Times New Roman" w:eastAsia="宋体" w:cs="Times New Roman"/>
          <w:color w:val="auto"/>
          <w:sz w:val="24"/>
          <w:szCs w:val="21"/>
          <w:lang w:val="zh-CN"/>
        </w:rPr>
        <w:t>功能</w:t>
      </w:r>
      <w:r>
        <w:rPr>
          <w:rFonts w:hint="eastAsia" w:ascii="Times New Roman" w:hAnsi="Times New Roman" w:eastAsia="宋体" w:cs="Times New Roman"/>
          <w:color w:val="auto"/>
          <w:sz w:val="24"/>
          <w:szCs w:val="21"/>
          <w:lang w:val="zh-TW" w:eastAsia="zh-TW"/>
        </w:rPr>
        <w:t>（</w:t>
      </w:r>
      <w:r>
        <w:rPr>
          <w:rFonts w:hint="eastAsia" w:ascii="Times New Roman" w:hAnsi="Times New Roman" w:eastAsia="宋体" w:cs="Times New Roman"/>
          <w:color w:val="auto"/>
          <w:sz w:val="24"/>
          <w:szCs w:val="21"/>
          <w:lang w:val="zh-CN"/>
        </w:rPr>
        <w:t>基于</w:t>
      </w:r>
      <w:r>
        <w:rPr>
          <w:rFonts w:hint="eastAsia" w:ascii="Times New Roman" w:hAnsi="Times New Roman" w:eastAsia="宋体" w:cs="Times New Roman"/>
          <w:color w:val="auto"/>
          <w:sz w:val="24"/>
          <w:szCs w:val="21"/>
          <w:lang w:val="zh-TW" w:eastAsia="zh-TW"/>
        </w:rPr>
        <w:t>安全策略</w:t>
      </w:r>
      <w:r>
        <w:rPr>
          <w:rFonts w:hint="eastAsia" w:ascii="Times New Roman" w:hAnsi="Times New Roman" w:eastAsia="宋体" w:cs="Times New Roman"/>
          <w:color w:val="auto"/>
          <w:sz w:val="24"/>
          <w:szCs w:val="21"/>
          <w:lang w:val="zh-CN"/>
        </w:rPr>
        <w:t>完善安全策略模块功能</w:t>
      </w:r>
      <w:r>
        <w:rPr>
          <w:rFonts w:hint="eastAsia" w:ascii="Times New Roman" w:hAnsi="Times New Roman" w:eastAsia="宋体" w:cs="Times New Roman"/>
          <w:color w:val="auto"/>
          <w:sz w:val="24"/>
          <w:szCs w:val="21"/>
          <w:lang w:val="zh-TW" w:eastAsia="zh-TW"/>
        </w:rPr>
        <w:t>）、通讯和协议</w:t>
      </w:r>
      <w:r>
        <w:rPr>
          <w:rFonts w:hint="eastAsia" w:ascii="Times New Roman" w:hAnsi="Times New Roman" w:eastAsia="宋体" w:cs="Times New Roman"/>
          <w:color w:val="auto"/>
          <w:sz w:val="24"/>
          <w:szCs w:val="21"/>
          <w:lang w:val="zh-CN"/>
        </w:rPr>
        <w:t>模块</w:t>
      </w:r>
      <w:r>
        <w:rPr>
          <w:rFonts w:hint="eastAsia" w:ascii="Times New Roman" w:hAnsi="Times New Roman" w:eastAsia="宋体" w:cs="Times New Roman"/>
          <w:color w:val="auto"/>
          <w:sz w:val="24"/>
          <w:szCs w:val="21"/>
          <w:lang w:val="zh-TW" w:eastAsia="zh-TW"/>
        </w:rPr>
        <w:t>（</w:t>
      </w:r>
      <w:r>
        <w:rPr>
          <w:rFonts w:hint="eastAsia" w:ascii="Times New Roman" w:hAnsi="Times New Roman" w:eastAsia="宋体" w:cs="Times New Roman"/>
          <w:color w:val="auto"/>
          <w:sz w:val="24"/>
          <w:szCs w:val="21"/>
          <w:lang w:val="zh-CN"/>
        </w:rPr>
        <w:t>基于</w:t>
      </w:r>
      <w:r>
        <w:rPr>
          <w:rFonts w:hint="eastAsia" w:ascii="Times New Roman" w:hAnsi="Times New Roman" w:eastAsia="宋体" w:cs="Times New Roman"/>
          <w:color w:val="auto"/>
          <w:sz w:val="24"/>
          <w:szCs w:val="21"/>
          <w:lang w:val="zh-TW" w:eastAsia="zh-TW"/>
        </w:rPr>
        <w:t>路由管理</w:t>
      </w:r>
      <w:r>
        <w:rPr>
          <w:rFonts w:hint="eastAsia" w:ascii="Times New Roman" w:hAnsi="Times New Roman" w:eastAsia="宋体" w:cs="Times New Roman"/>
          <w:color w:val="auto"/>
          <w:sz w:val="24"/>
          <w:szCs w:val="21"/>
          <w:lang w:val="zh-CN"/>
        </w:rPr>
        <w:t>、</w:t>
      </w:r>
      <w:r>
        <w:rPr>
          <w:rFonts w:hint="eastAsia" w:ascii="Times New Roman" w:hAnsi="Times New Roman" w:eastAsia="宋体" w:cs="Times New Roman"/>
          <w:color w:val="auto"/>
          <w:sz w:val="24"/>
          <w:szCs w:val="21"/>
          <w:lang w:val="zh-TW" w:eastAsia="zh-TW"/>
        </w:rPr>
        <w:t>协议管理和请求校验</w:t>
      </w:r>
      <w:r>
        <w:rPr>
          <w:rFonts w:hint="eastAsia" w:ascii="Times New Roman" w:hAnsi="Times New Roman" w:eastAsia="宋体" w:cs="Times New Roman"/>
          <w:color w:val="auto"/>
          <w:sz w:val="24"/>
          <w:szCs w:val="21"/>
          <w:lang w:val="zh-CN"/>
        </w:rPr>
        <w:t>完善该模块功能</w:t>
      </w:r>
      <w:r>
        <w:rPr>
          <w:rFonts w:hint="eastAsia" w:ascii="Times New Roman" w:hAnsi="Times New Roman" w:eastAsia="宋体" w:cs="Times New Roman"/>
          <w:color w:val="auto"/>
          <w:sz w:val="24"/>
          <w:szCs w:val="21"/>
          <w:lang w:val="zh-TW" w:eastAsia="zh-TW"/>
        </w:rPr>
        <w:t>）、配置管理（</w:t>
      </w:r>
      <w:r>
        <w:rPr>
          <w:rFonts w:hint="eastAsia" w:ascii="Times New Roman" w:hAnsi="Times New Roman" w:eastAsia="宋体" w:cs="Times New Roman"/>
          <w:color w:val="auto"/>
          <w:sz w:val="24"/>
          <w:szCs w:val="21"/>
          <w:lang w:val="zh-CN"/>
        </w:rPr>
        <w:t>基于</w:t>
      </w:r>
      <w:r>
        <w:rPr>
          <w:rFonts w:hint="eastAsia" w:ascii="Times New Roman" w:hAnsi="Times New Roman" w:eastAsia="宋体" w:cs="Times New Roman"/>
          <w:color w:val="auto"/>
          <w:sz w:val="24"/>
          <w:szCs w:val="21"/>
          <w:lang w:val="zh-TW" w:eastAsia="zh-TW"/>
        </w:rPr>
        <w:t>熔断机制</w:t>
      </w:r>
      <w:r>
        <w:rPr>
          <w:rFonts w:hint="eastAsia" w:ascii="Times New Roman" w:hAnsi="Times New Roman" w:eastAsia="宋体" w:cs="Times New Roman"/>
          <w:color w:val="auto"/>
          <w:sz w:val="24"/>
          <w:szCs w:val="21"/>
          <w:lang w:val="zh-CN"/>
        </w:rPr>
        <w:t>、</w:t>
      </w:r>
      <w:r>
        <w:rPr>
          <w:rFonts w:hint="eastAsia" w:ascii="Times New Roman" w:hAnsi="Times New Roman" w:eastAsia="宋体" w:cs="Times New Roman"/>
          <w:color w:val="auto"/>
          <w:sz w:val="24"/>
          <w:szCs w:val="21"/>
          <w:lang w:val="zh-TW" w:eastAsia="zh-TW"/>
        </w:rPr>
        <w:t>故障恢复</w:t>
      </w:r>
      <w:r>
        <w:rPr>
          <w:rFonts w:hint="eastAsia" w:ascii="Times New Roman" w:hAnsi="Times New Roman" w:eastAsia="宋体" w:cs="Times New Roman"/>
          <w:color w:val="auto"/>
          <w:sz w:val="24"/>
          <w:szCs w:val="21"/>
          <w:lang w:val="zh-CN"/>
        </w:rPr>
        <w:t>、</w:t>
      </w:r>
      <w:r>
        <w:rPr>
          <w:rFonts w:hint="eastAsia" w:ascii="Times New Roman" w:hAnsi="Times New Roman" w:eastAsia="宋体" w:cs="Times New Roman"/>
          <w:color w:val="auto"/>
          <w:sz w:val="24"/>
          <w:szCs w:val="21"/>
          <w:lang w:val="zh-TW" w:eastAsia="zh-TW"/>
        </w:rPr>
        <w:t>超时和重试</w:t>
      </w:r>
      <w:r>
        <w:rPr>
          <w:rFonts w:hint="eastAsia" w:ascii="Times New Roman" w:hAnsi="Times New Roman" w:eastAsia="宋体" w:cs="Times New Roman"/>
          <w:color w:val="auto"/>
          <w:sz w:val="24"/>
          <w:szCs w:val="21"/>
          <w:lang w:val="zh-CN"/>
        </w:rPr>
        <w:t>完善该模块功能</w:t>
      </w:r>
      <w:r>
        <w:rPr>
          <w:rFonts w:hint="eastAsia" w:ascii="Times New Roman" w:hAnsi="Times New Roman" w:eastAsia="宋体" w:cs="Times New Roman"/>
          <w:color w:val="auto"/>
          <w:sz w:val="24"/>
          <w:szCs w:val="21"/>
          <w:lang w:val="zh-TW" w:eastAsia="zh-TW"/>
        </w:rPr>
        <w:t>）、发布管理（</w:t>
      </w:r>
      <w:r>
        <w:rPr>
          <w:rFonts w:hint="eastAsia" w:ascii="Times New Roman" w:hAnsi="Times New Roman" w:eastAsia="宋体" w:cs="Times New Roman"/>
          <w:color w:val="auto"/>
          <w:sz w:val="24"/>
          <w:szCs w:val="21"/>
          <w:lang w:val="zh-CN"/>
        </w:rPr>
        <w:t>基于</w:t>
      </w:r>
      <w:r>
        <w:rPr>
          <w:rFonts w:hint="eastAsia" w:ascii="Times New Roman" w:hAnsi="Times New Roman" w:eastAsia="宋体" w:cs="Times New Roman"/>
          <w:color w:val="auto"/>
          <w:sz w:val="24"/>
          <w:szCs w:val="21"/>
          <w:lang w:val="zh-TW" w:eastAsia="zh-TW"/>
        </w:rPr>
        <w:t>版本管理</w:t>
      </w:r>
      <w:r>
        <w:rPr>
          <w:rFonts w:hint="eastAsia" w:ascii="Times New Roman" w:hAnsi="Times New Roman" w:eastAsia="宋体" w:cs="Times New Roman"/>
          <w:color w:val="auto"/>
          <w:sz w:val="24"/>
          <w:szCs w:val="21"/>
          <w:lang w:val="zh-CN"/>
        </w:rPr>
        <w:t>、</w:t>
      </w:r>
      <w:r>
        <w:rPr>
          <w:rFonts w:hint="eastAsia" w:ascii="Times New Roman" w:hAnsi="Times New Roman" w:eastAsia="宋体" w:cs="Times New Roman"/>
          <w:color w:val="auto"/>
          <w:sz w:val="24"/>
          <w:szCs w:val="21"/>
          <w:lang w:val="zh-TW" w:eastAsia="zh-TW"/>
        </w:rPr>
        <w:t>A/B测试</w:t>
      </w:r>
      <w:r>
        <w:rPr>
          <w:rFonts w:hint="eastAsia" w:ascii="Times New Roman" w:hAnsi="Times New Roman" w:eastAsia="宋体" w:cs="Times New Roman"/>
          <w:color w:val="auto"/>
          <w:sz w:val="24"/>
          <w:szCs w:val="21"/>
          <w:lang w:val="zh-CN"/>
        </w:rPr>
        <w:t>、</w:t>
      </w:r>
      <w:r>
        <w:rPr>
          <w:rFonts w:hint="eastAsia" w:ascii="Times New Roman" w:hAnsi="Times New Roman" w:eastAsia="宋体" w:cs="Times New Roman"/>
          <w:color w:val="auto"/>
          <w:sz w:val="24"/>
          <w:szCs w:val="21"/>
          <w:lang w:val="zh-TW" w:eastAsia="zh-TW"/>
        </w:rPr>
        <w:t>流量百分比划分发布和金丝雀发布</w:t>
      </w:r>
      <w:r>
        <w:rPr>
          <w:rFonts w:hint="eastAsia" w:ascii="Times New Roman" w:hAnsi="Times New Roman" w:eastAsia="宋体" w:cs="Times New Roman"/>
          <w:color w:val="auto"/>
          <w:sz w:val="24"/>
          <w:szCs w:val="21"/>
          <w:lang w:val="zh-CN"/>
        </w:rPr>
        <w:t>完善该模块功能</w:t>
      </w:r>
      <w:r>
        <w:rPr>
          <w:rFonts w:hint="eastAsia" w:ascii="Times New Roman" w:hAnsi="Times New Roman" w:eastAsia="宋体" w:cs="Times New Roman"/>
          <w:color w:val="auto"/>
          <w:sz w:val="24"/>
          <w:szCs w:val="21"/>
          <w:lang w:val="zh-TW" w:eastAsia="zh-TW"/>
        </w:rPr>
        <w:t>）</w:t>
      </w:r>
      <w:r>
        <w:rPr>
          <w:rFonts w:hint="eastAsia" w:ascii="Times New Roman" w:hAnsi="Times New Roman" w:eastAsia="宋体" w:cs="Times New Roman"/>
          <w:color w:val="auto"/>
          <w:sz w:val="24"/>
          <w:szCs w:val="21"/>
          <w:lang w:val="zh-CN"/>
        </w:rPr>
        <w:t>、</w:t>
      </w:r>
      <w:r>
        <w:rPr>
          <w:rFonts w:hint="eastAsia" w:ascii="Times New Roman" w:hAnsi="Times New Roman" w:eastAsia="宋体" w:cs="Times New Roman"/>
          <w:color w:val="auto"/>
          <w:sz w:val="24"/>
          <w:szCs w:val="21"/>
          <w:lang w:val="zh-TW" w:eastAsia="zh-TW"/>
        </w:rPr>
        <w:t>集群资源管理</w:t>
      </w:r>
      <w:r>
        <w:rPr>
          <w:rFonts w:hint="eastAsia" w:ascii="Times New Roman" w:hAnsi="Times New Roman" w:eastAsia="宋体" w:cs="Times New Roman"/>
          <w:color w:val="auto"/>
          <w:sz w:val="24"/>
          <w:szCs w:val="21"/>
          <w:lang w:val="zh-CN"/>
        </w:rPr>
        <w:t>模块（基于自动化装配功能）</w:t>
      </w:r>
      <w:r>
        <w:rPr>
          <w:rFonts w:hint="eastAsia" w:ascii="Times New Roman" w:hAnsi="Times New Roman" w:eastAsia="宋体" w:cs="Times New Roman"/>
          <w:color w:val="auto"/>
          <w:sz w:val="24"/>
          <w:szCs w:val="21"/>
          <w:lang w:val="zh-TW" w:eastAsia="zh-TW"/>
        </w:rPr>
        <w:t>、应用容器管理</w:t>
      </w:r>
      <w:r>
        <w:rPr>
          <w:rFonts w:hint="eastAsia" w:ascii="Times New Roman" w:hAnsi="Times New Roman" w:eastAsia="宋体" w:cs="Times New Roman"/>
          <w:color w:val="auto"/>
          <w:sz w:val="24"/>
          <w:szCs w:val="21"/>
          <w:lang w:val="zh-CN"/>
        </w:rPr>
        <w:t>模块（基于容器虚拟化功能）</w:t>
      </w:r>
      <w:r>
        <w:rPr>
          <w:rFonts w:hint="eastAsia" w:ascii="Times New Roman" w:hAnsi="Times New Roman" w:eastAsia="宋体" w:cs="Times New Roman"/>
          <w:color w:val="auto"/>
          <w:sz w:val="24"/>
          <w:szCs w:val="21"/>
          <w:lang w:val="zh-TW" w:eastAsia="zh-TW"/>
        </w:rPr>
        <w:t>、容器工作负载管理</w:t>
      </w:r>
      <w:r>
        <w:rPr>
          <w:rFonts w:hint="eastAsia" w:ascii="Times New Roman" w:hAnsi="Times New Roman" w:eastAsia="宋体" w:cs="Times New Roman"/>
          <w:color w:val="auto"/>
          <w:sz w:val="24"/>
          <w:szCs w:val="21"/>
          <w:lang w:val="zh-CN"/>
        </w:rPr>
        <w:t>模块（基于多种不同工作负载技术）</w:t>
      </w:r>
      <w:r>
        <w:rPr>
          <w:rFonts w:hint="eastAsia" w:ascii="Times New Roman" w:hAnsi="Times New Roman" w:eastAsia="宋体" w:cs="Times New Roman"/>
          <w:color w:val="auto"/>
          <w:sz w:val="24"/>
          <w:szCs w:val="21"/>
          <w:lang w:val="zh-TW" w:eastAsia="zh-TW"/>
        </w:rPr>
        <w:t>、服务、负载均衡和网络管理</w:t>
      </w:r>
      <w:r>
        <w:rPr>
          <w:rFonts w:hint="eastAsia" w:ascii="Times New Roman" w:hAnsi="Times New Roman" w:eastAsia="宋体" w:cs="Times New Roman"/>
          <w:color w:val="auto"/>
          <w:sz w:val="24"/>
          <w:szCs w:val="21"/>
          <w:lang w:val="zh-CN"/>
        </w:rPr>
        <w:t>模块（基于服务代理功能）</w:t>
      </w:r>
      <w:r>
        <w:rPr>
          <w:rFonts w:hint="eastAsia" w:ascii="Times New Roman" w:hAnsi="Times New Roman" w:eastAsia="宋体" w:cs="Times New Roman"/>
          <w:color w:val="auto"/>
          <w:sz w:val="24"/>
          <w:szCs w:val="21"/>
          <w:lang w:val="zh-TW" w:eastAsia="zh-TW"/>
        </w:rPr>
        <w:t>、存储管理</w:t>
      </w:r>
      <w:r>
        <w:rPr>
          <w:rFonts w:hint="eastAsia" w:ascii="Times New Roman" w:hAnsi="Times New Roman" w:eastAsia="宋体" w:cs="Times New Roman"/>
          <w:color w:val="auto"/>
          <w:sz w:val="24"/>
          <w:szCs w:val="21"/>
          <w:lang w:val="zh-CN"/>
        </w:rPr>
        <w:t>模块（支持多种软件定义存储和传统存储设备功能）</w:t>
      </w:r>
      <w:r>
        <w:rPr>
          <w:rFonts w:hint="eastAsia" w:ascii="Times New Roman" w:hAnsi="Times New Roman" w:eastAsia="宋体" w:cs="Times New Roman"/>
          <w:color w:val="auto"/>
          <w:sz w:val="24"/>
          <w:szCs w:val="21"/>
          <w:lang w:val="zh-TW" w:eastAsia="zh-TW"/>
        </w:rPr>
        <w:t>、容器装配管理</w:t>
      </w:r>
      <w:r>
        <w:rPr>
          <w:rFonts w:hint="eastAsia" w:ascii="Times New Roman" w:hAnsi="Times New Roman" w:eastAsia="宋体" w:cs="Times New Roman"/>
          <w:color w:val="auto"/>
          <w:sz w:val="24"/>
          <w:szCs w:val="21"/>
          <w:lang w:val="zh-CN"/>
        </w:rPr>
        <w:t>模块（基于自动化装配功能）</w:t>
      </w:r>
      <w:r>
        <w:rPr>
          <w:rFonts w:hint="eastAsia" w:ascii="Times New Roman" w:hAnsi="Times New Roman" w:eastAsia="宋体" w:cs="Times New Roman"/>
          <w:color w:val="auto"/>
          <w:sz w:val="24"/>
          <w:szCs w:val="21"/>
          <w:lang w:val="zh-TW" w:eastAsia="zh-TW"/>
        </w:rPr>
        <w:t>、容器安全管理</w:t>
      </w:r>
      <w:r>
        <w:rPr>
          <w:rFonts w:hint="eastAsia" w:ascii="Times New Roman" w:hAnsi="Times New Roman" w:eastAsia="宋体" w:cs="Times New Roman"/>
          <w:color w:val="auto"/>
          <w:sz w:val="24"/>
          <w:szCs w:val="21"/>
          <w:lang w:val="zh-CN"/>
        </w:rPr>
        <w:t>模块（基于多种容器和微服务化安全功能）</w:t>
      </w:r>
      <w:r>
        <w:rPr>
          <w:rFonts w:hint="eastAsia" w:ascii="Times New Roman" w:hAnsi="Times New Roman" w:eastAsia="宋体" w:cs="Times New Roman"/>
          <w:color w:val="auto"/>
          <w:sz w:val="24"/>
          <w:szCs w:val="21"/>
          <w:lang w:val="zh-TW" w:eastAsia="zh-TW"/>
        </w:rPr>
        <w:t>、容器策略管理</w:t>
      </w:r>
      <w:r>
        <w:rPr>
          <w:rFonts w:hint="eastAsia" w:ascii="Times New Roman" w:hAnsi="Times New Roman" w:eastAsia="宋体" w:cs="Times New Roman"/>
          <w:color w:val="auto"/>
          <w:sz w:val="24"/>
          <w:szCs w:val="21"/>
          <w:lang w:val="zh-CN"/>
        </w:rPr>
        <w:t>模块（基于策略定义的功能）</w:t>
      </w:r>
      <w:r>
        <w:rPr>
          <w:rFonts w:hint="eastAsia" w:ascii="Times New Roman" w:hAnsi="Times New Roman" w:eastAsia="宋体" w:cs="Times New Roman"/>
          <w:color w:val="auto"/>
          <w:sz w:val="24"/>
          <w:szCs w:val="21"/>
          <w:lang w:val="zh-TW" w:eastAsia="zh-TW"/>
        </w:rPr>
        <w:t>、容器调度管理</w:t>
      </w:r>
      <w:r>
        <w:rPr>
          <w:rFonts w:hint="eastAsia" w:ascii="Times New Roman" w:hAnsi="Times New Roman" w:eastAsia="宋体" w:cs="Times New Roman"/>
          <w:color w:val="auto"/>
          <w:sz w:val="24"/>
          <w:szCs w:val="21"/>
          <w:lang w:val="zh-CN"/>
        </w:rPr>
        <w:t>模块（基于集群调度功能）</w:t>
      </w:r>
      <w:r>
        <w:rPr>
          <w:rFonts w:hint="eastAsia" w:ascii="Times New Roman" w:hAnsi="Times New Roman" w:eastAsia="宋体" w:cs="Times New Roman"/>
          <w:color w:val="auto"/>
          <w:sz w:val="24"/>
          <w:szCs w:val="21"/>
          <w:lang w:val="zh-TW" w:eastAsia="zh-TW"/>
        </w:rPr>
        <w:t>、容器镜像管理</w:t>
      </w:r>
      <w:r>
        <w:rPr>
          <w:rFonts w:hint="eastAsia" w:ascii="Times New Roman" w:hAnsi="Times New Roman" w:eastAsia="宋体" w:cs="Times New Roman"/>
          <w:color w:val="auto"/>
          <w:sz w:val="24"/>
          <w:szCs w:val="21"/>
          <w:lang w:val="zh-CN"/>
        </w:rPr>
        <w:t>模块（基于容器镜像打包功能）</w:t>
      </w:r>
      <w:r>
        <w:rPr>
          <w:rFonts w:hint="eastAsia" w:ascii="Times New Roman" w:hAnsi="Times New Roman" w:eastAsia="宋体" w:cs="Times New Roman"/>
          <w:color w:val="auto"/>
          <w:sz w:val="24"/>
          <w:szCs w:val="21"/>
          <w:lang w:val="zh-TW" w:eastAsia="zh-TW"/>
        </w:rPr>
        <w:t>。</w:t>
      </w:r>
    </w:p>
    <w:p w14:paraId="4FE24F1F">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CN"/>
        </w:rPr>
        <w:t>协同模块</w:t>
      </w:r>
    </w:p>
    <w:p w14:paraId="0DEBC56F">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协同模块</w:t>
      </w:r>
      <w:r>
        <w:rPr>
          <w:rFonts w:hint="eastAsia" w:ascii="Times New Roman" w:hAnsi="Times New Roman" w:eastAsia="宋体" w:cs="Times New Roman"/>
          <w:color w:val="auto"/>
          <w:sz w:val="24"/>
          <w:szCs w:val="21"/>
          <w:lang w:val="zh-TW" w:eastAsia="zh-TW"/>
        </w:rPr>
        <w:t>负责提供</w:t>
      </w:r>
      <w:r>
        <w:rPr>
          <w:rFonts w:hint="eastAsia" w:ascii="Times New Roman" w:hAnsi="Times New Roman" w:eastAsia="宋体" w:cs="Times New Roman"/>
          <w:color w:val="auto"/>
          <w:sz w:val="24"/>
          <w:szCs w:val="21"/>
          <w:lang w:val="zh-CN"/>
        </w:rPr>
        <w:t>城市综合服务管理平台</w:t>
      </w:r>
      <w:r>
        <w:rPr>
          <w:rFonts w:hint="eastAsia" w:ascii="Times New Roman" w:hAnsi="Times New Roman" w:eastAsia="宋体" w:cs="Times New Roman"/>
          <w:color w:val="auto"/>
          <w:sz w:val="24"/>
          <w:szCs w:val="21"/>
          <w:lang w:val="zh-TW" w:eastAsia="zh-TW"/>
        </w:rPr>
        <w:t>微服务</w:t>
      </w:r>
      <w:r>
        <w:rPr>
          <w:rFonts w:hint="eastAsia" w:ascii="Times New Roman" w:hAnsi="Times New Roman" w:eastAsia="宋体" w:cs="Times New Roman"/>
          <w:color w:val="auto"/>
          <w:sz w:val="24"/>
          <w:szCs w:val="21"/>
          <w:lang w:val="zh-CN"/>
        </w:rPr>
        <w:t>间</w:t>
      </w:r>
      <w:r>
        <w:rPr>
          <w:rFonts w:hint="eastAsia" w:ascii="Times New Roman" w:hAnsi="Times New Roman" w:eastAsia="宋体" w:cs="Times New Roman"/>
          <w:color w:val="auto"/>
          <w:sz w:val="24"/>
          <w:szCs w:val="21"/>
          <w:lang w:val="zh-TW" w:eastAsia="zh-TW"/>
        </w:rPr>
        <w:t>的基础功能</w:t>
      </w:r>
      <w:r>
        <w:rPr>
          <w:rFonts w:ascii="Times New Roman" w:hAnsi="Times New Roman" w:eastAsia="宋体" w:cs="Times New Roman"/>
          <w:color w:val="auto"/>
          <w:sz w:val="24"/>
          <w:szCs w:val="21"/>
          <w:lang w:val="zh-TW" w:eastAsia="zh-TW"/>
        </w:rPr>
        <w:t>——</w:t>
      </w:r>
      <w:r>
        <w:rPr>
          <w:rFonts w:hint="eastAsia" w:ascii="Times New Roman" w:hAnsi="Times New Roman" w:eastAsia="宋体" w:cs="Times New Roman"/>
          <w:color w:val="auto"/>
          <w:sz w:val="24"/>
          <w:szCs w:val="21"/>
          <w:lang w:val="zh-TW" w:eastAsia="zh-TW"/>
        </w:rPr>
        <w:t>服务网格管理，具体功能构建一个</w:t>
      </w:r>
      <w:r>
        <w:rPr>
          <w:rFonts w:hint="eastAsia" w:ascii="Times New Roman" w:hAnsi="Times New Roman" w:eastAsia="宋体" w:cs="Times New Roman"/>
          <w:color w:val="auto"/>
          <w:sz w:val="24"/>
          <w:szCs w:val="21"/>
          <w:lang w:val="zh-CN"/>
        </w:rPr>
        <w:t>城市综合服务管理平台的</w:t>
      </w:r>
      <w:r>
        <w:rPr>
          <w:rFonts w:hint="eastAsia" w:ascii="Times New Roman" w:hAnsi="Times New Roman" w:eastAsia="宋体" w:cs="Times New Roman"/>
          <w:color w:val="auto"/>
          <w:sz w:val="24"/>
          <w:szCs w:val="21"/>
          <w:lang w:val="zh-TW" w:eastAsia="zh-TW"/>
        </w:rPr>
        <w:t>数据和控制平台，保证所有的微服务容器模块能够在这个基础平台上有序的、健壮的、可扩展的实现互联互通，协调所有的微服务组件实现完整的微服务系统的整体业务功能。</w:t>
      </w:r>
    </w:p>
    <w:p w14:paraId="5E26EB88">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eastAsia="zh-TW"/>
        </w:rPr>
        <w:t>同时也实现可定义配置的网络流量和路由策略。通过云网融合的模式实现应用层七层和网络层四层通讯和协议的平台功能。保证复杂的网络管理功能通过控制平台和数据平台分离实现微服务管理。该功能在容器云的基础上实现相应的服务网格基础功能，保证每个应用都能够在该模块上配置实现应用的组件互联互通。</w:t>
      </w:r>
    </w:p>
    <w:p w14:paraId="4F53EED7">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多个组件之间的通信都将有由本系统支持，城市网格的组件、共享服务GIS的组件、统一认证的组件，所有一切和城市综合服务管理平台相关的微服务组件都依托于这个容器微服务系统的协同模块网格化通信。没有协同模块一定会导致系统混乱和性能锐减。</w:t>
      </w:r>
    </w:p>
    <w:p w14:paraId="7F8D51E3">
      <w:pPr>
        <w:pStyle w:val="6"/>
        <w:spacing w:line="240" w:lineRule="auto"/>
        <w:rPr>
          <w:color w:val="auto"/>
          <w:lang w:val="zh-TW" w:eastAsia="zh-TW"/>
        </w:rPr>
      </w:pPr>
      <w:r>
        <w:rPr>
          <w:rFonts w:hint="eastAsia"/>
          <w:color w:val="auto"/>
          <w:lang w:val="zh-TW" w:eastAsia="zh-TW"/>
        </w:rPr>
        <w:t>接口管理模块</w:t>
      </w:r>
    </w:p>
    <w:p w14:paraId="39F3736F">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的接口管理模块负责提供微服务的</w:t>
      </w:r>
      <w:r>
        <w:rPr>
          <w:rFonts w:hint="eastAsia" w:ascii="Times New Roman" w:hAnsi="Times New Roman" w:eastAsia="宋体" w:cs="Times New Roman"/>
          <w:color w:val="auto"/>
          <w:sz w:val="24"/>
          <w:szCs w:val="21"/>
          <w:lang w:val="zh-CN"/>
        </w:rPr>
        <w:t>接口</w:t>
      </w:r>
      <w:r>
        <w:rPr>
          <w:rFonts w:hint="eastAsia" w:ascii="Times New Roman" w:hAnsi="Times New Roman" w:eastAsia="宋体" w:cs="Times New Roman"/>
          <w:color w:val="auto"/>
          <w:sz w:val="24"/>
          <w:szCs w:val="21"/>
          <w:lang w:val="zh-TW" w:eastAsia="zh-TW"/>
        </w:rPr>
        <w:t>和代理功能</w:t>
      </w:r>
      <w:r>
        <w:rPr>
          <w:rFonts w:ascii="Times New Roman" w:hAnsi="Times New Roman" w:eastAsia="宋体" w:cs="Times New Roman"/>
          <w:color w:val="auto"/>
          <w:sz w:val="24"/>
          <w:szCs w:val="21"/>
          <w:lang w:val="zh-TW" w:eastAsia="zh-TW"/>
        </w:rPr>
        <w:t>——</w:t>
      </w:r>
      <w:r>
        <w:rPr>
          <w:rFonts w:hint="eastAsia" w:ascii="Times New Roman" w:hAnsi="Times New Roman" w:eastAsia="宋体" w:cs="Times New Roman"/>
          <w:color w:val="auto"/>
          <w:sz w:val="24"/>
          <w:szCs w:val="21"/>
          <w:lang w:val="zh-TW" w:eastAsia="zh-TW"/>
        </w:rPr>
        <w:t>服务网关和服务代理</w:t>
      </w:r>
      <w:r>
        <w:rPr>
          <w:rFonts w:hint="eastAsia" w:ascii="Times New Roman" w:hAnsi="Times New Roman" w:eastAsia="宋体" w:cs="Times New Roman"/>
          <w:color w:val="auto"/>
          <w:sz w:val="24"/>
          <w:szCs w:val="21"/>
          <w:lang w:val="zh-CN"/>
        </w:rPr>
        <w:t>。城市综合服务管理平台的应用依赖于这个模块为客户端、外部和内部使用，大量的应用层路由和访问接入都需要通过这个模块实现，对于常见的微服务系统中使用的不同协议都需要支持，保证各种不同的访问有序的接受、转移、响应等等。</w:t>
      </w:r>
    </w:p>
    <w:p w14:paraId="1F78E386">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该模块</w:t>
      </w:r>
      <w:r>
        <w:rPr>
          <w:rFonts w:hint="eastAsia" w:ascii="Times New Roman" w:hAnsi="Times New Roman" w:eastAsia="宋体" w:cs="Times New Roman"/>
          <w:color w:val="auto"/>
          <w:sz w:val="24"/>
          <w:szCs w:val="21"/>
          <w:lang w:val="zh-TW" w:eastAsia="zh-TW"/>
        </w:rPr>
        <w:t>具体功能负责外部客户段、外部其它系统接口与内部微服务的联通，内部微服务命名服务之间的代理联通。</w:t>
      </w:r>
      <w:r>
        <w:rPr>
          <w:rFonts w:hint="eastAsia" w:ascii="Times New Roman" w:hAnsi="Times New Roman" w:eastAsia="宋体" w:cs="Times New Roman"/>
          <w:color w:val="auto"/>
          <w:sz w:val="24"/>
          <w:szCs w:val="21"/>
          <w:lang w:val="zh-CN"/>
        </w:rPr>
        <w:t>它</w:t>
      </w:r>
      <w:r>
        <w:rPr>
          <w:rFonts w:hint="eastAsia" w:ascii="Times New Roman" w:hAnsi="Times New Roman" w:eastAsia="宋体" w:cs="Times New Roman"/>
          <w:color w:val="auto"/>
          <w:sz w:val="24"/>
          <w:szCs w:val="21"/>
          <w:lang w:val="zh-TW" w:eastAsia="zh-TW"/>
        </w:rPr>
        <w:t>负责所有的服务网关，该网关只负责微服务组件之间的服务网关，外部访问城市综合服务管理平台，和城市综合服务管理平台方位外部的网关，组件内部的网关</w:t>
      </w:r>
      <w:r>
        <w:rPr>
          <w:rFonts w:hint="eastAsia" w:ascii="Times New Roman" w:hAnsi="Times New Roman" w:eastAsia="宋体" w:cs="Times New Roman"/>
          <w:color w:val="auto"/>
          <w:sz w:val="24"/>
          <w:szCs w:val="21"/>
          <w:lang w:val="zh-CN"/>
        </w:rPr>
        <w:t>。</w:t>
      </w:r>
      <w:r>
        <w:rPr>
          <w:rFonts w:hint="eastAsia" w:ascii="Times New Roman" w:hAnsi="Times New Roman" w:eastAsia="宋体" w:cs="Times New Roman"/>
          <w:color w:val="auto"/>
          <w:sz w:val="24"/>
          <w:szCs w:val="21"/>
          <w:lang w:val="zh-TW" w:eastAsia="zh-TW"/>
        </w:rPr>
        <w:t>各个应用开发商内部</w:t>
      </w:r>
      <w:r>
        <w:rPr>
          <w:rFonts w:hint="eastAsia" w:ascii="Times New Roman" w:hAnsi="Times New Roman" w:eastAsia="宋体" w:cs="Times New Roman"/>
          <w:color w:val="auto"/>
          <w:sz w:val="24"/>
          <w:szCs w:val="21"/>
          <w:lang w:val="zh-CN"/>
        </w:rPr>
        <w:t>微服务</w:t>
      </w:r>
      <w:r>
        <w:rPr>
          <w:rFonts w:hint="eastAsia" w:ascii="Times New Roman" w:hAnsi="Times New Roman" w:eastAsia="宋体" w:cs="Times New Roman"/>
          <w:color w:val="auto"/>
          <w:sz w:val="24"/>
          <w:szCs w:val="21"/>
          <w:lang w:val="zh-TW" w:eastAsia="zh-TW"/>
        </w:rPr>
        <w:t>组件所需的服务网关不在这个范围之内，但本接口管理模块将协助总集和每个应用开发商的服务网关统一实现所有服务网关的功能，并在总集指挥下完成整个应用系统的完整功能。</w:t>
      </w:r>
    </w:p>
    <w:p w14:paraId="7CCA0AF9">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的应用微服务化，所有的应用都将分解成组件存在，所有的组件将提供HTTP/RPC等等协议和外部交互，容器微服务系统将提供Ingress、Engress和API网关的接口管理实现所有组件的路由和服务定位，一个像城市级的城市综合服务管理平台将会有每日十万级和百万级，甚至更多的接口访问，保证正确的发现微服务组件并安全可靠的通过接口实现应用联通是最重要的容器微服务系统职能。</w:t>
      </w:r>
    </w:p>
    <w:p w14:paraId="1B221368">
      <w:pPr>
        <w:pStyle w:val="6"/>
        <w:spacing w:line="240" w:lineRule="auto"/>
        <w:rPr>
          <w:color w:val="auto"/>
          <w:lang w:val="zh-TW" w:eastAsia="zh-TW"/>
        </w:rPr>
      </w:pPr>
      <w:r>
        <w:rPr>
          <w:rFonts w:hint="eastAsia"/>
          <w:color w:val="auto"/>
          <w:lang w:val="zh-TW"/>
        </w:rPr>
        <w:t>服务发现模块</w:t>
      </w:r>
    </w:p>
    <w:p w14:paraId="0AEAC38E">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TW"/>
        </w:rPr>
        <w:t>服务发现模块</w:t>
      </w:r>
      <w:r>
        <w:rPr>
          <w:rFonts w:hint="eastAsia" w:ascii="Times New Roman" w:hAnsi="Times New Roman" w:eastAsia="宋体" w:cs="Times New Roman"/>
          <w:color w:val="auto"/>
          <w:sz w:val="24"/>
          <w:szCs w:val="21"/>
          <w:lang w:val="zh-TW" w:eastAsia="zh-TW"/>
        </w:rPr>
        <w:t>负责对于微服务的服务发现和服务注册功能，确保所有在</w:t>
      </w:r>
      <w:r>
        <w:rPr>
          <w:rFonts w:hint="eastAsia" w:ascii="Times New Roman" w:hAnsi="Times New Roman" w:eastAsia="宋体" w:cs="Times New Roman"/>
          <w:color w:val="auto"/>
          <w:sz w:val="24"/>
          <w:szCs w:val="21"/>
          <w:lang w:val="zh-CN"/>
        </w:rPr>
        <w:t>城市综合服务管理平台</w:t>
      </w:r>
      <w:r>
        <w:rPr>
          <w:rFonts w:hint="eastAsia" w:ascii="Times New Roman" w:hAnsi="Times New Roman" w:eastAsia="宋体" w:cs="Times New Roman"/>
          <w:color w:val="auto"/>
          <w:sz w:val="24"/>
          <w:szCs w:val="21"/>
          <w:lang w:val="zh-TW" w:eastAsia="zh-TW"/>
        </w:rPr>
        <w:t>生产系统中的微服务在平台中能够通过这个模块实现服务发布和登记，保证所有的微服务在系统中能够发布正确的服务接口，能够实现微服务管理基础，保证微服务的使用。</w:t>
      </w:r>
    </w:p>
    <w:p w14:paraId="17DD8DFC">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eastAsia="zh-TW"/>
        </w:rPr>
        <w:t>服务发现和服务注册是微服务架构体系中最关键的组件之一。如果尝试着用手动的方式来给每一个客户端来配置所有服务提供者的服务列表是一件非常困难的事，而且也不利于服务的动态扩缩容。服务发现可以通过系统将服务自动注册到服务端并且能够动态感知和刷新某个服务实例的服务列表。除此之外，服务发现和服务注册也将服务实例自身的一些元数据信息-例如</w:t>
      </w:r>
      <w:r>
        <w:rPr>
          <w:rFonts w:hint="eastAsia" w:ascii="Times New Roman" w:hAnsi="Times New Roman" w:eastAsia="宋体" w:cs="Times New Roman"/>
          <w:color w:val="auto"/>
          <w:sz w:val="24"/>
          <w:szCs w:val="21"/>
          <w:lang w:val="zh-CN"/>
        </w:rPr>
        <w:t>主机、端口、</w:t>
      </w:r>
      <w:r>
        <w:rPr>
          <w:rFonts w:hint="eastAsia" w:ascii="Times New Roman" w:hAnsi="Times New Roman" w:eastAsia="宋体" w:cs="Times New Roman"/>
          <w:color w:val="auto"/>
          <w:sz w:val="24"/>
          <w:szCs w:val="21"/>
          <w:lang w:val="zh-TW" w:eastAsia="zh-TW"/>
        </w:rPr>
        <w:t>健康检查</w:t>
      </w:r>
      <w:r>
        <w:rPr>
          <w:rFonts w:hint="eastAsia" w:ascii="Times New Roman" w:hAnsi="Times New Roman" w:eastAsia="宋体" w:cs="Times New Roman"/>
          <w:color w:val="auto"/>
          <w:sz w:val="24"/>
          <w:szCs w:val="21"/>
          <w:lang w:val="zh-CN"/>
        </w:rPr>
        <w:t>地址、</w:t>
      </w:r>
      <w:r>
        <w:rPr>
          <w:rFonts w:hint="eastAsia" w:ascii="Times New Roman" w:hAnsi="Times New Roman" w:eastAsia="宋体" w:cs="Times New Roman"/>
          <w:color w:val="auto"/>
          <w:sz w:val="24"/>
          <w:szCs w:val="21"/>
          <w:lang w:val="zh-TW" w:eastAsia="zh-TW"/>
        </w:rPr>
        <w:t>主页等等等注册到微服务管理平台中，自动更新这些信息，确保微服务的可用性。</w:t>
      </w:r>
    </w:p>
    <w:p w14:paraId="02C64FAE">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的微服务组件需要通过服务发现模块把相应的不同协议的服务正确的发布到容器微服务系统中才能够被客户端和内外部组件使用，服务发现模块就负责这些工作，通过发现功能发布微服务组件被使用。如您像发布一个GIS的地图服务，当部署这个服务进入容器微服务系统后，服务发现会登记相应的服务到服务注册表中，保证所有内外部按策略使用该服务。</w:t>
      </w:r>
    </w:p>
    <w:p w14:paraId="3B87D621">
      <w:pPr>
        <w:pStyle w:val="6"/>
        <w:spacing w:line="240" w:lineRule="auto"/>
        <w:rPr>
          <w:color w:val="auto"/>
          <w:lang w:val="zh-TW" w:eastAsia="zh-TW"/>
        </w:rPr>
      </w:pPr>
      <w:r>
        <w:rPr>
          <w:rFonts w:hint="eastAsia"/>
          <w:color w:val="auto"/>
          <w:lang w:val="zh-TW"/>
        </w:rPr>
        <w:t>流量管理模块</w:t>
      </w:r>
    </w:p>
    <w:p w14:paraId="170E97E0">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TW"/>
        </w:rPr>
        <w:t>流量管理模块</w:t>
      </w:r>
      <w:r>
        <w:rPr>
          <w:rFonts w:hint="eastAsia" w:ascii="Times New Roman" w:hAnsi="Times New Roman" w:eastAsia="宋体" w:cs="Times New Roman"/>
          <w:color w:val="auto"/>
          <w:sz w:val="24"/>
          <w:szCs w:val="21"/>
          <w:lang w:val="zh-TW" w:eastAsia="zh-TW"/>
        </w:rPr>
        <w:t>通过流量路由规则可以让系统控制服务之间的流量和</w:t>
      </w:r>
      <w:r>
        <w:rPr>
          <w:rFonts w:hint="eastAsia" w:ascii="Times New Roman" w:hAnsi="Times New Roman" w:eastAsia="宋体" w:cs="Times New Roman"/>
          <w:color w:val="auto"/>
          <w:sz w:val="24"/>
          <w:szCs w:val="21"/>
          <w:lang w:val="zh-CN"/>
        </w:rPr>
        <w:t>接口</w:t>
      </w:r>
      <w:r>
        <w:rPr>
          <w:rFonts w:hint="eastAsia" w:ascii="Times New Roman" w:hAnsi="Times New Roman" w:eastAsia="宋体" w:cs="Times New Roman"/>
          <w:color w:val="auto"/>
          <w:sz w:val="24"/>
          <w:szCs w:val="21"/>
          <w:lang w:val="zh-TW" w:eastAsia="zh-TW"/>
        </w:rPr>
        <w:t>调用。</w:t>
      </w:r>
      <w:r>
        <w:rPr>
          <w:rFonts w:hint="eastAsia" w:ascii="Times New Roman" w:hAnsi="Times New Roman" w:eastAsia="宋体" w:cs="Times New Roman"/>
          <w:color w:val="auto"/>
          <w:sz w:val="24"/>
          <w:szCs w:val="21"/>
          <w:lang w:val="zh-CN"/>
        </w:rPr>
        <w:t>城市综合服务管理平台是一个大型微服务应用，应用层和网络层互相感知和有效隔离是最重要的实现，保证有效的运行，所以在一个应用的微服务协同子平台中包含了一个流量管理模块保证应用运转。</w:t>
      </w:r>
    </w:p>
    <w:p w14:paraId="24967F3E">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eastAsia="zh-TW"/>
        </w:rPr>
        <w:t>该模块通过对于服务级别属性等等的配置，比如熔断器、超时和重试，并且能轻松的设置重要的任务，如 A/B 测试、金丝雀发布、基于流量百分比切分的概率发布等。它还提供了开箱即用的故障恢复特性，有助于增强应用的健壮性，从而更好地应对被依赖的服务或网络发生故障的情况。流量管理模型源于和服务一起部署的服务和网络代理。网格内服务发送和接收的所有数据流量都通过服务代理功能，这让控制网格内的流量变得异常简单，而且不需要对服务做任何的更改。简化微服务流量管理的功能实现。</w:t>
      </w:r>
    </w:p>
    <w:p w14:paraId="40EC3B1A">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的组件部署到系统中后，如果出现调用没有响应，按策略会启动熔断器，进行超时重试，保证系统的健康运行。这个模块负责所有通讯，但出现异常时，配置的熔断器、超时和重试的策略将基于系统配置执行，目的是保证系统的健康正常的运行。</w:t>
      </w:r>
    </w:p>
    <w:p w14:paraId="4D3D7E10">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CN"/>
        </w:rPr>
        <w:t>应用安全策略模块</w:t>
      </w:r>
    </w:p>
    <w:p w14:paraId="24653FEA">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应用安全策略模块</w:t>
      </w:r>
      <w:r>
        <w:rPr>
          <w:rFonts w:hint="eastAsia" w:ascii="Times New Roman" w:hAnsi="Times New Roman" w:eastAsia="宋体" w:cs="Times New Roman"/>
          <w:color w:val="auto"/>
          <w:sz w:val="24"/>
          <w:szCs w:val="21"/>
          <w:lang w:val="zh-TW" w:eastAsia="zh-TW"/>
        </w:rPr>
        <w:t>管理微服务之间的安全策略，这个功能提供强大的身份管理、安全策略定义、透明的TLS加密，认证，授权和审计功能保护微服务和流转中的数据。</w:t>
      </w:r>
      <w:r>
        <w:rPr>
          <w:rFonts w:hint="eastAsia" w:ascii="Times New Roman" w:hAnsi="Times New Roman" w:eastAsia="宋体" w:cs="Times New Roman"/>
          <w:color w:val="auto"/>
          <w:sz w:val="24"/>
          <w:szCs w:val="21"/>
          <w:lang w:val="zh-CN"/>
        </w:rPr>
        <w:t>城市综合服务管理平台需要在松耦合的架构微服务间提供强大的、高性能的安全策略，既保证微服务的性能，也保证安全。</w:t>
      </w:r>
      <w:r>
        <w:rPr>
          <w:rFonts w:hint="eastAsia" w:ascii="Times New Roman" w:hAnsi="Times New Roman" w:eastAsia="宋体" w:cs="Times New Roman"/>
          <w:color w:val="auto"/>
          <w:sz w:val="24"/>
          <w:szCs w:val="21"/>
          <w:lang w:val="zh-TW" w:eastAsia="zh-TW"/>
        </w:rPr>
        <w:t>本模块的目标是实现高级别安全管控、深度的防御和零信任的网络。本安全策略模块包含了多个组件：用于密钥和证书管理的CA证书；配置API服务器分发代理的认证策略、授权策略和安全命名信息；边缘代理提供PEPs以保护客户端和服务器端之间的通行安全；提供一组网络代理扩展，用于管理遥测和通信安全。</w:t>
      </w:r>
    </w:p>
    <w:p w14:paraId="2E3C4B2D">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eastAsia="zh-TW"/>
        </w:rPr>
        <w:t>该安全仅仅负责微服务实施子</w:t>
      </w:r>
      <w:r>
        <w:rPr>
          <w:rFonts w:hint="eastAsia" w:ascii="Times New Roman" w:hAnsi="Times New Roman" w:eastAsia="宋体" w:cs="Times New Roman"/>
          <w:color w:val="auto"/>
          <w:sz w:val="24"/>
          <w:szCs w:val="21"/>
        </w:rPr>
        <w:t>系统</w:t>
      </w:r>
      <w:r>
        <w:rPr>
          <w:rFonts w:hint="eastAsia" w:ascii="Times New Roman" w:hAnsi="Times New Roman" w:eastAsia="宋体" w:cs="Times New Roman"/>
          <w:color w:val="auto"/>
          <w:sz w:val="24"/>
          <w:szCs w:val="21"/>
          <w:lang w:val="zh-TW" w:eastAsia="zh-TW"/>
        </w:rPr>
        <w:t>的安全，不包含容器云子</w:t>
      </w:r>
      <w:r>
        <w:rPr>
          <w:rFonts w:hint="eastAsia" w:ascii="Times New Roman" w:hAnsi="Times New Roman" w:eastAsia="宋体" w:cs="Times New Roman"/>
          <w:color w:val="auto"/>
          <w:sz w:val="24"/>
          <w:szCs w:val="21"/>
        </w:rPr>
        <w:t>系统</w:t>
      </w:r>
      <w:r>
        <w:rPr>
          <w:rFonts w:hint="eastAsia" w:ascii="Times New Roman" w:hAnsi="Times New Roman" w:eastAsia="宋体" w:cs="Times New Roman"/>
          <w:color w:val="auto"/>
          <w:sz w:val="24"/>
          <w:szCs w:val="21"/>
          <w:lang w:val="zh-TW" w:eastAsia="zh-TW"/>
        </w:rPr>
        <w:t>、敏捷流水线子</w:t>
      </w:r>
      <w:r>
        <w:rPr>
          <w:rFonts w:hint="eastAsia" w:ascii="Times New Roman" w:hAnsi="Times New Roman" w:eastAsia="宋体" w:cs="Times New Roman"/>
          <w:color w:val="auto"/>
          <w:sz w:val="24"/>
          <w:szCs w:val="21"/>
        </w:rPr>
        <w:t>系统</w:t>
      </w:r>
      <w:r>
        <w:rPr>
          <w:rFonts w:hint="eastAsia" w:ascii="Times New Roman" w:hAnsi="Times New Roman" w:eastAsia="宋体" w:cs="Times New Roman"/>
          <w:color w:val="auto"/>
          <w:sz w:val="24"/>
          <w:szCs w:val="21"/>
          <w:lang w:val="zh-TW" w:eastAsia="zh-TW"/>
        </w:rPr>
        <w:t>以及总的微服务管理平台安全策略管理，具体组件包括：身份、PKI、认证、双向TLS认证、TLS宽容模式、安全命名、认证架构、认证策略、策略存储、匹配请求策略、授权策略、隐式启用等等。</w:t>
      </w:r>
    </w:p>
    <w:p w14:paraId="43466CED">
      <w:pPr>
        <w:ind w:firstLine="480" w:firstLineChars="200"/>
        <w:rPr>
          <w:rFonts w:ascii="Arial Unicode MS" w:hAnsi="Arial Unicode MS" w:eastAsia="Times New Roman" w:cs="Arial Unicode MS"/>
          <w:color w:val="auto"/>
          <w:sz w:val="24"/>
          <w:u w:color="000000"/>
          <w:lang w:val="zh-TW" w:eastAsia="zh-TW"/>
        </w:rPr>
      </w:pPr>
      <w:r>
        <w:rPr>
          <w:rFonts w:hint="eastAsia" w:ascii="Times New Roman" w:hAnsi="Times New Roman" w:eastAsia="宋体" w:cs="Times New Roman"/>
          <w:color w:val="auto"/>
          <w:sz w:val="24"/>
          <w:szCs w:val="21"/>
          <w:lang w:val="zh-CN"/>
        </w:rPr>
        <w:t>城市综合服务管理平台分解出成百上千个城市网格、应急指挥、事件管理、流程引擎和共享GIS服务等等微服务组件，对于松耦合部署的这个微服务组件需要配置和部署组件间的安全策略，保证每个调用环节的安全可靠。</w:t>
      </w:r>
    </w:p>
    <w:p w14:paraId="2518B935">
      <w:pPr>
        <w:pStyle w:val="6"/>
        <w:spacing w:line="240" w:lineRule="auto"/>
        <w:rPr>
          <w:color w:val="auto"/>
          <w:lang w:val="zh-TW" w:eastAsia="zh-TW"/>
        </w:rPr>
      </w:pPr>
      <w:r>
        <w:rPr>
          <w:rFonts w:hint="eastAsia"/>
          <w:color w:val="auto"/>
          <w:lang w:val="zh-TW"/>
        </w:rPr>
        <w:t>通讯和协议模块</w:t>
      </w:r>
    </w:p>
    <w:p w14:paraId="2744576C">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通讯和协议管理模块是一个采用七层代理实现的通讯总线架构，为微服务架构设计的的大型的通讯架构，基本实现基于网络对于应用程序透明设计理念，保证在网络出现问题时，在应用层快速实现问题定位和解决。</w:t>
      </w:r>
      <w:r>
        <w:rPr>
          <w:rFonts w:hint="eastAsia" w:ascii="Times New Roman" w:hAnsi="Times New Roman" w:eastAsia="宋体" w:cs="Times New Roman"/>
          <w:color w:val="auto"/>
          <w:sz w:val="24"/>
          <w:szCs w:val="21"/>
          <w:lang w:val="zh-CN"/>
        </w:rPr>
        <w:t>城市综合管理平台的微服务架构需要架构设计时考虑更多应用和网络融合，应用需要分解不同的交易类型，采用不同的协议和不同的交易模式才能够保证城市综合服务管理平台的性能。</w:t>
      </w:r>
    </w:p>
    <w:p w14:paraId="67702117">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eastAsia="zh-TW"/>
        </w:rPr>
        <w:t>该模块通过HTTP过滤器可以插入HTTP连接管理子系统，执行不同的任务，例如缓冲、速率限制、路由/转发、嗅探等等。支持HTTP/1.1同时支持HTTP/2。 该模块可以在两个方向上作为 HTTP/1.1 到 HTTP/2 的透明代理运行。这意味着可以桥接 HTTP/1.1 和 HTTP/2 客户端和目标服务器的任意组合。推荐的服务到服务配置在所有该模块之间使用 HTTP/2 来创建一个持久连接网格，请求和响应可以被多路复用。同时也支持HTTP L7路由，gRPC协议支持，动态配置实现，健康检查，高级负载均衡和边缘代理支持功能。</w:t>
      </w:r>
    </w:p>
    <w:p w14:paraId="095A6918">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成千上万个微服务实例在运行的工作中将由大量的网格通讯功能，需要在常用的应用协议上进行控制路由、监控、代理等等网络管理的功能，实现对于通讯和协议管理，保证每个微服务实例能够正常的在管理下实现通讯。</w:t>
      </w:r>
    </w:p>
    <w:p w14:paraId="66460830">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CN"/>
        </w:rPr>
        <w:t>应用配置管理模块</w:t>
      </w:r>
    </w:p>
    <w:p w14:paraId="1A20A5C1">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应用配置管理模块</w:t>
      </w:r>
      <w:r>
        <w:rPr>
          <w:rFonts w:hint="eastAsia" w:ascii="Times New Roman" w:hAnsi="Times New Roman" w:eastAsia="宋体" w:cs="Times New Roman"/>
          <w:color w:val="auto"/>
          <w:sz w:val="24"/>
          <w:szCs w:val="21"/>
          <w:lang w:val="zh-TW" w:eastAsia="zh-TW"/>
        </w:rPr>
        <w:t>实现微服务管理平台的</w:t>
      </w:r>
      <w:r>
        <w:rPr>
          <w:rFonts w:hint="eastAsia" w:ascii="Times New Roman" w:hAnsi="Times New Roman" w:eastAsia="宋体" w:cs="Times New Roman"/>
          <w:color w:val="auto"/>
          <w:sz w:val="24"/>
          <w:szCs w:val="21"/>
          <w:lang w:val="zh-CN"/>
        </w:rPr>
        <w:t>微服务应用</w:t>
      </w:r>
      <w:r>
        <w:rPr>
          <w:rFonts w:hint="eastAsia" w:ascii="Times New Roman" w:hAnsi="Times New Roman" w:eastAsia="宋体" w:cs="Times New Roman"/>
          <w:color w:val="auto"/>
          <w:sz w:val="24"/>
          <w:szCs w:val="21"/>
          <w:lang w:val="zh-TW" w:eastAsia="zh-TW"/>
        </w:rPr>
        <w:t>配置定义，确保协调所有的微服务组件和实例实现城市综合服务管理平台的业务和应用功能。</w:t>
      </w:r>
      <w:r>
        <w:rPr>
          <w:rFonts w:hint="eastAsia" w:ascii="Times New Roman" w:hAnsi="Times New Roman" w:eastAsia="宋体" w:cs="Times New Roman"/>
          <w:color w:val="auto"/>
          <w:sz w:val="24"/>
          <w:szCs w:val="21"/>
          <w:lang w:val="zh-CN"/>
        </w:rPr>
        <w:t>城市综合服务管理平台的微服务需要定制化大量的配置才能够优质的实现微服务系统，保证城综高效运行。该配置只负责组件间的配置，组件内部的配置由应用开发商负责。</w:t>
      </w:r>
    </w:p>
    <w:p w14:paraId="0DA129F4">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eastAsia="zh-TW"/>
        </w:rPr>
        <w:t>该模块将基于城市综合服务管理平台对于隔离性、性能和高可用性的要求进行配置和部署，可以采用多集群或单一集群模式，也可实现多网络或单一网络模式，也可采用多控制平面或单一控制平面，也可实现多网格或单一网格，共同实现网格内和网格间的信任模型，同时实现命名空间或集群租户模式。实现配置管理。</w:t>
      </w:r>
    </w:p>
    <w:p w14:paraId="007D0D40">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城市综合服务管理平台的微服务组件之间的所有功能通过配置定制策略到生产系统中，保证运行环境的自动化策略能够基于配置自动化实现健康运行。</w:t>
      </w:r>
    </w:p>
    <w:p w14:paraId="754884A9">
      <w:pPr>
        <w:pStyle w:val="6"/>
        <w:spacing w:line="240" w:lineRule="auto"/>
        <w:rPr>
          <w:color w:val="auto"/>
          <w:lang w:val="zh-TW" w:eastAsia="zh-TW"/>
        </w:rPr>
      </w:pPr>
      <w:r>
        <w:rPr>
          <w:rFonts w:hint="eastAsia"/>
          <w:color w:val="auto"/>
          <w:lang w:val="zh-TW"/>
        </w:rPr>
        <w:t>发布管理模块</w:t>
      </w:r>
    </w:p>
    <w:p w14:paraId="115492A8">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的发布管理</w:t>
      </w:r>
      <w:r>
        <w:rPr>
          <w:rFonts w:hint="eastAsia" w:ascii="Times New Roman" w:hAnsi="Times New Roman" w:eastAsia="宋体" w:cs="Times New Roman"/>
          <w:color w:val="auto"/>
          <w:sz w:val="24"/>
          <w:szCs w:val="21"/>
          <w:lang w:val="zh-CN"/>
        </w:rPr>
        <w:t>模块</w:t>
      </w:r>
      <w:r>
        <w:rPr>
          <w:rFonts w:hint="eastAsia" w:ascii="Times New Roman" w:hAnsi="Times New Roman" w:eastAsia="宋体" w:cs="Times New Roman"/>
          <w:color w:val="auto"/>
          <w:sz w:val="24"/>
          <w:szCs w:val="21"/>
          <w:lang w:val="zh-TW" w:eastAsia="zh-TW"/>
        </w:rPr>
        <w:t>管理微服务组件的生产系统的发布，协同敏捷流量线子</w:t>
      </w:r>
      <w:r>
        <w:rPr>
          <w:rFonts w:hint="eastAsia" w:ascii="Times New Roman" w:hAnsi="Times New Roman" w:eastAsia="宋体" w:cs="Times New Roman"/>
          <w:color w:val="auto"/>
          <w:sz w:val="24"/>
          <w:szCs w:val="21"/>
        </w:rPr>
        <w:t>系统</w:t>
      </w:r>
      <w:r>
        <w:rPr>
          <w:rFonts w:hint="eastAsia" w:ascii="Times New Roman" w:hAnsi="Times New Roman" w:eastAsia="宋体" w:cs="Times New Roman"/>
          <w:color w:val="auto"/>
          <w:sz w:val="24"/>
          <w:szCs w:val="21"/>
          <w:lang w:val="zh-TW" w:eastAsia="zh-TW"/>
        </w:rPr>
        <w:t>共同管理应用，同时管理不同的版本的应用，确保系统的正常运行，实现微服务正常发布。确保系统的安全运行。</w:t>
      </w:r>
      <w:r>
        <w:rPr>
          <w:rFonts w:hint="eastAsia" w:ascii="Times New Roman" w:hAnsi="Times New Roman" w:eastAsia="宋体" w:cs="Times New Roman"/>
          <w:color w:val="auto"/>
          <w:sz w:val="24"/>
          <w:szCs w:val="21"/>
          <w:lang w:val="zh-CN"/>
        </w:rPr>
        <w:t>该模块负责在应用开发商要求下提供A/B测试和金丝雀发布的流程和自动化工具实现。城市综合服务管理平台中的微服务发布，频繁的迭代，更新，升级都需要有正确的发布管理才能够保障实现。</w:t>
      </w:r>
    </w:p>
    <w:p w14:paraId="4400571F">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的共享服务、城市网格、应急指挥、统一认证、GIS共享服务等等微服务组件验证测试和联调测试完成后形成容器镜像，会通过发布管理注册该容器的版本和发布到软件库中已被自动化使用，系统将基于配置管理的配置装配相应的微服务组件到系统中。发布管理保证系统的组件和应用可用性。</w:t>
      </w:r>
    </w:p>
    <w:p w14:paraId="192AB8E6">
      <w:pPr>
        <w:pStyle w:val="6"/>
        <w:spacing w:line="240" w:lineRule="auto"/>
        <w:rPr>
          <w:color w:val="auto"/>
          <w:lang w:val="zh-TW" w:eastAsia="zh-TW"/>
        </w:rPr>
      </w:pPr>
      <w:r>
        <w:rPr>
          <w:rFonts w:hint="eastAsia"/>
          <w:color w:val="auto"/>
          <w:lang w:val="zh-TW"/>
        </w:rPr>
        <w:t>集群资源管理模块</w:t>
      </w:r>
    </w:p>
    <w:p w14:paraId="748125E2">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TW"/>
        </w:rPr>
        <w:t>集群资源管理模块</w:t>
      </w:r>
      <w:r>
        <w:rPr>
          <w:rFonts w:hint="eastAsia" w:ascii="Times New Roman" w:hAnsi="Times New Roman" w:eastAsia="宋体" w:cs="Times New Roman"/>
          <w:color w:val="auto"/>
          <w:sz w:val="24"/>
          <w:szCs w:val="21"/>
          <w:lang w:val="zh-TW" w:eastAsia="zh-TW"/>
        </w:rPr>
        <w:t>由节点、控制面到节点通讯、控制器、内存回收和云管控制器组成。</w:t>
      </w:r>
      <w:r>
        <w:rPr>
          <w:rFonts w:hint="eastAsia" w:ascii="Times New Roman" w:hAnsi="Times New Roman" w:eastAsia="宋体" w:cs="Times New Roman"/>
          <w:color w:val="auto"/>
          <w:sz w:val="24"/>
          <w:szCs w:val="21"/>
          <w:lang w:val="zh-CN"/>
        </w:rPr>
        <w:t>城市综合服务管理平台大量的微服务组件和大量的实例需要自动化实现集群，保证可用性，这个功能保证微服务组件和实例的7*24*365的可用，故障发生后能够马上自动恢复。</w:t>
      </w:r>
    </w:p>
    <w:p w14:paraId="6E9374B9">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eastAsia="zh-TW"/>
        </w:rPr>
        <w:t>容器云子</w:t>
      </w:r>
      <w:r>
        <w:rPr>
          <w:rFonts w:hint="eastAsia" w:ascii="Times New Roman" w:hAnsi="Times New Roman" w:eastAsia="宋体" w:cs="Times New Roman"/>
          <w:color w:val="auto"/>
          <w:sz w:val="24"/>
          <w:szCs w:val="21"/>
        </w:rPr>
        <w:t>系统</w:t>
      </w:r>
      <w:r>
        <w:rPr>
          <w:rFonts w:hint="eastAsia" w:ascii="Times New Roman" w:hAnsi="Times New Roman" w:eastAsia="宋体" w:cs="Times New Roman"/>
          <w:color w:val="auto"/>
          <w:sz w:val="24"/>
          <w:szCs w:val="21"/>
          <w:lang w:val="zh-TW" w:eastAsia="zh-TW"/>
        </w:rPr>
        <w:t>通过将容器放入</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以在节点上运行来运行工作负载。节点通过基础的硬件资源或</w:t>
      </w:r>
      <w:r>
        <w:rPr>
          <w:rFonts w:hint="eastAsia" w:ascii="Times New Roman" w:hAnsi="Times New Roman" w:eastAsia="宋体" w:cs="Times New Roman"/>
          <w:color w:val="auto"/>
          <w:sz w:val="24"/>
          <w:szCs w:val="21"/>
          <w:lang w:val="zh-CN"/>
        </w:rPr>
        <w:t>基础架构</w:t>
      </w:r>
      <w:r>
        <w:rPr>
          <w:rFonts w:hint="eastAsia" w:ascii="Times New Roman" w:hAnsi="Times New Roman" w:eastAsia="宋体" w:cs="Times New Roman"/>
          <w:color w:val="auto"/>
          <w:sz w:val="24"/>
          <w:szCs w:val="21"/>
          <w:lang w:val="zh-TW" w:eastAsia="zh-TW"/>
        </w:rPr>
        <w:t>云平台上的虚机组成，多个节点组成不同的集群模式，节点都由控制平面管理，并包含运行</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所需的服务。容器云子</w:t>
      </w:r>
      <w:r>
        <w:rPr>
          <w:rFonts w:hint="eastAsia" w:ascii="Times New Roman" w:hAnsi="Times New Roman" w:eastAsia="宋体" w:cs="Times New Roman"/>
          <w:color w:val="auto"/>
          <w:sz w:val="24"/>
          <w:szCs w:val="21"/>
        </w:rPr>
        <w:t>系统</w:t>
      </w:r>
      <w:r>
        <w:rPr>
          <w:rFonts w:hint="eastAsia" w:ascii="Times New Roman" w:hAnsi="Times New Roman" w:eastAsia="宋体" w:cs="Times New Roman"/>
          <w:color w:val="auto"/>
          <w:sz w:val="24"/>
          <w:szCs w:val="21"/>
          <w:lang w:val="zh-TW" w:eastAsia="zh-TW"/>
        </w:rPr>
        <w:t>采用一个中心汇聚的</w:t>
      </w:r>
      <w:r>
        <w:rPr>
          <w:rFonts w:hint="eastAsia" w:ascii="Times New Roman" w:hAnsi="Times New Roman" w:eastAsia="宋体" w:cs="Times New Roman"/>
          <w:color w:val="auto"/>
          <w:sz w:val="24"/>
          <w:szCs w:val="21"/>
          <w:lang w:val="zh-CN"/>
        </w:rPr>
        <w:t>接口</w:t>
      </w:r>
      <w:r>
        <w:rPr>
          <w:rFonts w:hint="eastAsia" w:ascii="Times New Roman" w:hAnsi="Times New Roman" w:eastAsia="宋体" w:cs="Times New Roman"/>
          <w:color w:val="auto"/>
          <w:sz w:val="24"/>
          <w:szCs w:val="21"/>
          <w:lang w:val="zh-TW" w:eastAsia="zh-TW"/>
        </w:rPr>
        <w:t>模式，所有的节点上对象</w:t>
      </w:r>
      <w:r>
        <w:rPr>
          <w:rFonts w:hint="eastAsia" w:ascii="Times New Roman" w:hAnsi="Times New Roman" w:eastAsia="宋体" w:cs="Times New Roman"/>
          <w:color w:val="auto"/>
          <w:sz w:val="24"/>
          <w:szCs w:val="21"/>
          <w:lang w:val="zh-CN"/>
        </w:rPr>
        <w:t>接口</w:t>
      </w:r>
      <w:r>
        <w:rPr>
          <w:rFonts w:hint="eastAsia" w:ascii="Times New Roman" w:hAnsi="Times New Roman" w:eastAsia="宋体" w:cs="Times New Roman"/>
          <w:color w:val="auto"/>
          <w:sz w:val="24"/>
          <w:szCs w:val="21"/>
          <w:lang w:val="zh-TW" w:eastAsia="zh-TW"/>
        </w:rPr>
        <w:t>使用都汇聚到</w:t>
      </w:r>
      <w:r>
        <w:rPr>
          <w:rFonts w:hint="eastAsia" w:ascii="Times New Roman" w:hAnsi="Times New Roman" w:eastAsia="宋体" w:cs="Times New Roman"/>
          <w:color w:val="auto"/>
          <w:sz w:val="24"/>
          <w:szCs w:val="21"/>
          <w:lang w:val="zh-CN"/>
        </w:rPr>
        <w:t>接口</w:t>
      </w:r>
      <w:r>
        <w:rPr>
          <w:rFonts w:hint="eastAsia" w:ascii="Times New Roman" w:hAnsi="Times New Roman" w:eastAsia="宋体" w:cs="Times New Roman"/>
          <w:color w:val="auto"/>
          <w:sz w:val="24"/>
          <w:szCs w:val="21"/>
          <w:lang w:val="zh-TW" w:eastAsia="zh-TW"/>
        </w:rPr>
        <w:t>服务器统一，</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也通过安全服务账号接入</w:t>
      </w:r>
      <w:r>
        <w:rPr>
          <w:rFonts w:hint="eastAsia" w:ascii="Times New Roman" w:hAnsi="Times New Roman" w:eastAsia="宋体" w:cs="Times New Roman"/>
          <w:color w:val="auto"/>
          <w:sz w:val="24"/>
          <w:szCs w:val="21"/>
          <w:lang w:val="zh-CN"/>
        </w:rPr>
        <w:t>接口</w:t>
      </w:r>
      <w:r>
        <w:rPr>
          <w:rFonts w:hint="eastAsia" w:ascii="Times New Roman" w:hAnsi="Times New Roman" w:eastAsia="宋体" w:cs="Times New Roman"/>
          <w:color w:val="auto"/>
          <w:sz w:val="24"/>
          <w:szCs w:val="21"/>
          <w:lang w:val="zh-TW" w:eastAsia="zh-TW"/>
        </w:rPr>
        <w:t>服务器，所有组件到汇聚的</w:t>
      </w:r>
      <w:r>
        <w:rPr>
          <w:rFonts w:hint="eastAsia" w:ascii="Times New Roman" w:hAnsi="Times New Roman" w:eastAsia="宋体" w:cs="Times New Roman"/>
          <w:color w:val="auto"/>
          <w:sz w:val="24"/>
          <w:szCs w:val="21"/>
          <w:lang w:val="zh-CN"/>
        </w:rPr>
        <w:t>接口</w:t>
      </w:r>
      <w:r>
        <w:rPr>
          <w:rFonts w:hint="eastAsia" w:ascii="Times New Roman" w:hAnsi="Times New Roman" w:eastAsia="宋体" w:cs="Times New Roman"/>
          <w:color w:val="auto"/>
          <w:sz w:val="24"/>
          <w:szCs w:val="21"/>
          <w:lang w:val="zh-TW" w:eastAsia="zh-TW"/>
        </w:rPr>
        <w:t>服务器之间采用可信任的安全连接，无论在任何不受信任或公共网络都可以安全运行。控制器模式自动化的监控集群状态的控制循环，保证集群系统正常运转。同时在系统运行过程中采用垃圾回收机制清理集群资源中废弃资源，如失败的</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、完成的工作、未使用的容器和镜像、删除的节点等等。最后通过云管控制器可以在任何混合云、公有云和私有云上进行对接和运行，实现自动化、</w:t>
      </w:r>
      <w:r>
        <w:rPr>
          <w:rFonts w:hint="eastAsia" w:ascii="Times New Roman" w:hAnsi="Times New Roman" w:eastAsia="宋体" w:cs="Times New Roman"/>
          <w:color w:val="auto"/>
          <w:sz w:val="24"/>
          <w:szCs w:val="21"/>
          <w:lang w:val="zh-CN"/>
        </w:rPr>
        <w:t>接口</w:t>
      </w:r>
      <w:r>
        <w:rPr>
          <w:rFonts w:hint="eastAsia" w:ascii="Times New Roman" w:hAnsi="Times New Roman" w:eastAsia="宋体" w:cs="Times New Roman"/>
          <w:color w:val="auto"/>
          <w:sz w:val="24"/>
          <w:szCs w:val="21"/>
          <w:lang w:val="zh-TW" w:eastAsia="zh-TW"/>
        </w:rPr>
        <w:t>驱动的基础架构支撑。</w:t>
      </w:r>
    </w:p>
    <w:p w14:paraId="6B767AB7">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部署的微服务组件每个提供相应功能，但现有的IT不是一个百分之百的高可靠性系统，这些组件长期运行中会出现网络异常、丢包、延迟等等各种不可预测的问题，需要提供企业级甚至城市级的非功能性要求保障整体应用的高可用性。集群资源管理系统通过对于区域管理、冗余、复制、负载均衡、路由平衡等等功能部署集群系统多个组件同时共同实现7*24运行，基于这些功能城市综合服务管理平台容器微服务系统需要提供相应的集群部署所有的应用组件。</w:t>
      </w:r>
    </w:p>
    <w:p w14:paraId="4E2FBEB3">
      <w:pPr>
        <w:pStyle w:val="6"/>
        <w:spacing w:line="240" w:lineRule="auto"/>
        <w:rPr>
          <w:color w:val="auto"/>
          <w:lang w:val="zh-TW" w:eastAsia="zh-TW"/>
        </w:rPr>
      </w:pPr>
      <w:r>
        <w:rPr>
          <w:rFonts w:hint="eastAsia"/>
          <w:color w:val="auto"/>
          <w:lang w:val="zh-TW"/>
        </w:rPr>
        <w:t>应用容器管理模块</w:t>
      </w:r>
    </w:p>
    <w:p w14:paraId="455A2BFC">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TW"/>
        </w:rPr>
        <w:t>应用容器管理模块</w:t>
      </w:r>
      <w:r>
        <w:rPr>
          <w:rFonts w:hint="eastAsia" w:ascii="Times New Roman" w:hAnsi="Times New Roman" w:eastAsia="宋体" w:cs="Times New Roman"/>
          <w:color w:val="auto"/>
          <w:sz w:val="24"/>
          <w:szCs w:val="21"/>
          <w:lang w:val="zh-TW" w:eastAsia="zh-TW"/>
        </w:rPr>
        <w:t>管理每个容器和您的应用，容器的职能将城市综合服务管理平台的应用组件和资源层的基础架构分离，便捷的在不同的云平台和操作系统中运行。</w:t>
      </w:r>
      <w:r>
        <w:rPr>
          <w:rFonts w:hint="eastAsia" w:ascii="Times New Roman" w:hAnsi="Times New Roman" w:eastAsia="宋体" w:cs="Times New Roman"/>
          <w:color w:val="auto"/>
          <w:sz w:val="24"/>
          <w:szCs w:val="21"/>
          <w:lang w:val="zh-CN"/>
        </w:rPr>
        <w:t>所有的城市综合服务管理平台的应用都封装在容器中，上百成千的应用容器需要有正确的管理。</w:t>
      </w:r>
    </w:p>
    <w:p w14:paraId="26ABE364">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eastAsia="zh-TW"/>
        </w:rPr>
        <w:t>该模块同时管理可运行的容器镜像软件包，保证代码的一致性和生产系统的稳定性，确保系统运行的正常。</w:t>
      </w:r>
      <w:r>
        <w:rPr>
          <w:rFonts w:hint="eastAsia" w:ascii="Times New Roman" w:hAnsi="Times New Roman" w:eastAsia="宋体" w:cs="Times New Roman"/>
          <w:color w:val="auto"/>
          <w:sz w:val="24"/>
          <w:szCs w:val="21"/>
          <w:lang w:val="zh-TW"/>
        </w:rPr>
        <w:t>容器云子系统</w:t>
      </w:r>
      <w:r>
        <w:rPr>
          <w:rFonts w:hint="eastAsia" w:ascii="Times New Roman" w:hAnsi="Times New Roman" w:eastAsia="宋体" w:cs="Times New Roman"/>
          <w:color w:val="auto"/>
          <w:sz w:val="24"/>
          <w:szCs w:val="21"/>
          <w:lang w:val="zh-TW" w:eastAsia="zh-TW"/>
        </w:rPr>
        <w:t>支持多种容器运行，不同的容器运行环境</w:t>
      </w:r>
      <w:r>
        <w:rPr>
          <w:rFonts w:hint="eastAsia" w:ascii="Times New Roman" w:hAnsi="Times New Roman" w:eastAsia="宋体" w:cs="Times New Roman"/>
          <w:color w:val="auto"/>
          <w:sz w:val="24"/>
          <w:szCs w:val="21"/>
          <w:lang w:val="zh-CN"/>
        </w:rPr>
        <w:t>都支持该容器管理</w:t>
      </w:r>
      <w:r>
        <w:rPr>
          <w:rFonts w:hint="eastAsia" w:ascii="Times New Roman" w:hAnsi="Times New Roman" w:eastAsia="宋体" w:cs="Times New Roman"/>
          <w:color w:val="auto"/>
          <w:sz w:val="24"/>
          <w:szCs w:val="21"/>
          <w:lang w:val="zh-TW" w:eastAsia="zh-TW"/>
        </w:rPr>
        <w:t>。</w:t>
      </w:r>
    </w:p>
    <w:p w14:paraId="3FB8A1DE">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应用开发商将提供所有能够打包的应用组件代码和运行程序，应用容器管理将将基于这些可用的软件进行打包、拆包、部署、配置等等动作实现相应的容器管理，容器微服务生产平台将通过自动化配置的模块自动的装配相应的容器镜像到系统中使用，需要理解正确的版本、正确的组件等等。</w:t>
      </w:r>
    </w:p>
    <w:p w14:paraId="10A71521">
      <w:pPr>
        <w:pStyle w:val="6"/>
        <w:spacing w:line="240" w:lineRule="auto"/>
        <w:rPr>
          <w:color w:val="auto"/>
          <w:lang w:val="zh-TW" w:eastAsia="zh-TW"/>
        </w:rPr>
      </w:pPr>
      <w:r>
        <w:rPr>
          <w:rFonts w:hint="eastAsia"/>
          <w:color w:val="auto"/>
          <w:lang w:val="zh-TW"/>
        </w:rPr>
        <w:t>容器工作负载管理模块</w:t>
      </w:r>
    </w:p>
    <w:p w14:paraId="57A5163B">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TW"/>
        </w:rPr>
        <w:t>容器工作负载管理模块</w:t>
      </w:r>
      <w:r>
        <w:rPr>
          <w:rFonts w:hint="eastAsia" w:ascii="Times New Roman" w:hAnsi="Times New Roman" w:eastAsia="宋体" w:cs="Times New Roman"/>
          <w:color w:val="auto"/>
          <w:sz w:val="24"/>
          <w:szCs w:val="21"/>
          <w:lang w:val="zh-TW" w:eastAsia="zh-TW"/>
        </w:rPr>
        <w:t>提供运行微服务应用的工作负载，该平台采用</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方式实现工作负载，支持各种装配方式，单个</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支持单个组件或多个组件模式，</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代表运行的容器组件。</w:t>
      </w:r>
      <w:r>
        <w:rPr>
          <w:rFonts w:hint="eastAsia" w:ascii="Times New Roman" w:hAnsi="Times New Roman" w:eastAsia="宋体" w:cs="Times New Roman"/>
          <w:color w:val="auto"/>
          <w:sz w:val="24"/>
          <w:szCs w:val="21"/>
          <w:lang w:val="zh-CN"/>
        </w:rPr>
        <w:t>城市综合服务管理平台的应用需要有正确的工作负载承接运行工作，不同的工作负载模式顺应不同的微服务组件。</w:t>
      </w:r>
    </w:p>
    <w:p w14:paraId="6D91D36B">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eastAsia="zh-TW"/>
        </w:rPr>
        <w:t>该平台提供了多种不同的工作负载模式实现应用支撑，有：</w:t>
      </w:r>
      <w:r>
        <w:rPr>
          <w:rFonts w:hint="eastAsia" w:ascii="Times New Roman" w:hAnsi="Times New Roman" w:eastAsia="宋体" w:cs="Times New Roman"/>
          <w:color w:val="auto"/>
          <w:sz w:val="24"/>
          <w:szCs w:val="21"/>
          <w:lang w:val="zh-CN"/>
        </w:rPr>
        <w:t>非状态的</w:t>
      </w:r>
      <w:r>
        <w:rPr>
          <w:rFonts w:hint="eastAsia" w:ascii="Times New Roman" w:hAnsi="Times New Roman" w:eastAsia="宋体" w:cs="Times New Roman"/>
          <w:color w:val="auto"/>
          <w:sz w:val="24"/>
          <w:szCs w:val="21"/>
          <w:lang w:val="zh-TW" w:eastAsia="zh-TW"/>
        </w:rPr>
        <w:t>工作负载资源，</w:t>
      </w:r>
      <w:r>
        <w:rPr>
          <w:rFonts w:hint="eastAsia" w:ascii="Times New Roman" w:hAnsi="Times New Roman" w:eastAsia="宋体" w:cs="Times New Roman"/>
          <w:color w:val="auto"/>
          <w:sz w:val="24"/>
          <w:szCs w:val="21"/>
          <w:lang w:val="zh-CN"/>
        </w:rPr>
        <w:t>有状态的</w:t>
      </w:r>
      <w:r>
        <w:rPr>
          <w:rFonts w:hint="eastAsia" w:ascii="Times New Roman" w:hAnsi="Times New Roman" w:eastAsia="宋体" w:cs="Times New Roman"/>
          <w:color w:val="auto"/>
          <w:sz w:val="24"/>
          <w:szCs w:val="21"/>
          <w:lang w:val="zh-TW" w:eastAsia="zh-TW"/>
        </w:rPr>
        <w:t>工作负载资源、</w:t>
      </w:r>
      <w:r>
        <w:rPr>
          <w:rFonts w:hint="eastAsia" w:ascii="Times New Roman" w:hAnsi="Times New Roman" w:eastAsia="宋体" w:cs="Times New Roman"/>
          <w:color w:val="auto"/>
          <w:sz w:val="24"/>
          <w:szCs w:val="21"/>
          <w:lang w:val="zh-CN"/>
        </w:rPr>
        <w:t>操作系统域的</w:t>
      </w:r>
      <w:r>
        <w:rPr>
          <w:rFonts w:hint="eastAsia" w:ascii="Times New Roman" w:hAnsi="Times New Roman" w:eastAsia="宋体" w:cs="Times New Roman"/>
          <w:color w:val="auto"/>
          <w:sz w:val="24"/>
          <w:szCs w:val="21"/>
          <w:lang w:val="zh-TW" w:eastAsia="zh-TW"/>
        </w:rPr>
        <w:t>工作负载资源，另外还可以自定义工作负载，保证不同类型的应用都有合适的工作负载支持。</w:t>
      </w:r>
    </w:p>
    <w:p w14:paraId="5F1A86D2">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会提供不同类型的应用组件给到生产系统进行运行，容器工作负载管理将根据组件类型配备不同的工作负载，如网格事件组件需要配置相应的有状态的工作负载类，在集群运行中，网格事件A的工作负载区域出现故障后其它复制的区域将承接这个下一步的事件流程，相应的组件状态如Session将被新的工作负载复制，保证事件流程能够不因为任何故障走不通或从头开始。工作负载包含几种不同的类型支持不同场景组件。</w:t>
      </w:r>
    </w:p>
    <w:p w14:paraId="20157EEB">
      <w:pPr>
        <w:pStyle w:val="6"/>
        <w:spacing w:line="240" w:lineRule="auto"/>
        <w:rPr>
          <w:color w:val="auto"/>
          <w:lang w:val="zh-TW" w:eastAsia="zh-TW"/>
        </w:rPr>
      </w:pPr>
      <w:r>
        <w:rPr>
          <w:rFonts w:hint="eastAsia"/>
          <w:color w:val="auto"/>
          <w:lang w:val="zh-TW"/>
        </w:rPr>
        <w:t>服务、负载均衡和网络管理模块</w:t>
      </w:r>
    </w:p>
    <w:p w14:paraId="1775700C">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的服务、负载均衡和网络管理模块提供几个主要功能容器之间的网络通信，集群网在不同的</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之间进行通信，允许外部资源通过服务资源访问应用程序，同时实现仅仅在集群内部使用的服务。</w:t>
      </w:r>
      <w:r>
        <w:rPr>
          <w:rFonts w:hint="eastAsia" w:ascii="Times New Roman" w:hAnsi="Times New Roman" w:eastAsia="宋体" w:cs="Times New Roman"/>
          <w:color w:val="auto"/>
          <w:sz w:val="24"/>
          <w:szCs w:val="21"/>
          <w:lang w:val="zh-CN"/>
        </w:rPr>
        <w:t>城市综合服务管理平台大量接口和协议都需要有正确的服务接口、负载均衡和网络功能实现。</w:t>
      </w:r>
    </w:p>
    <w:p w14:paraId="5D816B1A">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eastAsia="zh-TW"/>
        </w:rPr>
        <w:t>提供了相应的组件支持这个模块的实现：使用拓扑健模式实现拓扑感知的流量访问路由；通过服务发布应用程序被访问模式；</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和服务的</w:t>
      </w:r>
      <w:r>
        <w:rPr>
          <w:rFonts w:hint="eastAsia" w:ascii="Times New Roman" w:hAnsi="Times New Roman" w:eastAsia="宋体" w:cs="Times New Roman"/>
          <w:color w:val="auto"/>
          <w:sz w:val="24"/>
          <w:szCs w:val="21"/>
          <w:lang w:val="zh-CN"/>
        </w:rPr>
        <w:t>命名服务</w:t>
      </w:r>
      <w:r>
        <w:rPr>
          <w:rFonts w:hint="eastAsia" w:ascii="Times New Roman" w:hAnsi="Times New Roman" w:eastAsia="宋体" w:cs="Times New Roman"/>
          <w:color w:val="auto"/>
          <w:sz w:val="24"/>
          <w:szCs w:val="21"/>
          <w:lang w:val="zh-TW" w:eastAsia="zh-TW"/>
        </w:rPr>
        <w:t>访问；服务通过</w:t>
      </w:r>
      <w:r>
        <w:rPr>
          <w:rFonts w:hint="eastAsia" w:ascii="Times New Roman" w:hAnsi="Times New Roman" w:eastAsia="宋体" w:cs="Times New Roman"/>
          <w:color w:val="auto"/>
          <w:sz w:val="24"/>
          <w:szCs w:val="21"/>
          <w:lang w:val="zh-CN"/>
        </w:rPr>
        <w:t>命名服务</w:t>
      </w:r>
      <w:r>
        <w:rPr>
          <w:rFonts w:hint="eastAsia" w:ascii="Times New Roman" w:hAnsi="Times New Roman" w:eastAsia="宋体" w:cs="Times New Roman"/>
          <w:color w:val="auto"/>
          <w:sz w:val="24"/>
          <w:szCs w:val="21"/>
          <w:lang w:val="zh-TW" w:eastAsia="zh-TW"/>
        </w:rPr>
        <w:t>实现访问；提供集群综服务外部访问的</w:t>
      </w:r>
      <w:r>
        <w:rPr>
          <w:rFonts w:hint="eastAsia" w:ascii="Times New Roman" w:hAnsi="Times New Roman" w:eastAsia="宋体" w:cs="Times New Roman"/>
          <w:color w:val="auto"/>
          <w:sz w:val="24"/>
          <w:szCs w:val="21"/>
          <w:lang w:val="zh-CN"/>
        </w:rPr>
        <w:t>接口</w:t>
      </w:r>
      <w:r>
        <w:rPr>
          <w:rFonts w:hint="eastAsia" w:ascii="Times New Roman" w:hAnsi="Times New Roman" w:eastAsia="宋体" w:cs="Times New Roman"/>
          <w:color w:val="auto"/>
          <w:sz w:val="24"/>
          <w:szCs w:val="21"/>
          <w:lang w:val="zh-TW" w:eastAsia="zh-TW"/>
        </w:rPr>
        <w:t>对象的管理</w:t>
      </w:r>
      <w:r>
        <w:rPr>
          <w:rFonts w:hint="eastAsia" w:ascii="Times New Roman" w:hAnsi="Times New Roman" w:eastAsia="宋体" w:cs="Times New Roman"/>
          <w:color w:val="auto"/>
          <w:sz w:val="24"/>
          <w:szCs w:val="21"/>
          <w:lang w:val="zh-CN"/>
        </w:rPr>
        <w:t>协议代理工具</w:t>
      </w:r>
      <w:r>
        <w:rPr>
          <w:rFonts w:hint="eastAsia" w:ascii="Times New Roman" w:hAnsi="Times New Roman" w:eastAsia="宋体" w:cs="Times New Roman"/>
          <w:color w:val="auto"/>
          <w:sz w:val="24"/>
          <w:szCs w:val="21"/>
          <w:lang w:val="zh-TW" w:eastAsia="zh-TW"/>
        </w:rPr>
        <w:t>；同时</w:t>
      </w:r>
      <w:r>
        <w:rPr>
          <w:rFonts w:hint="eastAsia" w:ascii="Times New Roman" w:hAnsi="Times New Roman" w:eastAsia="宋体" w:cs="Times New Roman"/>
          <w:color w:val="auto"/>
          <w:sz w:val="24"/>
          <w:szCs w:val="21"/>
          <w:lang w:val="zh-CN"/>
        </w:rPr>
        <w:t>提供代理协议</w:t>
      </w:r>
      <w:r>
        <w:rPr>
          <w:rFonts w:hint="eastAsia" w:ascii="Times New Roman" w:hAnsi="Times New Roman" w:eastAsia="宋体" w:cs="Times New Roman"/>
          <w:color w:val="auto"/>
          <w:sz w:val="24"/>
          <w:szCs w:val="21"/>
          <w:lang w:val="zh-TW" w:eastAsia="zh-TW"/>
        </w:rPr>
        <w:t>控制器；拓扑感知提示；服务内部流量策略；端点切片实现；网络策略；支持I</w:t>
      </w:r>
      <w:r>
        <w:rPr>
          <w:rFonts w:hint="eastAsia" w:ascii="Times New Roman" w:hAnsi="Times New Roman" w:eastAsia="宋体" w:cs="Times New Roman"/>
          <w:color w:val="auto"/>
          <w:sz w:val="24"/>
          <w:szCs w:val="21"/>
          <w:lang w:val="zh-CN"/>
        </w:rPr>
        <w:t>P</w:t>
      </w:r>
      <w:r>
        <w:rPr>
          <w:rFonts w:hint="eastAsia" w:ascii="Times New Roman" w:hAnsi="Times New Roman" w:eastAsia="宋体" w:cs="Times New Roman"/>
          <w:color w:val="auto"/>
          <w:sz w:val="24"/>
          <w:szCs w:val="21"/>
          <w:lang w:val="zh-TW" w:eastAsia="zh-TW"/>
        </w:rPr>
        <w:t>v4/I</w:t>
      </w:r>
      <w:r>
        <w:rPr>
          <w:rFonts w:hint="eastAsia" w:ascii="Times New Roman" w:hAnsi="Times New Roman" w:eastAsia="宋体" w:cs="Times New Roman"/>
          <w:color w:val="auto"/>
          <w:sz w:val="24"/>
          <w:szCs w:val="21"/>
          <w:lang w:val="zh-CN"/>
        </w:rPr>
        <w:t>P</w:t>
      </w:r>
      <w:r>
        <w:rPr>
          <w:rFonts w:hint="eastAsia" w:ascii="Times New Roman" w:hAnsi="Times New Roman" w:eastAsia="宋体" w:cs="Times New Roman"/>
          <w:color w:val="auto"/>
          <w:sz w:val="24"/>
          <w:szCs w:val="21"/>
          <w:lang w:val="zh-TW" w:eastAsia="zh-TW"/>
        </w:rPr>
        <w:t>v6双网络支持策略。</w:t>
      </w:r>
    </w:p>
    <w:p w14:paraId="0F686352">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面临多用户并发和单节点资源不够，需要通过服务定位、负载均衡和路由平衡分配资源，最常见的场景是上班时间等于系统认证的场景，几千个人同时登录系统统一认证模块，需要分布十几个节点进行认证，保证并发正常需要这个模块正常工作才能协调一致。</w:t>
      </w:r>
    </w:p>
    <w:p w14:paraId="0FC95D6F">
      <w:pPr>
        <w:pStyle w:val="6"/>
        <w:spacing w:line="240" w:lineRule="auto"/>
        <w:rPr>
          <w:color w:val="auto"/>
          <w:lang w:val="zh-TW" w:eastAsia="zh-TW"/>
        </w:rPr>
      </w:pPr>
      <w:r>
        <w:rPr>
          <w:rFonts w:hint="eastAsia"/>
          <w:color w:val="auto"/>
          <w:lang w:val="zh-TW"/>
        </w:rPr>
        <w:t>存储管理模块</w:t>
      </w:r>
    </w:p>
    <w:p w14:paraId="74784F13">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存储管理模块</w:t>
      </w:r>
      <w:r>
        <w:rPr>
          <w:rFonts w:hint="eastAsia" w:ascii="Times New Roman" w:hAnsi="Times New Roman" w:eastAsia="宋体" w:cs="Times New Roman"/>
          <w:color w:val="auto"/>
          <w:sz w:val="24"/>
          <w:szCs w:val="21"/>
          <w:lang w:val="zh-TW" w:eastAsia="zh-TW"/>
        </w:rPr>
        <w:t>提供了</w:t>
      </w:r>
      <w:r>
        <w:rPr>
          <w:rFonts w:hint="eastAsia" w:ascii="Times New Roman" w:hAnsi="Times New Roman" w:eastAsia="宋体" w:cs="Times New Roman"/>
          <w:color w:val="auto"/>
          <w:sz w:val="24"/>
          <w:szCs w:val="21"/>
          <w:lang w:val="zh-CN"/>
        </w:rPr>
        <w:t>安全存储</w:t>
      </w:r>
      <w:r>
        <w:rPr>
          <w:rFonts w:hint="eastAsia" w:ascii="Times New Roman" w:hAnsi="Times New Roman" w:eastAsia="宋体" w:cs="Times New Roman"/>
          <w:color w:val="auto"/>
          <w:sz w:val="24"/>
          <w:szCs w:val="21"/>
          <w:lang w:val="zh-TW" w:eastAsia="zh-TW"/>
        </w:rPr>
        <w:t>用于管理敏感信息，</w:t>
      </w:r>
      <w:r>
        <w:rPr>
          <w:rFonts w:hint="eastAsia" w:ascii="Times New Roman" w:hAnsi="Times New Roman" w:eastAsia="宋体" w:cs="Times New Roman"/>
          <w:color w:val="auto"/>
          <w:sz w:val="24"/>
          <w:szCs w:val="21"/>
          <w:lang w:val="zh-CN"/>
        </w:rPr>
        <w:t>配置功能以</w:t>
      </w:r>
      <w:r>
        <w:rPr>
          <w:rFonts w:hint="eastAsia" w:ascii="Times New Roman" w:hAnsi="Times New Roman" w:eastAsia="宋体" w:cs="Times New Roman"/>
          <w:color w:val="auto"/>
          <w:sz w:val="24"/>
          <w:szCs w:val="21"/>
          <w:lang w:val="zh-TW" w:eastAsia="zh-TW"/>
        </w:rPr>
        <w:t>存储配置，</w:t>
      </w:r>
      <w:r>
        <w:rPr>
          <w:rFonts w:hint="eastAsia" w:ascii="Times New Roman" w:hAnsi="Times New Roman" w:eastAsia="宋体" w:cs="Times New Roman"/>
          <w:color w:val="auto"/>
          <w:sz w:val="24"/>
          <w:szCs w:val="21"/>
          <w:lang w:val="zh-CN"/>
        </w:rPr>
        <w:t>其它还提供了多个对象</w:t>
      </w:r>
      <w:r>
        <w:rPr>
          <w:rFonts w:hint="eastAsia" w:ascii="Times New Roman" w:hAnsi="Times New Roman" w:eastAsia="宋体" w:cs="Times New Roman"/>
          <w:color w:val="auto"/>
          <w:sz w:val="24"/>
          <w:szCs w:val="21"/>
          <w:lang w:val="zh-TW" w:eastAsia="zh-TW"/>
        </w:rPr>
        <w:t>用来管理存储卷。</w:t>
      </w:r>
      <w:r>
        <w:rPr>
          <w:rFonts w:hint="eastAsia" w:ascii="Times New Roman" w:hAnsi="Times New Roman" w:eastAsia="宋体" w:cs="Times New Roman"/>
          <w:color w:val="auto"/>
          <w:sz w:val="24"/>
          <w:szCs w:val="21"/>
          <w:lang w:val="zh-CN"/>
        </w:rPr>
        <w:t>本模块负责存储管理，侧重在集群下的数据卷的编排能力。城市综合服务管理平台的大量微服务需要可靠的存储保证数据完整性，该功能实现计算和存储分离管理，保证数据完整性和一致性。</w:t>
      </w:r>
    </w:p>
    <w:p w14:paraId="08015A32">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支持多种存储类型（块、对象和文件系统等等），提供了存储的数据卷、数据卷快照、持久数据卷、数据卷克隆、数据卷快照类、存储类、动态卷供应、存储容量管理、临时数据卷、数据卷健康监控、特定节点的数据卷数限制等等组件。</w:t>
      </w:r>
    </w:p>
    <w:p w14:paraId="3A4A0370">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的微服务组件需要提供数据库功能，对于数据库高可用性的实现，低成本的方式是通过分布式存储保证数据不丢失，容器微服务系统提供Volumn的模式分离计算和存储，保证系统出现问题时新的计算节点继续使用存储管理功能使用原有的数据。目前建议的模式时容器组件自带数据库，挂上Volumn存储，通过城市综合服务管理平台的主数据库保证数据一致和完整性，但对于测试完后数据重要程度高的应用，在增加备份方案实现高可用性。</w:t>
      </w:r>
    </w:p>
    <w:p w14:paraId="3371352E">
      <w:pPr>
        <w:pStyle w:val="6"/>
        <w:spacing w:line="240" w:lineRule="auto"/>
        <w:rPr>
          <w:color w:val="auto"/>
          <w:lang w:val="zh-TW" w:eastAsia="zh-TW"/>
        </w:rPr>
      </w:pPr>
      <w:r>
        <w:rPr>
          <w:rFonts w:hint="eastAsia"/>
          <w:color w:val="auto"/>
          <w:lang w:val="zh-TW"/>
        </w:rPr>
        <w:t>容器装配管理模块</w:t>
      </w:r>
    </w:p>
    <w:p w14:paraId="7EC7761C">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装配管理模块提供相应的配置最佳实践，通过对于容器云子系统的每个对象进行配置，实现应用部署的功能。提供对于区域配置，命名空间配置，服务配置，安全配置，不同工作负载类型配置，存储配置等等。实现整个容器云平台实现提供城市综合服务管理平台的功能。城市综合服务管理平台在底层技术层面会封装成大量容器，正确的容器装配保证生产系统正确运行的关键。</w:t>
      </w:r>
    </w:p>
    <w:p w14:paraId="373D06B3">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的容器微服务系统之容器装配管理管理所有部署的容器集群相关的对象，包括微服务组件、微服务容器、集群所有相关的容器微服务系统的对象，如部署统一的网格处理流程组件，需要配置网格处理流程容器，容器相关工作负载，存储，区域，命名空间等等，确保网格处理流程组件正常的使用。</w:t>
      </w:r>
    </w:p>
    <w:p w14:paraId="7E52BBB0">
      <w:pPr>
        <w:pStyle w:val="6"/>
        <w:spacing w:line="240" w:lineRule="auto"/>
        <w:rPr>
          <w:color w:val="auto"/>
          <w:lang w:val="zh-TW" w:eastAsia="zh-TW"/>
        </w:rPr>
      </w:pPr>
      <w:r>
        <w:rPr>
          <w:rFonts w:hint="eastAsia"/>
          <w:color w:val="auto"/>
          <w:lang w:val="zh-TW"/>
        </w:rPr>
        <w:t>容器安全管理模块</w:t>
      </w:r>
    </w:p>
    <w:p w14:paraId="6959C076">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容器安全管理模块通过四个（4C）层面的安全实现完整的容器云子系统的安全实现。这个深度防护方法的4C包含了云（Cloud），集群（Cluster），容器（Container）和代码（Code），云安全在最外层，容器云子系统通过云管控制器和节点，节点之间通讯共同实现安全外层安全；第二层是集群层，实现对于可配置的集群组件和保护在集群中运行的应用程序；第三层是容器层，通过容器的漏洞扫描和对操作系统的依赖一同实现，第四层是代码层，容器云子系统提供了代码安全的手段，但核心的安全还需应用开发的代码安全实现。这个模块涵盖了区域安全标准、区域的网络策略、API访问控制、集群保护、加密通许通讯数据、加密静态数据、其它安全组件、运行安全类管理等等。</w:t>
      </w:r>
    </w:p>
    <w:p w14:paraId="40784F05">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城市综合服务管理平台的安全管理提供容器领域的RBAC的安全认证，TLS加密通讯，认证CA证书，PKI等等相关基础架构层面的所有相关的安全配置。</w:t>
      </w:r>
    </w:p>
    <w:p w14:paraId="267F64F2">
      <w:pPr>
        <w:pStyle w:val="6"/>
        <w:spacing w:line="240" w:lineRule="auto"/>
        <w:rPr>
          <w:color w:val="auto"/>
          <w:lang w:val="zh-TW" w:eastAsia="zh-TW"/>
        </w:rPr>
      </w:pPr>
      <w:r>
        <w:rPr>
          <w:rFonts w:hint="eastAsia"/>
          <w:color w:val="auto"/>
          <w:lang w:val="zh-TW"/>
        </w:rPr>
        <w:t>容器策略管理模块</w:t>
      </w:r>
    </w:p>
    <w:p w14:paraId="3A86B86C">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提供了完整的策略管理模块，该模块提供限制策略、资源配额策略、区域的安全策略、进程命名约束策略、节点资源管理器。限制策略可以命名空间为单位限制资源使用和创建，同时对于区域和容器使用的CPU、内存提供限制策略。资源配额策略</w:t>
      </w:r>
      <w:r>
        <w:rPr>
          <w:rFonts w:hint="eastAsia" w:ascii="Times New Roman" w:hAnsi="Times New Roman" w:eastAsia="宋体" w:cs="Times New Roman"/>
          <w:color w:val="auto"/>
          <w:sz w:val="24"/>
          <w:szCs w:val="21"/>
          <w:lang w:val="zh-TW" w:eastAsia="zh-TW"/>
        </w:rPr>
        <w:t>对每个命名空间的资源消耗总量提供限制。 它可以限制命名空间中某种类型的对象的总数目上限，也可以限制命令空间中的</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可以使用的计算资源的总上限</w:t>
      </w:r>
      <w:r>
        <w:rPr>
          <w:rFonts w:hint="eastAsia" w:ascii="Times New Roman" w:hAnsi="Times New Roman" w:eastAsia="宋体" w:cs="Times New Roman"/>
          <w:color w:val="auto"/>
          <w:sz w:val="24"/>
          <w:szCs w:val="21"/>
          <w:lang w:val="zh-CN"/>
        </w:rPr>
        <w:t>。区域的安全策略</w:t>
      </w:r>
      <w:r>
        <w:rPr>
          <w:rFonts w:hint="eastAsia" w:ascii="Times New Roman" w:hAnsi="Times New Roman" w:eastAsia="宋体" w:cs="Times New Roman"/>
          <w:color w:val="auto"/>
          <w:sz w:val="24"/>
          <w:szCs w:val="21"/>
          <w:lang w:val="zh-TW" w:eastAsia="zh-TW"/>
        </w:rPr>
        <w:t>是集群级别的资源，它能够控制</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规约中与安全性相关的各个方面。</w:t>
      </w:r>
      <w:r>
        <w:rPr>
          <w:rFonts w:hint="eastAsia" w:ascii="Times New Roman" w:hAnsi="Times New Roman" w:eastAsia="宋体" w:cs="Times New Roman"/>
          <w:color w:val="auto"/>
          <w:sz w:val="24"/>
          <w:szCs w:val="21"/>
          <w:lang w:val="zh-CN"/>
        </w:rPr>
        <w:t>进程命名约束策略是</w:t>
      </w:r>
      <w:r>
        <w:rPr>
          <w:rFonts w:hint="eastAsia" w:ascii="Times New Roman" w:hAnsi="Times New Roman" w:eastAsia="宋体" w:cs="Times New Roman"/>
          <w:color w:val="auto"/>
          <w:sz w:val="24"/>
          <w:szCs w:val="21"/>
          <w:lang w:val="zh-TW" w:eastAsia="zh-TW"/>
        </w:rPr>
        <w:t>允许限制一</w:t>
      </w:r>
      <w:r>
        <w:rPr>
          <w:rFonts w:hint="eastAsia" w:ascii="Times New Roman" w:hAnsi="Times New Roman" w:eastAsia="宋体" w:cs="Times New Roman"/>
          <w:color w:val="auto"/>
          <w:sz w:val="24"/>
          <w:szCs w:val="21"/>
          <w:lang w:val="zh-CN"/>
        </w:rPr>
        <w:t>个区域</w:t>
      </w:r>
      <w:r>
        <w:rPr>
          <w:rFonts w:hint="eastAsia" w:ascii="Times New Roman" w:hAnsi="Times New Roman" w:eastAsia="宋体" w:cs="Times New Roman"/>
          <w:color w:val="auto"/>
          <w:sz w:val="24"/>
          <w:szCs w:val="21"/>
          <w:lang w:val="zh-TW" w:eastAsia="zh-TW"/>
        </w:rPr>
        <w:t>中可以使用的进程</w:t>
      </w:r>
      <w:r>
        <w:rPr>
          <w:rFonts w:hint="eastAsia" w:ascii="Times New Roman" w:hAnsi="Times New Roman" w:eastAsia="宋体" w:cs="Times New Roman"/>
          <w:color w:val="auto"/>
          <w:sz w:val="24"/>
          <w:szCs w:val="21"/>
          <w:lang w:val="zh-CN"/>
        </w:rPr>
        <w:t>命名</w:t>
      </w:r>
      <w:r>
        <w:rPr>
          <w:rFonts w:hint="eastAsia" w:ascii="Times New Roman" w:hAnsi="Times New Roman" w:eastAsia="宋体" w:cs="Times New Roman"/>
          <w:color w:val="auto"/>
          <w:sz w:val="24"/>
          <w:szCs w:val="21"/>
          <w:lang w:val="zh-TW" w:eastAsia="zh-TW"/>
        </w:rPr>
        <w:t>数目</w:t>
      </w:r>
      <w:r>
        <w:rPr>
          <w:rFonts w:hint="eastAsia" w:ascii="Times New Roman" w:hAnsi="Times New Roman" w:eastAsia="宋体" w:cs="Times New Roman"/>
          <w:color w:val="auto"/>
          <w:sz w:val="24"/>
          <w:szCs w:val="21"/>
          <w:lang w:val="zh-CN"/>
        </w:rPr>
        <w:t>，</w:t>
      </w:r>
      <w:r>
        <w:rPr>
          <w:rFonts w:hint="eastAsia" w:ascii="Times New Roman" w:hAnsi="Times New Roman" w:eastAsia="宋体" w:cs="Times New Roman"/>
          <w:color w:val="auto"/>
          <w:sz w:val="24"/>
          <w:szCs w:val="21"/>
          <w:lang w:val="zh-TW" w:eastAsia="zh-TW"/>
        </w:rPr>
        <w:t>也可以为每个</w:t>
      </w:r>
      <w:r>
        <w:rPr>
          <w:rFonts w:hint="eastAsia" w:ascii="Times New Roman" w:hAnsi="Times New Roman" w:eastAsia="宋体" w:cs="Times New Roman"/>
          <w:color w:val="auto"/>
          <w:sz w:val="24"/>
          <w:szCs w:val="21"/>
          <w:lang w:val="zh-CN"/>
        </w:rPr>
        <w:t>节点</w:t>
      </w:r>
      <w:r>
        <w:rPr>
          <w:rFonts w:hint="eastAsia" w:ascii="Times New Roman" w:hAnsi="Times New Roman" w:eastAsia="宋体" w:cs="Times New Roman"/>
          <w:color w:val="auto"/>
          <w:sz w:val="24"/>
          <w:szCs w:val="21"/>
          <w:lang w:val="zh-TW" w:eastAsia="zh-TW"/>
        </w:rPr>
        <w:t>预留一定数量的可分配的</w:t>
      </w:r>
      <w:r>
        <w:rPr>
          <w:rFonts w:hint="eastAsia" w:ascii="Times New Roman" w:hAnsi="Times New Roman" w:eastAsia="宋体" w:cs="Times New Roman"/>
          <w:color w:val="auto"/>
          <w:sz w:val="24"/>
          <w:szCs w:val="21"/>
          <w:lang w:val="zh-CN"/>
        </w:rPr>
        <w:t>进程命名</w:t>
      </w:r>
      <w:r>
        <w:rPr>
          <w:rFonts w:hint="eastAsia" w:ascii="Times New Roman" w:hAnsi="Times New Roman" w:eastAsia="宋体" w:cs="Times New Roman"/>
          <w:color w:val="auto"/>
          <w:sz w:val="24"/>
          <w:szCs w:val="21"/>
          <w:lang w:val="zh-TW" w:eastAsia="zh-TW"/>
        </w:rPr>
        <w:t>，供操作系统和守护进程使用</w:t>
      </w:r>
      <w:r>
        <w:rPr>
          <w:rFonts w:hint="eastAsia" w:ascii="Times New Roman" w:hAnsi="Times New Roman" w:eastAsia="宋体" w:cs="Times New Roman"/>
          <w:color w:val="auto"/>
          <w:sz w:val="24"/>
          <w:szCs w:val="21"/>
          <w:lang w:val="zh-CN"/>
        </w:rPr>
        <w:t>，</w:t>
      </w:r>
      <w:r>
        <w:rPr>
          <w:rFonts w:hint="eastAsia" w:ascii="Times New Roman" w:hAnsi="Times New Roman" w:eastAsia="宋体" w:cs="Times New Roman"/>
          <w:color w:val="auto"/>
          <w:sz w:val="24"/>
          <w:szCs w:val="21"/>
          <w:lang w:val="zh-TW" w:eastAsia="zh-TW"/>
        </w:rPr>
        <w:t>进程</w:t>
      </w:r>
      <w:r>
        <w:rPr>
          <w:rFonts w:hint="eastAsia" w:ascii="Times New Roman" w:hAnsi="Times New Roman" w:eastAsia="宋体" w:cs="Times New Roman"/>
          <w:color w:val="auto"/>
          <w:sz w:val="24"/>
          <w:szCs w:val="21"/>
          <w:lang w:val="zh-CN"/>
        </w:rPr>
        <w:t>命名</w:t>
      </w:r>
      <w:r>
        <w:rPr>
          <w:rFonts w:hint="eastAsia" w:ascii="Times New Roman" w:hAnsi="Times New Roman" w:eastAsia="宋体" w:cs="Times New Roman"/>
          <w:color w:val="auto"/>
          <w:sz w:val="24"/>
          <w:szCs w:val="21"/>
          <w:lang w:val="zh-TW" w:eastAsia="zh-TW"/>
        </w:rPr>
        <w:t>是节点上的一种基础资源。很容易就会在尚未超出其它资源约束的时候就 已经触及任务个数上限，进而导致宿主机器不稳定</w:t>
      </w:r>
      <w:r>
        <w:rPr>
          <w:rFonts w:hint="eastAsia" w:ascii="Times New Roman" w:hAnsi="Times New Roman" w:eastAsia="宋体" w:cs="Times New Roman"/>
          <w:color w:val="auto"/>
          <w:sz w:val="24"/>
          <w:szCs w:val="21"/>
          <w:lang w:val="zh-CN"/>
        </w:rPr>
        <w:t>，</w:t>
      </w:r>
      <w:r>
        <w:rPr>
          <w:rFonts w:hint="eastAsia" w:ascii="Times New Roman" w:hAnsi="Times New Roman" w:eastAsia="宋体" w:cs="Times New Roman"/>
          <w:color w:val="auto"/>
          <w:sz w:val="24"/>
          <w:szCs w:val="21"/>
          <w:lang w:val="zh-TW" w:eastAsia="zh-TW"/>
        </w:rPr>
        <w:t>集群管理员需要一定的机制来确保集群中运行的</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不会导致</w:t>
      </w:r>
      <w:r>
        <w:rPr>
          <w:rFonts w:hint="eastAsia" w:ascii="Times New Roman" w:hAnsi="Times New Roman" w:eastAsia="宋体" w:cs="Times New Roman"/>
          <w:color w:val="auto"/>
          <w:sz w:val="24"/>
          <w:szCs w:val="21"/>
          <w:lang w:val="zh-CN"/>
        </w:rPr>
        <w:t>进程命名</w:t>
      </w:r>
      <w:r>
        <w:rPr>
          <w:rFonts w:hint="eastAsia" w:ascii="Times New Roman" w:hAnsi="Times New Roman" w:eastAsia="宋体" w:cs="Times New Roman"/>
          <w:color w:val="auto"/>
          <w:sz w:val="24"/>
          <w:szCs w:val="21"/>
          <w:lang w:val="zh-TW" w:eastAsia="zh-TW"/>
        </w:rPr>
        <w:t>资源枯竭，甚而造成宿主机上的守护进程无法正常运行。</w:t>
      </w:r>
      <w:r>
        <w:rPr>
          <w:rFonts w:hint="eastAsia" w:ascii="Times New Roman" w:hAnsi="Times New Roman" w:eastAsia="宋体" w:cs="Times New Roman"/>
          <w:color w:val="auto"/>
          <w:sz w:val="24"/>
          <w:szCs w:val="21"/>
          <w:lang w:val="zh-CN"/>
        </w:rPr>
        <w:t>同时</w:t>
      </w:r>
      <w:r>
        <w:rPr>
          <w:rFonts w:hint="eastAsia" w:ascii="Times New Roman" w:hAnsi="Times New Roman" w:eastAsia="宋体" w:cs="Times New Roman"/>
          <w:color w:val="auto"/>
          <w:sz w:val="24"/>
          <w:szCs w:val="21"/>
          <w:lang w:val="zh-TW" w:eastAsia="zh-TW"/>
        </w:rPr>
        <w:t>确保</w:t>
      </w:r>
      <w:r>
        <w:rPr>
          <w:rFonts w:hint="eastAsia" w:ascii="Times New Roman" w:hAnsi="Times New Roman" w:eastAsia="宋体" w:cs="Times New Roman"/>
          <w:color w:val="auto"/>
          <w:sz w:val="24"/>
          <w:szCs w:val="21"/>
          <w:lang w:val="zh-CN"/>
        </w:rPr>
        <w:t>区域中进程</w:t>
      </w:r>
      <w:r>
        <w:rPr>
          <w:rFonts w:hint="eastAsia" w:ascii="Times New Roman" w:hAnsi="Times New Roman" w:eastAsia="宋体" w:cs="Times New Roman"/>
          <w:color w:val="auto"/>
          <w:sz w:val="24"/>
          <w:szCs w:val="21"/>
          <w:lang w:val="zh-TW" w:eastAsia="zh-TW"/>
        </w:rPr>
        <w:t>的个数受限对于保证其不会影响到同一节点上其它负载</w:t>
      </w:r>
      <w:r>
        <w:rPr>
          <w:rFonts w:hint="eastAsia" w:ascii="Times New Roman" w:hAnsi="Times New Roman" w:eastAsia="宋体" w:cs="Times New Roman"/>
          <w:color w:val="auto"/>
          <w:sz w:val="24"/>
          <w:szCs w:val="21"/>
          <w:lang w:val="zh-CN"/>
        </w:rPr>
        <w:t>。节点资源管理器</w:t>
      </w:r>
      <w:r>
        <w:rPr>
          <w:rFonts w:hint="eastAsia" w:ascii="Times New Roman" w:hAnsi="Times New Roman" w:eastAsia="宋体" w:cs="Times New Roman"/>
          <w:color w:val="auto"/>
          <w:sz w:val="24"/>
          <w:szCs w:val="21"/>
          <w:lang w:val="zh-TW" w:eastAsia="zh-TW"/>
        </w:rPr>
        <w:t>提供了一组资源管理器，用于支持延迟敏感的、高吞吐量的工作负载</w:t>
      </w:r>
      <w:r>
        <w:rPr>
          <w:rFonts w:hint="eastAsia" w:ascii="Times New Roman" w:hAnsi="Times New Roman" w:eastAsia="宋体" w:cs="Times New Roman"/>
          <w:color w:val="auto"/>
          <w:sz w:val="24"/>
          <w:szCs w:val="21"/>
          <w:lang w:val="zh-CN"/>
        </w:rPr>
        <w:t>，</w:t>
      </w:r>
      <w:r>
        <w:rPr>
          <w:rFonts w:hint="eastAsia" w:ascii="Times New Roman" w:hAnsi="Times New Roman" w:eastAsia="宋体" w:cs="Times New Roman"/>
          <w:color w:val="auto"/>
          <w:sz w:val="24"/>
          <w:szCs w:val="21"/>
          <w:lang w:val="zh-TW" w:eastAsia="zh-TW"/>
        </w:rPr>
        <w:t>资源管理器的目标是协调和优化节点资源，以支持对 CPU、设备和内存等资源有特殊需求的</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w:t>
      </w:r>
    </w:p>
    <w:p w14:paraId="34D8E0CC">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容器策略基于城综将通过命名空间进行策略划分，如共享区域将设计成一个单独的命名空间，这个命名空间需要高可用性，保证所有应用组件能够7*24*365高可用性，存储采用分布式存储实现高冗余，数据库服务设计单独的数据库管理服务，保证数据库的高可用性等等。每个不同的组件分成多类进行不同类别的策略定义，保证系统能够高度定制和自动化处理各种不同集群策略模式。</w:t>
      </w:r>
    </w:p>
    <w:p w14:paraId="657310F2">
      <w:pPr>
        <w:pStyle w:val="6"/>
        <w:spacing w:line="240" w:lineRule="auto"/>
        <w:rPr>
          <w:color w:val="auto"/>
          <w:lang w:val="zh-TW" w:eastAsia="zh-TW"/>
        </w:rPr>
      </w:pPr>
      <w:r>
        <w:rPr>
          <w:rFonts w:hint="eastAsia"/>
          <w:color w:val="auto"/>
          <w:lang w:val="zh-TW"/>
        </w:rPr>
        <w:t>容器调度管理模块</w:t>
      </w:r>
    </w:p>
    <w:p w14:paraId="1C6C4BF2">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调度管理模块</w:t>
      </w:r>
      <w:r>
        <w:rPr>
          <w:rFonts w:hint="eastAsia" w:ascii="Times New Roman" w:hAnsi="Times New Roman" w:eastAsia="宋体" w:cs="Times New Roman"/>
          <w:color w:val="auto"/>
          <w:sz w:val="24"/>
          <w:szCs w:val="21"/>
          <w:lang w:val="zh-TW" w:eastAsia="zh-TW"/>
        </w:rPr>
        <w:t>作为一个容器编排调度引擎</w:t>
      </w:r>
      <w:r>
        <w:rPr>
          <w:rFonts w:hint="eastAsia" w:ascii="Times New Roman" w:hAnsi="Times New Roman" w:eastAsia="宋体" w:cs="Times New Roman"/>
          <w:color w:val="auto"/>
          <w:sz w:val="24"/>
          <w:szCs w:val="21"/>
          <w:lang w:val="zh-CN"/>
        </w:rPr>
        <w:t>平台</w:t>
      </w:r>
      <w:r>
        <w:rPr>
          <w:rFonts w:hint="eastAsia" w:ascii="Times New Roman" w:hAnsi="Times New Roman" w:eastAsia="宋体" w:cs="Times New Roman"/>
          <w:color w:val="auto"/>
          <w:sz w:val="24"/>
          <w:szCs w:val="21"/>
          <w:lang w:val="zh-TW" w:eastAsia="zh-TW"/>
        </w:rPr>
        <w:t>，资源调度是它的最基本也是最重要的功能。</w:t>
      </w:r>
      <w:r>
        <w:rPr>
          <w:rFonts w:hint="eastAsia" w:ascii="Times New Roman" w:hAnsi="Times New Roman" w:eastAsia="宋体" w:cs="Times New Roman"/>
          <w:color w:val="auto"/>
          <w:sz w:val="24"/>
          <w:szCs w:val="21"/>
          <w:lang w:val="zh-CN"/>
        </w:rPr>
        <w:t>该模块提供一个调度的</w:t>
      </w:r>
      <w:r>
        <w:rPr>
          <w:rFonts w:hint="eastAsia" w:ascii="Times New Roman" w:hAnsi="Times New Roman" w:eastAsia="宋体" w:cs="Times New Roman"/>
          <w:color w:val="auto"/>
          <w:sz w:val="24"/>
          <w:szCs w:val="21"/>
          <w:lang w:val="zh-TW" w:eastAsia="zh-TW"/>
        </w:rPr>
        <w:t>组件，该组件就是专门监听是否有还未调度到</w:t>
      </w:r>
      <w:r>
        <w:rPr>
          <w:rFonts w:hint="eastAsia" w:ascii="Times New Roman" w:hAnsi="Times New Roman" w:eastAsia="宋体" w:cs="Times New Roman"/>
          <w:color w:val="auto"/>
          <w:sz w:val="24"/>
          <w:szCs w:val="21"/>
          <w:lang w:val="zh-CN"/>
        </w:rPr>
        <w:t>节点</w:t>
      </w:r>
      <w:r>
        <w:rPr>
          <w:rFonts w:hint="eastAsia" w:ascii="Times New Roman" w:hAnsi="Times New Roman" w:eastAsia="宋体" w:cs="Times New Roman"/>
          <w:color w:val="auto"/>
          <w:sz w:val="24"/>
          <w:szCs w:val="21"/>
          <w:lang w:val="zh-TW" w:eastAsia="zh-TW"/>
        </w:rPr>
        <w:t>上的</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，再通过特定的算法为</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指定分派</w:t>
      </w:r>
      <w:r>
        <w:rPr>
          <w:rFonts w:hint="eastAsia" w:ascii="Times New Roman" w:hAnsi="Times New Roman" w:eastAsia="宋体" w:cs="Times New Roman"/>
          <w:color w:val="auto"/>
          <w:sz w:val="24"/>
          <w:szCs w:val="21"/>
          <w:lang w:val="zh-CN"/>
        </w:rPr>
        <w:t>节点</w:t>
      </w:r>
      <w:r>
        <w:rPr>
          <w:rFonts w:hint="eastAsia" w:ascii="Times New Roman" w:hAnsi="Times New Roman" w:eastAsia="宋体" w:cs="Times New Roman"/>
          <w:color w:val="auto"/>
          <w:sz w:val="24"/>
          <w:szCs w:val="21"/>
          <w:lang w:val="zh-TW" w:eastAsia="zh-TW"/>
        </w:rPr>
        <w:t>运行。</w:t>
      </w:r>
      <w:r>
        <w:rPr>
          <w:rFonts w:hint="eastAsia" w:ascii="Times New Roman" w:hAnsi="Times New Roman" w:eastAsia="宋体" w:cs="Times New Roman"/>
          <w:color w:val="auto"/>
          <w:sz w:val="24"/>
          <w:szCs w:val="21"/>
          <w:lang w:val="zh-CN"/>
        </w:rPr>
        <w:t>系统中</w:t>
      </w:r>
      <w:r>
        <w:rPr>
          <w:rFonts w:hint="eastAsia" w:ascii="Times New Roman" w:hAnsi="Times New Roman" w:eastAsia="宋体" w:cs="Times New Roman"/>
          <w:color w:val="auto"/>
          <w:sz w:val="24"/>
          <w:szCs w:val="21"/>
          <w:lang w:val="zh-TW" w:eastAsia="zh-TW"/>
        </w:rPr>
        <w:t>众多资源类型都已经定义了</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运行的一些默认调度策略，但是如果我们细心的根据</w:t>
      </w:r>
      <w:r>
        <w:rPr>
          <w:rFonts w:hint="eastAsia" w:ascii="Times New Roman" w:hAnsi="Times New Roman" w:eastAsia="宋体" w:cs="Times New Roman"/>
          <w:color w:val="auto"/>
          <w:sz w:val="24"/>
          <w:szCs w:val="21"/>
          <w:lang w:val="zh-CN"/>
        </w:rPr>
        <w:t>节点</w:t>
      </w:r>
      <w:r>
        <w:rPr>
          <w:rFonts w:hint="eastAsia" w:ascii="Times New Roman" w:hAnsi="Times New Roman" w:eastAsia="宋体" w:cs="Times New Roman"/>
          <w:color w:val="auto"/>
          <w:sz w:val="24"/>
          <w:szCs w:val="21"/>
          <w:lang w:val="zh-TW" w:eastAsia="zh-TW"/>
        </w:rPr>
        <w:t>或者</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的不同属性，分别为它们打上标签之后，我们将发现</w:t>
      </w:r>
      <w:r>
        <w:rPr>
          <w:rFonts w:hint="eastAsia" w:ascii="Times New Roman" w:hAnsi="Times New Roman" w:eastAsia="宋体" w:cs="Times New Roman"/>
          <w:color w:val="auto"/>
          <w:sz w:val="24"/>
          <w:szCs w:val="21"/>
          <w:lang w:val="zh-CN"/>
        </w:rPr>
        <w:t>系统</w:t>
      </w:r>
      <w:r>
        <w:rPr>
          <w:rFonts w:hint="eastAsia" w:ascii="Times New Roman" w:hAnsi="Times New Roman" w:eastAsia="宋体" w:cs="Times New Roman"/>
          <w:color w:val="auto"/>
          <w:sz w:val="24"/>
          <w:szCs w:val="21"/>
          <w:lang w:val="zh-TW" w:eastAsia="zh-TW"/>
        </w:rPr>
        <w:t>中的高级调度策略</w:t>
      </w:r>
      <w:r>
        <w:rPr>
          <w:rFonts w:hint="eastAsia" w:ascii="Times New Roman" w:hAnsi="Times New Roman" w:eastAsia="宋体" w:cs="Times New Roman"/>
          <w:color w:val="auto"/>
          <w:sz w:val="24"/>
          <w:szCs w:val="21"/>
          <w:lang w:val="zh-CN"/>
        </w:rPr>
        <w:t>非常完善，同时支持</w:t>
      </w:r>
      <w:r>
        <w:rPr>
          <w:rFonts w:hint="eastAsia" w:ascii="Times New Roman" w:hAnsi="Times New Roman" w:eastAsia="宋体" w:cs="Times New Roman"/>
          <w:color w:val="auto"/>
          <w:sz w:val="24"/>
          <w:szCs w:val="21"/>
          <w:lang w:val="zh-TW" w:eastAsia="zh-TW"/>
        </w:rPr>
        <w:t>实现动态的资源调度，即</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已经调度到某些节点上后，要让</w:t>
      </w:r>
      <w:r>
        <w:rPr>
          <w:rFonts w:hint="eastAsia" w:ascii="Times New Roman" w:hAnsi="Times New Roman" w:eastAsia="宋体" w:cs="Times New Roman"/>
          <w:color w:val="auto"/>
          <w:sz w:val="24"/>
          <w:szCs w:val="21"/>
          <w:lang w:val="zh-CN"/>
        </w:rPr>
        <w:t>区域</w:t>
      </w:r>
      <w:r>
        <w:rPr>
          <w:rFonts w:hint="eastAsia" w:ascii="Times New Roman" w:hAnsi="Times New Roman" w:eastAsia="宋体" w:cs="Times New Roman"/>
          <w:color w:val="auto"/>
          <w:sz w:val="24"/>
          <w:szCs w:val="21"/>
          <w:lang w:val="zh-TW" w:eastAsia="zh-TW"/>
        </w:rPr>
        <w:t>重新调度到其它节点。</w:t>
      </w:r>
    </w:p>
    <w:p w14:paraId="36FB4E12">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该模块同时包含了调度、抢占和驱逐功能，</w:t>
      </w:r>
      <w:r>
        <w:rPr>
          <w:rFonts w:hint="eastAsia" w:ascii="Times New Roman" w:hAnsi="Times New Roman" w:eastAsia="宋体" w:cs="Times New Roman"/>
          <w:color w:val="auto"/>
          <w:sz w:val="24"/>
          <w:szCs w:val="21"/>
          <w:lang w:val="zh-TW" w:eastAsia="zh-TW"/>
        </w:rPr>
        <w:t>调度指的是确保</w:t>
      </w:r>
      <w:r>
        <w:rPr>
          <w:rFonts w:hint="eastAsia" w:ascii="Times New Roman" w:hAnsi="Times New Roman" w:eastAsia="宋体" w:cs="Times New Roman"/>
          <w:color w:val="auto"/>
          <w:sz w:val="24"/>
          <w:szCs w:val="21"/>
          <w:lang w:val="zh-CN"/>
        </w:rPr>
        <w:t>区域组</w:t>
      </w:r>
      <w:r>
        <w:rPr>
          <w:rFonts w:hint="eastAsia" w:ascii="Times New Roman" w:hAnsi="Times New Roman" w:eastAsia="宋体" w:cs="Times New Roman"/>
          <w:color w:val="auto"/>
          <w:sz w:val="24"/>
          <w:szCs w:val="21"/>
          <w:lang w:val="zh-TW" w:eastAsia="zh-TW"/>
        </w:rPr>
        <w:t>匹配到合适的节点，以便</w:t>
      </w:r>
      <w:r>
        <w:rPr>
          <w:rFonts w:hint="eastAsia" w:ascii="Times New Roman" w:hAnsi="Times New Roman" w:eastAsia="宋体" w:cs="Times New Roman"/>
          <w:color w:val="auto"/>
          <w:sz w:val="24"/>
          <w:szCs w:val="21"/>
          <w:lang w:val="zh-CN"/>
        </w:rPr>
        <w:t>系统</w:t>
      </w:r>
      <w:r>
        <w:rPr>
          <w:rFonts w:hint="eastAsia" w:ascii="Times New Roman" w:hAnsi="Times New Roman" w:eastAsia="宋体" w:cs="Times New Roman"/>
          <w:color w:val="auto"/>
          <w:sz w:val="24"/>
          <w:szCs w:val="21"/>
          <w:lang w:val="zh-TW" w:eastAsia="zh-TW"/>
        </w:rPr>
        <w:t>能够运行它们。抢占指的是终止低优先级的</w:t>
      </w:r>
      <w:r>
        <w:rPr>
          <w:rFonts w:hint="eastAsia" w:ascii="Times New Roman" w:hAnsi="Times New Roman" w:eastAsia="宋体" w:cs="Times New Roman"/>
          <w:color w:val="auto"/>
          <w:sz w:val="24"/>
          <w:szCs w:val="21"/>
          <w:lang w:val="zh-CN"/>
        </w:rPr>
        <w:t>区域组</w:t>
      </w:r>
      <w:r>
        <w:rPr>
          <w:rFonts w:hint="eastAsia" w:ascii="Times New Roman" w:hAnsi="Times New Roman" w:eastAsia="宋体" w:cs="Times New Roman"/>
          <w:color w:val="auto"/>
          <w:sz w:val="24"/>
          <w:szCs w:val="21"/>
          <w:lang w:val="zh-TW" w:eastAsia="zh-TW"/>
        </w:rPr>
        <w:t>以便高优先级的</w:t>
      </w:r>
      <w:r>
        <w:rPr>
          <w:rFonts w:hint="eastAsia" w:ascii="Times New Roman" w:hAnsi="Times New Roman" w:eastAsia="宋体" w:cs="Times New Roman"/>
          <w:color w:val="auto"/>
          <w:sz w:val="24"/>
          <w:szCs w:val="21"/>
          <w:lang w:val="zh-CN"/>
        </w:rPr>
        <w:t>区域组</w:t>
      </w:r>
      <w:r>
        <w:rPr>
          <w:rFonts w:hint="eastAsia" w:ascii="Times New Roman" w:hAnsi="Times New Roman" w:eastAsia="宋体" w:cs="Times New Roman"/>
          <w:color w:val="auto"/>
          <w:sz w:val="24"/>
          <w:szCs w:val="21"/>
          <w:lang w:val="zh-TW" w:eastAsia="zh-TW"/>
        </w:rPr>
        <w:t>可以调度运行的过程。驱逐是在资源匮乏的节点上，主动让一个或多个</w:t>
      </w:r>
      <w:r>
        <w:rPr>
          <w:rFonts w:hint="eastAsia" w:ascii="Times New Roman" w:hAnsi="Times New Roman" w:eastAsia="宋体" w:cs="Times New Roman"/>
          <w:color w:val="auto"/>
          <w:sz w:val="24"/>
          <w:szCs w:val="21"/>
          <w:lang w:val="zh-CN"/>
        </w:rPr>
        <w:t>区域组</w:t>
      </w:r>
      <w:r>
        <w:rPr>
          <w:rFonts w:hint="eastAsia" w:ascii="Times New Roman" w:hAnsi="Times New Roman" w:eastAsia="宋体" w:cs="Times New Roman"/>
          <w:color w:val="auto"/>
          <w:sz w:val="24"/>
          <w:szCs w:val="21"/>
          <w:lang w:val="zh-TW" w:eastAsia="zh-TW"/>
        </w:rPr>
        <w:t>失效的过程。</w:t>
      </w:r>
    </w:p>
    <w:p w14:paraId="28A3E88C">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需要对于不同应用采用不同资源调度模式，容器微服务系统的区域进程是一种全生命周期管理模式，使用过程中资源分配，一旦进程到了结束或故障基于策略判断需要释放，同时有一些策略下需要重新分配资源，调度功能需要基于定制自动化调度相应的资源在不同节点下进行分配和调度，确保系统符合策略和请求数量。自动管理整个城综的不同应用组件。</w:t>
      </w:r>
    </w:p>
    <w:p w14:paraId="2EFC19D8">
      <w:pPr>
        <w:pStyle w:val="6"/>
        <w:spacing w:line="240" w:lineRule="auto"/>
        <w:rPr>
          <w:color w:val="auto"/>
          <w:lang w:val="zh-TW" w:eastAsia="zh-TW"/>
        </w:rPr>
      </w:pPr>
      <w:r>
        <w:rPr>
          <w:rFonts w:hint="eastAsia"/>
          <w:color w:val="auto"/>
          <w:lang w:val="zh-TW"/>
        </w:rPr>
        <w:t>容器镜像管理模块</w:t>
      </w:r>
    </w:p>
    <w:p w14:paraId="01BC6160">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容器微服务系统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镜像管理模块提供了系统使用的镜像管理功能，生产系统中的容器镜像应用在这个功能实现，他将提供微服务管理平台的应用管理，能够实现应用的定义、镜像打包、系统配置确定、应用容器安装、应用升级等等生产系统所需的功能和事件。这个模块提供了本地镜像开发，镜像库管理，镜像发布，提供容器云子系统安全，对于安装的镜像解包等等功能。</w:t>
      </w:r>
    </w:p>
    <w:p w14:paraId="0C14AD6B">
      <w:pPr>
        <w:ind w:firstLine="480" w:firstLineChars="200"/>
        <w:rPr>
          <w:rFonts w:ascii="Times New Roman" w:hAnsi="Times New Roman" w:eastAsia="宋体" w:cs="Times New Roman"/>
          <w:color w:val="auto"/>
          <w:sz w:val="24"/>
          <w:szCs w:val="21"/>
          <w:lang w:val="zh-CN"/>
        </w:rPr>
      </w:pPr>
      <w:r>
        <w:rPr>
          <w:rFonts w:hint="eastAsia" w:ascii="Times New Roman" w:hAnsi="Times New Roman" w:eastAsia="宋体" w:cs="Times New Roman"/>
          <w:color w:val="auto"/>
          <w:sz w:val="24"/>
          <w:szCs w:val="21"/>
          <w:lang w:val="zh-CN"/>
        </w:rPr>
        <w:t>城市综合服务管理平台负责所有相关容器的镜像管理，由于生产系统中使用的容器时封装隔离的，使用过程中不能够访问容器内部，在镜像管理中需要进行管理封装、打包、解包、组件配置、问题修改等等不同功能，确保镜像配合生产平台保证运行环境中的容器可用。</w:t>
      </w:r>
    </w:p>
    <w:p w14:paraId="4DD95D4B">
      <w:pPr>
        <w:pStyle w:val="41"/>
        <w:rPr>
          <w:color w:val="auto"/>
          <w:lang w:val="zh-TW" w:eastAsia="zh-TW"/>
        </w:rPr>
      </w:pPr>
    </w:p>
    <w:p w14:paraId="14BD3880">
      <w:pPr>
        <w:keepNext/>
        <w:keepLines/>
        <w:numPr>
          <w:ilvl w:val="2"/>
          <w:numId w:val="1"/>
        </w:numPr>
        <w:ind w:firstLine="200"/>
        <w:contextualSpacing/>
        <w:jc w:val="left"/>
        <w:outlineLvl w:val="2"/>
        <w:rPr>
          <w:rFonts w:ascii="宋体" w:hAnsi="宋体" w:eastAsia="宋体" w:cs="宋体"/>
          <w:color w:val="auto"/>
          <w:sz w:val="28"/>
          <w:szCs w:val="28"/>
        </w:rPr>
      </w:pPr>
      <w:bookmarkStart w:id="108" w:name="_Toc95404050"/>
      <w:bookmarkStart w:id="109" w:name="_Toc27968"/>
      <w:bookmarkStart w:id="110" w:name="_Toc12506"/>
      <w:bookmarkStart w:id="111" w:name="_Toc8272"/>
      <w:bookmarkStart w:id="112" w:name="_Toc7866"/>
      <w:bookmarkStart w:id="113" w:name="_Toc5284"/>
      <w:bookmarkStart w:id="114" w:name="_Toc83216265"/>
      <w:bookmarkStart w:id="115" w:name="_Toc18634"/>
      <w:r>
        <w:rPr>
          <w:rFonts w:hint="eastAsia" w:ascii="宋体" w:hAnsi="宋体" w:eastAsia="宋体" w:cs="宋体"/>
          <w:color w:val="auto"/>
          <w:sz w:val="28"/>
          <w:szCs w:val="28"/>
        </w:rPr>
        <w:t>知识图谱和人工智能自动化系统</w:t>
      </w:r>
      <w:bookmarkEnd w:id="108"/>
    </w:p>
    <w:p w14:paraId="208FD16E">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知识图谱和人工智能自动化系统</w:t>
      </w:r>
      <w:r>
        <w:rPr>
          <w:rFonts w:hint="eastAsia" w:ascii="Times New Roman" w:hAnsi="Times New Roman" w:eastAsia="宋体" w:cs="Times New Roman"/>
          <w:color w:val="auto"/>
          <w:sz w:val="24"/>
          <w:szCs w:val="21"/>
          <w:lang w:val="zh-TW" w:eastAsia="zh-TW"/>
        </w:rPr>
        <w:t>基于构建持续集成、持续交付、持续配置和持续运维的基本功能，保证微服务管理平台的完整部署、交接和运维，配合不同的应用组件和模块交付相应的容器镜像管理和发布功能，提供相应</w:t>
      </w:r>
      <w:r>
        <w:rPr>
          <w:rFonts w:hint="eastAsia" w:ascii="Times New Roman" w:hAnsi="Times New Roman" w:eastAsia="宋体" w:cs="Times New Roman"/>
          <w:color w:val="auto"/>
          <w:sz w:val="24"/>
          <w:szCs w:val="21"/>
          <w:lang w:val="zh-CN"/>
        </w:rPr>
        <w:t>的</w:t>
      </w:r>
      <w:r>
        <w:rPr>
          <w:rFonts w:hint="eastAsia" w:ascii="Times New Roman" w:hAnsi="Times New Roman" w:eastAsia="宋体" w:cs="Times New Roman"/>
          <w:color w:val="auto"/>
          <w:sz w:val="24"/>
          <w:szCs w:val="21"/>
          <w:lang w:val="zh-TW" w:eastAsia="zh-TW"/>
        </w:rPr>
        <w:t>敏捷流水线规范实现生产系统的</w:t>
      </w:r>
      <w:r>
        <w:rPr>
          <w:rFonts w:hint="eastAsia" w:ascii="Times New Roman" w:hAnsi="Times New Roman" w:eastAsia="宋体" w:cs="Times New Roman"/>
          <w:color w:val="auto"/>
          <w:sz w:val="24"/>
          <w:szCs w:val="21"/>
          <w:lang w:val="zh-CN"/>
        </w:rPr>
        <w:t>集成测试和</w:t>
      </w:r>
      <w:r>
        <w:rPr>
          <w:rFonts w:hint="eastAsia" w:ascii="Times New Roman" w:hAnsi="Times New Roman" w:eastAsia="宋体" w:cs="Times New Roman"/>
          <w:color w:val="auto"/>
          <w:sz w:val="24"/>
          <w:szCs w:val="21"/>
          <w:lang w:val="zh-TW" w:eastAsia="zh-TW"/>
        </w:rPr>
        <w:t>上线，</w:t>
      </w:r>
      <w:r>
        <w:rPr>
          <w:rFonts w:hint="eastAsia" w:ascii="Times New Roman" w:hAnsi="Times New Roman" w:eastAsia="宋体" w:cs="Times New Roman"/>
          <w:color w:val="auto"/>
          <w:sz w:val="24"/>
          <w:szCs w:val="21"/>
          <w:lang w:val="zh-CN"/>
        </w:rPr>
        <w:t>支持自动化的敏捷运维等等工作，同时</w:t>
      </w:r>
      <w:r>
        <w:rPr>
          <w:rFonts w:hint="eastAsia" w:ascii="Times New Roman" w:hAnsi="Times New Roman" w:eastAsia="宋体" w:cs="Times New Roman"/>
          <w:color w:val="auto"/>
          <w:sz w:val="24"/>
          <w:szCs w:val="21"/>
          <w:lang w:val="zh-TW" w:eastAsia="zh-TW"/>
        </w:rPr>
        <w:t>负责</w:t>
      </w:r>
      <w:r>
        <w:rPr>
          <w:rFonts w:hint="eastAsia" w:ascii="Times New Roman" w:hAnsi="Times New Roman" w:eastAsia="宋体" w:cs="Times New Roman"/>
          <w:color w:val="auto"/>
          <w:sz w:val="24"/>
          <w:szCs w:val="21"/>
          <w:lang w:val="zh-CN"/>
        </w:rPr>
        <w:t>支持</w:t>
      </w:r>
      <w:r>
        <w:rPr>
          <w:rFonts w:hint="eastAsia" w:ascii="Times New Roman" w:hAnsi="Times New Roman" w:eastAsia="宋体" w:cs="Times New Roman"/>
          <w:color w:val="auto"/>
          <w:sz w:val="24"/>
          <w:szCs w:val="21"/>
          <w:lang w:val="zh-TW" w:eastAsia="zh-TW"/>
        </w:rPr>
        <w:t>统一集成测试的职能，管理和控制应用服务商在生产系统的操作规范，协助总集实现保证系统的上线和应用的可用。协助总集实现系统的成功上线、迭代和应用发布。</w:t>
      </w:r>
    </w:p>
    <w:p w14:paraId="675140D8">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知识图谱和人工智能自动化系统</w:t>
      </w:r>
      <w:r>
        <w:rPr>
          <w:rFonts w:hint="eastAsia" w:ascii="Times New Roman" w:hAnsi="Times New Roman" w:eastAsia="宋体" w:cs="Times New Roman"/>
          <w:color w:val="auto"/>
          <w:sz w:val="24"/>
          <w:szCs w:val="21"/>
          <w:lang w:val="zh-TW" w:eastAsia="zh-TW"/>
        </w:rPr>
        <w:t>包含了下列模块：微服务配置支持（构建、代码管理、版本管理和发布管理）、微服务测试支持（集成测试和上线管理）、微服务交接和上线支持（容器镜像构建、镜像管理、镜像上线、装配和配置）、微服务运维支持（微服务管理平台相关组件的监控、日志、跟踪和指标管理）</w:t>
      </w:r>
      <w:r>
        <w:rPr>
          <w:rFonts w:hint="eastAsia" w:ascii="Times New Roman" w:hAnsi="Times New Roman" w:eastAsia="宋体" w:cs="Times New Roman"/>
          <w:color w:val="auto"/>
          <w:sz w:val="24"/>
          <w:szCs w:val="21"/>
          <w:lang w:val="zh-CN"/>
        </w:rPr>
        <w:t>、</w:t>
      </w:r>
      <w:r>
        <w:rPr>
          <w:rFonts w:hint="eastAsia" w:ascii="Times New Roman" w:hAnsi="Times New Roman" w:eastAsia="宋体" w:cs="Times New Roman"/>
          <w:color w:val="auto"/>
          <w:sz w:val="24"/>
          <w:szCs w:val="21"/>
          <w:lang w:val="zh-TW" w:eastAsia="zh-TW"/>
        </w:rPr>
        <w:t>微服务管理平台</w:t>
      </w:r>
      <w:r>
        <w:rPr>
          <w:rFonts w:hint="eastAsia" w:ascii="Times New Roman" w:hAnsi="Times New Roman" w:eastAsia="宋体" w:cs="Times New Roman"/>
          <w:color w:val="auto"/>
          <w:sz w:val="24"/>
          <w:szCs w:val="21"/>
          <w:lang w:val="zh-CN"/>
        </w:rPr>
        <w:t>共享</w:t>
      </w:r>
      <w:r>
        <w:rPr>
          <w:rFonts w:hint="eastAsia" w:ascii="Times New Roman" w:hAnsi="Times New Roman" w:eastAsia="宋体" w:cs="Times New Roman"/>
          <w:color w:val="auto"/>
          <w:sz w:val="24"/>
          <w:szCs w:val="21"/>
          <w:lang w:val="zh-TW" w:eastAsia="zh-TW"/>
        </w:rPr>
        <w:t>认证服务、</w:t>
      </w:r>
      <w:r>
        <w:rPr>
          <w:rFonts w:hint="eastAsia" w:ascii="Times New Roman" w:hAnsi="Times New Roman" w:eastAsia="宋体" w:cs="Times New Roman"/>
          <w:color w:val="auto"/>
          <w:sz w:val="24"/>
          <w:szCs w:val="21"/>
          <w:lang w:val="zh-CN"/>
        </w:rPr>
        <w:t>共享</w:t>
      </w:r>
      <w:r>
        <w:rPr>
          <w:rFonts w:hint="eastAsia" w:ascii="Times New Roman" w:hAnsi="Times New Roman" w:eastAsia="宋体" w:cs="Times New Roman"/>
          <w:color w:val="auto"/>
          <w:sz w:val="24"/>
          <w:szCs w:val="21"/>
          <w:lang w:val="zh-TW" w:eastAsia="zh-TW"/>
        </w:rPr>
        <w:t>密钥管理、</w:t>
      </w:r>
      <w:r>
        <w:rPr>
          <w:rFonts w:hint="eastAsia" w:ascii="Times New Roman" w:hAnsi="Times New Roman" w:eastAsia="宋体" w:cs="Times New Roman"/>
          <w:color w:val="auto"/>
          <w:sz w:val="24"/>
          <w:szCs w:val="21"/>
          <w:lang w:val="zh-CN"/>
        </w:rPr>
        <w:t>共享</w:t>
      </w:r>
      <w:r>
        <w:rPr>
          <w:rFonts w:hint="eastAsia" w:ascii="Times New Roman" w:hAnsi="Times New Roman" w:eastAsia="宋体" w:cs="Times New Roman"/>
          <w:color w:val="auto"/>
          <w:sz w:val="24"/>
          <w:szCs w:val="21"/>
          <w:lang w:val="zh-TW" w:eastAsia="zh-TW"/>
        </w:rPr>
        <w:t>缓存服务、</w:t>
      </w:r>
      <w:r>
        <w:rPr>
          <w:rFonts w:hint="eastAsia" w:ascii="Times New Roman" w:hAnsi="Times New Roman" w:eastAsia="宋体" w:cs="Times New Roman"/>
          <w:color w:val="auto"/>
          <w:sz w:val="24"/>
          <w:szCs w:val="21"/>
          <w:lang w:val="zh-CN"/>
        </w:rPr>
        <w:t>共享</w:t>
      </w:r>
      <w:r>
        <w:rPr>
          <w:rFonts w:hint="eastAsia" w:ascii="Times New Roman" w:hAnsi="Times New Roman" w:eastAsia="宋体" w:cs="Times New Roman"/>
          <w:color w:val="auto"/>
          <w:sz w:val="24"/>
          <w:szCs w:val="21"/>
          <w:lang w:val="zh-TW" w:eastAsia="zh-TW"/>
        </w:rPr>
        <w:t>调度服务、</w:t>
      </w:r>
      <w:r>
        <w:rPr>
          <w:rFonts w:hint="eastAsia" w:ascii="Times New Roman" w:hAnsi="Times New Roman" w:eastAsia="宋体" w:cs="Times New Roman"/>
          <w:color w:val="auto"/>
          <w:sz w:val="24"/>
          <w:szCs w:val="21"/>
          <w:lang w:val="zh-CN"/>
        </w:rPr>
        <w:t>其它标准共享</w:t>
      </w:r>
      <w:r>
        <w:rPr>
          <w:rFonts w:hint="eastAsia" w:ascii="Times New Roman" w:hAnsi="Times New Roman" w:eastAsia="宋体" w:cs="Times New Roman"/>
          <w:color w:val="auto"/>
          <w:sz w:val="24"/>
          <w:szCs w:val="21"/>
          <w:lang w:val="zh-TW"/>
        </w:rPr>
        <w:t>知识图谱和人工智能自动化</w:t>
      </w:r>
      <w:r>
        <w:rPr>
          <w:rFonts w:hint="eastAsia" w:ascii="Times New Roman" w:hAnsi="Times New Roman" w:eastAsia="宋体" w:cs="Times New Roman"/>
          <w:color w:val="auto"/>
          <w:sz w:val="24"/>
          <w:szCs w:val="21"/>
          <w:lang w:val="zh-CN"/>
        </w:rPr>
        <w:t>服务</w:t>
      </w:r>
      <w:r>
        <w:rPr>
          <w:rFonts w:hint="eastAsia" w:ascii="Times New Roman" w:hAnsi="Times New Roman" w:eastAsia="宋体" w:cs="Times New Roman"/>
          <w:color w:val="auto"/>
          <w:sz w:val="24"/>
          <w:szCs w:val="21"/>
          <w:lang w:val="zh-TW" w:eastAsia="zh-TW"/>
        </w:rPr>
        <w:t>。</w:t>
      </w:r>
    </w:p>
    <w:p w14:paraId="2B81D10B">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注：</w:t>
      </w:r>
      <w:r>
        <w:rPr>
          <w:rFonts w:hint="eastAsia" w:ascii="Times New Roman" w:hAnsi="Times New Roman" w:eastAsia="宋体" w:cs="Times New Roman"/>
          <w:color w:val="auto"/>
          <w:sz w:val="24"/>
          <w:szCs w:val="21"/>
        </w:rPr>
        <w:t>作为</w:t>
      </w:r>
      <w:r>
        <w:rPr>
          <w:rFonts w:hint="eastAsia" w:ascii="Times New Roman" w:hAnsi="Times New Roman" w:eastAsia="宋体" w:cs="Times New Roman"/>
          <w:color w:val="auto"/>
          <w:sz w:val="24"/>
          <w:szCs w:val="21"/>
          <w:lang w:val="zh-CN"/>
        </w:rPr>
        <w:t>城市综合服务平台最重要和最核心的技术</w:t>
      </w:r>
      <w:r>
        <w:rPr>
          <w:rFonts w:hint="eastAsia" w:ascii="Times New Roman" w:hAnsi="Times New Roman" w:eastAsia="宋体" w:cs="Times New Roman"/>
          <w:color w:val="auto"/>
          <w:sz w:val="24"/>
          <w:szCs w:val="21"/>
        </w:rPr>
        <w:t>子系统</w:t>
      </w:r>
      <w:r>
        <w:rPr>
          <w:rFonts w:hint="eastAsia" w:ascii="Times New Roman" w:hAnsi="Times New Roman" w:eastAsia="宋体" w:cs="Times New Roman"/>
          <w:color w:val="auto"/>
          <w:sz w:val="24"/>
          <w:szCs w:val="21"/>
          <w:lang w:val="zh-CN"/>
        </w:rPr>
        <w:t>，需要提供单独和其他共享服务隔离的关键共享服务组件，以便增加这个的高安全性。目前提供的五类服务是最基本的服务，未来随着城市综合服务管理平台的演进将逐步迭代和演进更多的微服务管理平台共享服务，适应城市综合服务管理平台和城市管理应用的发展。</w:t>
      </w:r>
    </w:p>
    <w:p w14:paraId="0B6AD749">
      <w:pPr>
        <w:pStyle w:val="6"/>
        <w:spacing w:line="240" w:lineRule="auto"/>
        <w:rPr>
          <w:color w:val="auto"/>
          <w:lang w:val="zh-TW" w:eastAsia="zh-TW"/>
        </w:rPr>
      </w:pPr>
      <w:r>
        <w:rPr>
          <w:rFonts w:hint="eastAsia"/>
          <w:color w:val="auto"/>
          <w:lang w:val="zh-TW" w:eastAsia="zh-TW"/>
        </w:rPr>
        <w:t>微服务配置支持的构建模块</w:t>
      </w:r>
    </w:p>
    <w:p w14:paraId="543D9914">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知识图谱和人工智能自动化系统的微服务配置支持的构建模块仅提供所有的微服务管理平台的配置代码构建，支持微服务系统中所有配置相关的构建，这个功能不包含所有城市综合服务管理平台的应用开发所需构建工具，仅提供使用的所需的构建功能和工具。该模块的目的是逐步演进和迭代实现城市综合服务管理平台提供自动化功能，保证系统的装配构建。</w:t>
      </w:r>
    </w:p>
    <w:p w14:paraId="09EEB9E6">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应用部署时需要自动化或半自动化配置相应的微服务组件成容器，配置支持的构建模块将管理组件的配置构建功能，同时管理配置代码或脚本，如GIS的外部接口Engress网关需要配置去调用外部GIS一部分数据，需要采用该功能构建Engress的配置，编写完脚本或代码后，用构建工具实现Engress配置，并提交给下一个代码管理模块和版本管理模块，形成软件容器教育发布管理进行发布，成功批复后形成容器镜像复制到容器镜像库，再基于外部配置脚本或代码在通过金丝雀发布到生产系统之中。</w:t>
      </w:r>
    </w:p>
    <w:p w14:paraId="0240970A">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微服务配置支持的</w:t>
      </w:r>
      <w:r>
        <w:rPr>
          <w:rFonts w:hint="eastAsia" w:ascii="Arial Unicode MS" w:hAnsi="Arial Unicode MS" w:cs="Arial Unicode MS"/>
          <w:color w:val="auto"/>
          <w:u w:color="000000"/>
          <w:lang w:val="zh-CN"/>
        </w:rPr>
        <w:t>代码管理</w:t>
      </w:r>
      <w:r>
        <w:rPr>
          <w:rFonts w:hint="eastAsia" w:ascii="Arial Unicode MS" w:hAnsi="Arial Unicode MS" w:cs="Arial Unicode MS"/>
          <w:color w:val="auto"/>
          <w:u w:color="000000"/>
          <w:lang w:val="zh-TW" w:eastAsia="zh-TW"/>
        </w:rPr>
        <w:t>模块</w:t>
      </w:r>
    </w:p>
    <w:p w14:paraId="615A048B">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配置支持的代码管理模块仅提供私有化部署的代码管理库支持代码管理，在本期项目内仅仅支持配置代码。城市综合服务管理平台项目通过采购方式向实现应用，开发商的代码由各个开发商自己维护，应用开发的代码管理模块不在这个范围内。目标是为城市综合服务管理平台提供平台本身的代码管理项目，保证系统的每个代码和问题能够快速被解决和健康。</w:t>
      </w:r>
    </w:p>
    <w:p w14:paraId="76BAFD7B">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的代码管理将管理所有微服务管理平台相关的代码，形成代码库，有序的管理所有的配置和实现相关代码，保证生产系统可用的代码都在代码库中进行案例，如配置城市网格中的统一分拨组件过程中，它采用spring cloud开发Jar文件，配置代码形成Dockerfile文件，区域的容器配置形成YAML的文件，这些相应测试成功的所有代码文件都将进入代码管理功能进行管理，保证采用这些代码形成的容器镜像功能一直。</w:t>
      </w:r>
    </w:p>
    <w:p w14:paraId="7BE15F83">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微服务配置支持的</w:t>
      </w:r>
      <w:r>
        <w:rPr>
          <w:rFonts w:hint="eastAsia" w:ascii="Arial Unicode MS" w:hAnsi="Arial Unicode MS" w:cs="Arial Unicode MS"/>
          <w:color w:val="auto"/>
          <w:u w:color="000000"/>
          <w:lang w:val="zh-CN"/>
        </w:rPr>
        <w:t>版本管理</w:t>
      </w:r>
      <w:r>
        <w:rPr>
          <w:rFonts w:hint="eastAsia" w:ascii="Arial Unicode MS" w:hAnsi="Arial Unicode MS" w:cs="Arial Unicode MS"/>
          <w:color w:val="auto"/>
          <w:u w:color="000000"/>
          <w:lang w:val="zh-TW" w:eastAsia="zh-TW"/>
        </w:rPr>
        <w:t>模块</w:t>
      </w:r>
    </w:p>
    <w:p w14:paraId="1B43BFD2">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配置支持的版本管理模块仅提供城市综合服务管理平台的私有化部署的版本管理功能，在本期项目内仅仅支持配置代码提供版本管理，同时对于容器版本和各个开发商同步。城市综合服务管理平台项目通过采购方式向实现应用，开发商的代码和版本由各个开发商自己维护，应用开发的版本管理模块不在这个范围内。目标是为城市综合服务管理平台提供平台本身的版本管理项目，协同所有的应用，保证系统的版本一致性。</w:t>
      </w:r>
    </w:p>
    <w:p w14:paraId="42BC1BF3">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的版本管理将管理所有的组件、平台、区域、节点、控制台、服务等等对象的版本，微服务管理平台将采用迭代模式，同样功能的组件会多版本方式共存在系统之中，版本管理保证所有的生产系统使用的版本可管理。如环卫车辆监测组件新开发的迭代新版本1.1，现有版本1.09，现在采用金丝雀发布1.1在仓山区的用户使用，如果上线出现异常，回滚到1.09旧版本，所以版本管理在这个过程中需要准确管理系统中的多个版本，自动化实现每个版本的动作，只需在控制台能够正确管理版本就能够实现。</w:t>
      </w:r>
    </w:p>
    <w:p w14:paraId="56486B88">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微服务配置支持的</w:t>
      </w:r>
      <w:r>
        <w:rPr>
          <w:rFonts w:hint="eastAsia" w:ascii="Arial Unicode MS" w:hAnsi="Arial Unicode MS" w:cs="Arial Unicode MS"/>
          <w:color w:val="auto"/>
          <w:u w:color="000000"/>
          <w:lang w:val="zh-CN"/>
        </w:rPr>
        <w:t>发布管理</w:t>
      </w:r>
      <w:r>
        <w:rPr>
          <w:rFonts w:hint="eastAsia" w:ascii="Arial Unicode MS" w:hAnsi="Arial Unicode MS" w:cs="Arial Unicode MS"/>
          <w:color w:val="auto"/>
          <w:u w:color="000000"/>
          <w:lang w:val="zh-TW" w:eastAsia="zh-TW"/>
        </w:rPr>
        <w:t>模块</w:t>
      </w:r>
    </w:p>
    <w:p w14:paraId="48D47978">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配置支持的发布管理模块仅提供城市综合服务管理平台的私有化部署的发布管理功能，在本期项目内仅仅支持微服务管理平台中所用的配置代码发布和每个应用开发商发布同步使用。城市综合服务管理平台项目通过采购方式向实现应用，开发商的应用发布由各个开发商自己维护，应用的发布管理模块不在这个范围内。但为保证所有的版本和接口的一致性，协同所有的应用和微服务管理平台的发布一致性，保证系统的健康运行。</w:t>
      </w:r>
    </w:p>
    <w:p w14:paraId="3E4D1C39">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的所有微服务组件和配置在通过集成测试后，就可以进行发布，如需要增加一个风险排查子系统中的排查态势组件，就需要安排集成测试完成后发布一个阶段版本到容器镜像中，发布系统中标出组件发布的版本和软件库中提供相应的发布软件，系统就可以通过控制台发布这个版本的组件进行使用。</w:t>
      </w:r>
    </w:p>
    <w:p w14:paraId="4CA745FD">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微服务配置支持的</w:t>
      </w:r>
      <w:r>
        <w:rPr>
          <w:rFonts w:hint="eastAsia" w:ascii="Arial Unicode MS" w:hAnsi="Arial Unicode MS" w:cs="Arial Unicode MS"/>
          <w:color w:val="auto"/>
          <w:u w:color="000000"/>
          <w:lang w:val="zh-CN"/>
        </w:rPr>
        <w:t>集成测试</w:t>
      </w:r>
      <w:r>
        <w:rPr>
          <w:rFonts w:hint="eastAsia" w:ascii="Arial Unicode MS" w:hAnsi="Arial Unicode MS" w:cs="Arial Unicode MS"/>
          <w:color w:val="auto"/>
          <w:u w:color="000000"/>
          <w:lang w:val="zh-TW" w:eastAsia="zh-TW"/>
        </w:rPr>
        <w:t>模块</w:t>
      </w:r>
    </w:p>
    <w:p w14:paraId="09FAC700">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微服务配置支持的集成测试管理模块仅实现正对城市综合服务管理平台的集成测试和整个系统的联调测试，对于应用开发的单元测试和组件测试将在其它项目中实现，不在本次项目涵盖范围。</w:t>
      </w:r>
      <w:r>
        <w:rPr>
          <w:rFonts w:hint="eastAsia" w:ascii="Times New Roman" w:hAnsi="Times New Roman" w:eastAsia="宋体" w:cs="Times New Roman"/>
          <w:color w:val="auto"/>
          <w:sz w:val="24"/>
          <w:szCs w:val="21"/>
          <w:lang w:val="zh-TW" w:eastAsia="zh-TW"/>
        </w:rPr>
        <w:t>持续集成 是将来自多个</w:t>
      </w:r>
      <w:r>
        <w:rPr>
          <w:rFonts w:hint="eastAsia" w:ascii="Times New Roman" w:hAnsi="Times New Roman" w:eastAsia="宋体" w:cs="Times New Roman"/>
          <w:color w:val="auto"/>
          <w:sz w:val="24"/>
          <w:szCs w:val="21"/>
          <w:lang w:val="zh-CN"/>
        </w:rPr>
        <w:t>开发者或开发商</w:t>
      </w:r>
      <w:r>
        <w:rPr>
          <w:rFonts w:hint="eastAsia" w:ascii="Times New Roman" w:hAnsi="Times New Roman" w:eastAsia="宋体" w:cs="Times New Roman"/>
          <w:color w:val="auto"/>
          <w:sz w:val="24"/>
          <w:szCs w:val="21"/>
          <w:lang w:val="zh-TW" w:eastAsia="zh-TW"/>
        </w:rPr>
        <w:t>的代码更改自动集成到单个软件项目中的实践。这是一项主要的</w:t>
      </w:r>
      <w:r>
        <w:rPr>
          <w:rFonts w:hint="eastAsia" w:ascii="Times New Roman" w:hAnsi="Times New Roman" w:eastAsia="宋体" w:cs="Times New Roman"/>
          <w:color w:val="auto"/>
          <w:sz w:val="24"/>
          <w:szCs w:val="21"/>
          <w:lang w:val="zh-CN"/>
        </w:rPr>
        <w:t>敏捷交付</w:t>
      </w:r>
      <w:r>
        <w:rPr>
          <w:rFonts w:hint="eastAsia" w:ascii="Times New Roman" w:hAnsi="Times New Roman" w:eastAsia="宋体" w:cs="Times New Roman"/>
          <w:color w:val="auto"/>
          <w:sz w:val="24"/>
          <w:szCs w:val="21"/>
          <w:lang w:val="zh-TW" w:eastAsia="zh-TW"/>
        </w:rPr>
        <w:t>最佳实践，允许开发人员</w:t>
      </w:r>
      <w:r>
        <w:rPr>
          <w:rFonts w:hint="eastAsia" w:ascii="Times New Roman" w:hAnsi="Times New Roman" w:eastAsia="宋体" w:cs="Times New Roman"/>
          <w:color w:val="auto"/>
          <w:sz w:val="24"/>
          <w:szCs w:val="21"/>
          <w:lang w:val="zh-CN"/>
        </w:rPr>
        <w:t>和开发商</w:t>
      </w:r>
      <w:r>
        <w:rPr>
          <w:rFonts w:hint="eastAsia" w:ascii="Times New Roman" w:hAnsi="Times New Roman" w:eastAsia="宋体" w:cs="Times New Roman"/>
          <w:color w:val="auto"/>
          <w:sz w:val="24"/>
          <w:szCs w:val="21"/>
          <w:lang w:val="zh-TW" w:eastAsia="zh-TW"/>
        </w:rPr>
        <w:t>经常将代码更改合并到一个中央存储库中，然后在该存储库中运行构建和测试。</w:t>
      </w:r>
    </w:p>
    <w:p w14:paraId="21500949">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的集成测试由于采购模式和开发模式不一样将由各自的应用开发商负责自己的开发测试，本功能只提供联调测试阶段。如部件更新的组件，在完成普查后，会进行网格数据更新，更新之前需要在原有的系统中进行A/B测试，联调测试，集成测试，确保这个数据和现有其它组件服务和共享服务都匹配，开始进行发布和上线。</w:t>
      </w:r>
    </w:p>
    <w:p w14:paraId="3DD2649C">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微服务配置支持的</w:t>
      </w:r>
      <w:r>
        <w:rPr>
          <w:rFonts w:hint="eastAsia" w:ascii="Arial Unicode MS" w:hAnsi="Arial Unicode MS" w:cs="Arial Unicode MS"/>
          <w:color w:val="auto"/>
          <w:u w:color="000000"/>
          <w:lang w:val="zh-CN"/>
        </w:rPr>
        <w:t>上线管理</w:t>
      </w:r>
      <w:r>
        <w:rPr>
          <w:rFonts w:hint="eastAsia" w:ascii="Arial Unicode MS" w:hAnsi="Arial Unicode MS" w:cs="Arial Unicode MS"/>
          <w:color w:val="auto"/>
          <w:u w:color="000000"/>
          <w:lang w:val="zh-TW" w:eastAsia="zh-TW"/>
        </w:rPr>
        <w:t>模块</w:t>
      </w:r>
    </w:p>
    <w:p w14:paraId="042F79BD">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配置支持的上线管理模块仅针对微服务配置的上线配置进行管理，即仅仅管理相应的组件、工具、微服务管理平台软件上线部分，对于组件内部和非微服务管理平台的使用的软件，如应用数据库上线管理等等部涵盖在本功能中。该上线管理模块提供上线的软件库和配置库的功能。</w:t>
      </w:r>
    </w:p>
    <w:p w14:paraId="43EE43C1">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是个非常大的协作平台，多开发商、多服务商、多开发人员、多业主的模式，提供一个上线管理模块，如发布了一个12319公众号对接的新组件，增加一个上线管理流程，组织好每个不同组件的敏捷团队，业主，在发布过的组件上提供上线管理，制订好相应快速发布、版本回退、金丝雀发布的各种代码或脚本，进行发布和上线执行，主要是针对城市级平台服务商协调的一个反模式的功能。</w:t>
      </w:r>
    </w:p>
    <w:p w14:paraId="5B6C28DE">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w:t>
      </w:r>
      <w:r>
        <w:rPr>
          <w:rFonts w:hint="eastAsia" w:ascii="Arial Unicode MS" w:hAnsi="Arial Unicode MS" w:cs="Arial Unicode MS"/>
          <w:color w:val="auto"/>
          <w:u w:color="000000"/>
          <w:lang w:val="zh-CN"/>
        </w:rPr>
        <w:t>交接和上线</w:t>
      </w:r>
      <w:r>
        <w:rPr>
          <w:rFonts w:hint="eastAsia" w:ascii="Arial Unicode MS" w:hAnsi="Arial Unicode MS" w:cs="Arial Unicode MS"/>
          <w:color w:val="auto"/>
          <w:u w:color="000000"/>
          <w:lang w:val="zh-TW" w:eastAsia="zh-TW"/>
        </w:rPr>
        <w:t>支持的</w:t>
      </w:r>
      <w:r>
        <w:rPr>
          <w:rFonts w:hint="eastAsia" w:ascii="Arial Unicode MS" w:hAnsi="Arial Unicode MS" w:cs="Arial Unicode MS"/>
          <w:color w:val="auto"/>
          <w:u w:color="000000"/>
          <w:lang w:val="zh-CN"/>
        </w:rPr>
        <w:t>发布管理</w:t>
      </w:r>
      <w:r>
        <w:rPr>
          <w:rFonts w:hint="eastAsia" w:ascii="Arial Unicode MS" w:hAnsi="Arial Unicode MS" w:cs="Arial Unicode MS"/>
          <w:color w:val="auto"/>
          <w:u w:color="000000"/>
          <w:lang w:val="zh-TW" w:eastAsia="zh-TW"/>
        </w:rPr>
        <w:t>模块</w:t>
      </w:r>
    </w:p>
    <w:p w14:paraId="7AD121CE">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交接和上线支持的发布管理模块仅发布管理采用持续交付模式进行实现，提供统一的规范，同时对于软件工件（包括应用）提供软件库管理，但所有工件需按照指定的规范打包，不符合规范的软件交付物将由各自服务商自己负责提供，在交接和上线的支持功能中，需要各自的服务商提供统一的容器镜像给到生产系统的敏捷流水线子平台部署，部署的容器镜像打包需按照规范要求实现。</w:t>
      </w:r>
    </w:p>
    <w:p w14:paraId="71E8D0FA">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城市综合服务管理平台采用的金丝雀发布和其它发布模式，单体应用采用传统方式发布，微服务应用采用金丝雀发布，如二维地图组件的发布将采用金丝雀发布，代码管理单独软件采用传统发布。</w:t>
      </w:r>
    </w:p>
    <w:p w14:paraId="56547A31">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w:t>
      </w:r>
      <w:r>
        <w:rPr>
          <w:rFonts w:hint="eastAsia" w:ascii="Arial Unicode MS" w:hAnsi="Arial Unicode MS" w:cs="Arial Unicode MS"/>
          <w:color w:val="auto"/>
          <w:u w:color="000000"/>
          <w:lang w:val="zh-CN"/>
        </w:rPr>
        <w:t>交接和上线</w:t>
      </w:r>
      <w:r>
        <w:rPr>
          <w:rFonts w:hint="eastAsia" w:ascii="Arial Unicode MS" w:hAnsi="Arial Unicode MS" w:cs="Arial Unicode MS"/>
          <w:color w:val="auto"/>
          <w:u w:color="000000"/>
          <w:lang w:val="zh-TW" w:eastAsia="zh-TW"/>
        </w:rPr>
        <w:t>支持的</w:t>
      </w:r>
      <w:r>
        <w:rPr>
          <w:rFonts w:hint="eastAsia" w:ascii="Arial Unicode MS" w:hAnsi="Arial Unicode MS" w:cs="Arial Unicode MS"/>
          <w:color w:val="auto"/>
          <w:u w:color="000000"/>
          <w:lang w:val="zh-CN"/>
        </w:rPr>
        <w:t>容器镜像构建</w:t>
      </w:r>
      <w:r>
        <w:rPr>
          <w:rFonts w:hint="eastAsia" w:ascii="Arial Unicode MS" w:hAnsi="Arial Unicode MS" w:cs="Arial Unicode MS"/>
          <w:color w:val="auto"/>
          <w:u w:color="000000"/>
          <w:lang w:val="zh-TW" w:eastAsia="zh-TW"/>
        </w:rPr>
        <w:t>模块</w:t>
      </w:r>
    </w:p>
    <w:p w14:paraId="4213783A">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交接和上线支持的容器镜像构建管理模块仅提供容器镜像构建，对于应用和使用的容器将由各自开发商自己负责，但本模块将提供规范确保所有的容器能够准确的部署到本平台上。这个模块提供相应的软件实现自动构建功能，保证统一实现能够协作应用的业务功能。</w:t>
      </w:r>
    </w:p>
    <w:p w14:paraId="7EC7FA68">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所有发布的组件都需要形成容器方式运行，无论是单体应用或微服务应用，如市容环卫的作业台账组件测试完毕，需要提供测试功能，容器镜像构建需要通过Dockerfile在构建软件管理下完成，放置到相应的容器镜像库中，控制台或装配代码可以通过自动化方式在容器镜像库下部署到相应的节点上。</w:t>
      </w:r>
    </w:p>
    <w:p w14:paraId="581B3ED8">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w:t>
      </w:r>
      <w:r>
        <w:rPr>
          <w:rFonts w:hint="eastAsia" w:ascii="Arial Unicode MS" w:hAnsi="Arial Unicode MS" w:cs="Arial Unicode MS"/>
          <w:color w:val="auto"/>
          <w:u w:color="000000"/>
          <w:lang w:val="zh-CN"/>
        </w:rPr>
        <w:t>交接和上线</w:t>
      </w:r>
      <w:r>
        <w:rPr>
          <w:rFonts w:hint="eastAsia" w:ascii="Arial Unicode MS" w:hAnsi="Arial Unicode MS" w:cs="Arial Unicode MS"/>
          <w:color w:val="auto"/>
          <w:u w:color="000000"/>
          <w:lang w:val="zh-TW" w:eastAsia="zh-TW"/>
        </w:rPr>
        <w:t>支持的</w:t>
      </w:r>
      <w:r>
        <w:rPr>
          <w:rFonts w:hint="eastAsia" w:ascii="Arial Unicode MS" w:hAnsi="Arial Unicode MS" w:cs="Arial Unicode MS"/>
          <w:color w:val="auto"/>
          <w:u w:color="000000"/>
          <w:lang w:val="zh-CN"/>
        </w:rPr>
        <w:t>镜像管理</w:t>
      </w:r>
      <w:r>
        <w:rPr>
          <w:rFonts w:hint="eastAsia" w:ascii="Arial Unicode MS" w:hAnsi="Arial Unicode MS" w:cs="Arial Unicode MS"/>
          <w:color w:val="auto"/>
          <w:u w:color="000000"/>
          <w:lang w:val="zh-TW" w:eastAsia="zh-TW"/>
        </w:rPr>
        <w:t>模块</w:t>
      </w:r>
    </w:p>
    <w:p w14:paraId="48950ECE">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交接和上线支持的镜像管理管理模块仅提供所有城市综合服务管理平台所需的镜像管理，针对所需的镜像本模块提供完整的功能进行管理，其它应用相关的镜像仅仅提供镜像的版本和存储服务，其它维护、分析、打包、解包等等其他功能由各自应用开发商自我维护。不在本功能之内。但确保应用所需的微服务应用组件和相关软件能够通过统一镜像管理支持生产系统。</w:t>
      </w:r>
    </w:p>
    <w:p w14:paraId="1CB80F5F">
      <w:pPr>
        <w:ind w:firstLine="480" w:firstLineChars="200"/>
        <w:rPr>
          <w:rFonts w:ascii="宋体" w:hAnsi="宋体" w:eastAsia="宋体" w:cs="宋体"/>
          <w:color w:val="auto"/>
          <w:sz w:val="24"/>
          <w:u w:color="000000"/>
          <w:lang w:val="zh-TW" w:eastAsia="zh-TW"/>
        </w:rPr>
      </w:pPr>
      <w:r>
        <w:rPr>
          <w:rFonts w:hint="eastAsia" w:ascii="Times New Roman" w:hAnsi="Times New Roman" w:eastAsia="宋体" w:cs="Times New Roman"/>
          <w:color w:val="auto"/>
          <w:sz w:val="24"/>
          <w:szCs w:val="21"/>
          <w:lang w:val="zh-CN"/>
        </w:rPr>
        <w:t>城市综合服务管理平台在上一个构建模块构建完镜像后，需要镜像管理软件管理所有的镜像，保证自动化装配代码或控制台才可以自动化发布和上线生产系统。如上一小节中提到的作业台账组件打完镜像后会放置到镜像库中接受管理软件的管理，保证实现容器微服务系统直接调用，完成镜像管理功能。</w:t>
      </w:r>
    </w:p>
    <w:p w14:paraId="64176CE2">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w:t>
      </w:r>
      <w:r>
        <w:rPr>
          <w:rFonts w:hint="eastAsia" w:ascii="Arial Unicode MS" w:hAnsi="Arial Unicode MS" w:cs="Arial Unicode MS"/>
          <w:color w:val="auto"/>
          <w:u w:color="000000"/>
          <w:lang w:val="zh-CN"/>
        </w:rPr>
        <w:t>交接和上线</w:t>
      </w:r>
      <w:r>
        <w:rPr>
          <w:rFonts w:hint="eastAsia" w:ascii="Arial Unicode MS" w:hAnsi="Arial Unicode MS" w:cs="Arial Unicode MS"/>
          <w:color w:val="auto"/>
          <w:u w:color="000000"/>
          <w:lang w:val="zh-TW" w:eastAsia="zh-TW"/>
        </w:rPr>
        <w:t>支持的</w:t>
      </w:r>
      <w:r>
        <w:rPr>
          <w:rFonts w:hint="eastAsia" w:ascii="Arial Unicode MS" w:hAnsi="Arial Unicode MS" w:cs="Arial Unicode MS"/>
          <w:color w:val="auto"/>
          <w:u w:color="000000"/>
          <w:lang w:val="zh-CN"/>
        </w:rPr>
        <w:t>镜像上线</w:t>
      </w:r>
      <w:r>
        <w:rPr>
          <w:rFonts w:hint="eastAsia" w:ascii="Arial Unicode MS" w:hAnsi="Arial Unicode MS" w:cs="Arial Unicode MS"/>
          <w:color w:val="auto"/>
          <w:u w:color="000000"/>
          <w:lang w:val="zh-TW" w:eastAsia="zh-TW"/>
        </w:rPr>
        <w:t>模块</w:t>
      </w:r>
    </w:p>
    <w:p w14:paraId="396632B6">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交接和上线支持的镜像上线模块提供对于所有系统中的镜像能够通过正确的应用架构部署到相应的生产系统之中，保证集群的所有相关功能涉及到能够正确的实现镜像上线和部署，自动化的完成所有相关的上线工作。保证系统的更新迭代和运行，快速地解决问题和生产系统的更新。</w:t>
      </w:r>
    </w:p>
    <w:p w14:paraId="50917BB0">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的镜像完成打包、管理后，将镜像提供上线功能，在HTTP的镜像接口提供相应的名称和版本，自动化装配或控制台命令就可以执行这个上线动作。如上小节中提及的作业台账组件标出名称和版本在上线代码参数上填入名称和版本就可执行上线。</w:t>
      </w:r>
    </w:p>
    <w:p w14:paraId="03F1D605">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w:t>
      </w:r>
      <w:r>
        <w:rPr>
          <w:rFonts w:hint="eastAsia" w:ascii="Arial Unicode MS" w:hAnsi="Arial Unicode MS" w:cs="Arial Unicode MS"/>
          <w:color w:val="auto"/>
          <w:u w:color="000000"/>
          <w:lang w:val="zh-CN"/>
        </w:rPr>
        <w:t>交接和上线</w:t>
      </w:r>
      <w:r>
        <w:rPr>
          <w:rFonts w:hint="eastAsia" w:ascii="Arial Unicode MS" w:hAnsi="Arial Unicode MS" w:cs="Arial Unicode MS"/>
          <w:color w:val="auto"/>
          <w:u w:color="000000"/>
          <w:lang w:val="zh-TW" w:eastAsia="zh-TW"/>
        </w:rPr>
        <w:t>支持的</w:t>
      </w:r>
      <w:r>
        <w:rPr>
          <w:rFonts w:hint="eastAsia" w:ascii="Arial Unicode MS" w:hAnsi="Arial Unicode MS" w:cs="Arial Unicode MS"/>
          <w:color w:val="auto"/>
          <w:u w:color="000000"/>
          <w:lang w:val="zh-CN"/>
        </w:rPr>
        <w:t>装配和配置</w:t>
      </w:r>
      <w:r>
        <w:rPr>
          <w:rFonts w:hint="eastAsia" w:ascii="Arial Unicode MS" w:hAnsi="Arial Unicode MS" w:cs="Arial Unicode MS"/>
          <w:color w:val="auto"/>
          <w:u w:color="000000"/>
          <w:lang w:val="zh-TW" w:eastAsia="zh-TW"/>
        </w:rPr>
        <w:t>模块</w:t>
      </w:r>
    </w:p>
    <w:p w14:paraId="0931A75A">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交接和上线支持的装配和配置模块提供内容的装配和配置功能，但不包含其他应用、政务云等等相应的配置和装配功能。本功能将通过自动化的方式实现持续交付的功能，确保系统的快速配置和上线，同时也提供装配和配置的测试和版本管理。</w:t>
      </w:r>
    </w:p>
    <w:p w14:paraId="1162B04C">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是一个大型的协同式城市级的平台，提供相应的装配和配置模块完成对于容器微服务系统的装配和配置，如需要部署相应的城综2.1整体版本，需要在上述的功能通过相应的组件测试，发布，等等完成后，通过装配脚本和配置脚本（或代码）执行切换和上线。</w:t>
      </w:r>
    </w:p>
    <w:p w14:paraId="181B8300">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w:t>
      </w:r>
      <w:r>
        <w:rPr>
          <w:rFonts w:hint="eastAsia" w:ascii="Arial Unicode MS" w:hAnsi="Arial Unicode MS" w:cs="Arial Unicode MS"/>
          <w:color w:val="auto"/>
          <w:u w:color="000000"/>
          <w:lang w:val="zh-CN"/>
        </w:rPr>
        <w:t>运维支持</w:t>
      </w:r>
      <w:r>
        <w:rPr>
          <w:rFonts w:hint="eastAsia" w:ascii="Arial Unicode MS" w:hAnsi="Arial Unicode MS" w:cs="Arial Unicode MS"/>
          <w:color w:val="auto"/>
          <w:u w:color="000000"/>
          <w:lang w:val="zh-TW" w:eastAsia="zh-TW"/>
        </w:rPr>
        <w:t>支持的</w:t>
      </w:r>
      <w:r>
        <w:rPr>
          <w:rFonts w:hint="eastAsia" w:ascii="Arial Unicode MS" w:hAnsi="Arial Unicode MS" w:cs="Arial Unicode MS"/>
          <w:color w:val="auto"/>
          <w:u w:color="000000"/>
          <w:lang w:val="zh-CN"/>
        </w:rPr>
        <w:t>监控</w:t>
      </w:r>
      <w:r>
        <w:rPr>
          <w:rFonts w:hint="eastAsia" w:ascii="Arial Unicode MS" w:hAnsi="Arial Unicode MS" w:cs="Arial Unicode MS"/>
          <w:color w:val="auto"/>
          <w:u w:color="000000"/>
          <w:lang w:val="zh-TW" w:eastAsia="zh-TW"/>
        </w:rPr>
        <w:t>模块</w:t>
      </w:r>
    </w:p>
    <w:p w14:paraId="633E1A0B">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交接和上线支持的监控模块将负责微服务管理平台的监控，这个监控模块将采用基于指标的监控模式。该模块不包含政务云和现有硬件资源的监控和运维，也不包含每个应用模块的监控和运维。该监控的模式提供多维度数据模型、强大的查询语言、集成定制化的可视化、高效的数据存储、简易的运维、预防市的告警和多生态集成接口。实现高效的监控。对于运维所需的监控数据将统一汇聚到本功能中，保证实现监控的数据汇聚。</w:t>
      </w:r>
    </w:p>
    <w:p w14:paraId="31633D1A">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是一个新型的容器平台，监控将采用新型的基于时间序列的数据模式进行监控，监控或包含相应的应用组件监控和系统平台中云原生软件的监控，通过RESTful模式采集数据进入时间序列数据模型中，定义监控事件触发器，实现监控功能，通过查询语言汇总出各项监控指标，完成整体监控功能。</w:t>
      </w:r>
    </w:p>
    <w:p w14:paraId="7D0EE4E3">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w:t>
      </w:r>
      <w:r>
        <w:rPr>
          <w:rFonts w:hint="eastAsia" w:ascii="Arial Unicode MS" w:hAnsi="Arial Unicode MS" w:cs="Arial Unicode MS"/>
          <w:color w:val="auto"/>
          <w:u w:color="000000"/>
          <w:lang w:val="zh-CN"/>
        </w:rPr>
        <w:t>交接和上线</w:t>
      </w:r>
      <w:r>
        <w:rPr>
          <w:rFonts w:hint="eastAsia" w:ascii="Arial Unicode MS" w:hAnsi="Arial Unicode MS" w:cs="Arial Unicode MS"/>
          <w:color w:val="auto"/>
          <w:u w:color="000000"/>
          <w:lang w:val="zh-TW" w:eastAsia="zh-TW"/>
        </w:rPr>
        <w:t>支持的</w:t>
      </w:r>
      <w:r>
        <w:rPr>
          <w:rFonts w:hint="eastAsia" w:ascii="Arial Unicode MS" w:hAnsi="Arial Unicode MS" w:cs="Arial Unicode MS"/>
          <w:color w:val="auto"/>
          <w:u w:color="000000"/>
          <w:lang w:val="zh-CN"/>
        </w:rPr>
        <w:t>日志</w:t>
      </w:r>
      <w:r>
        <w:rPr>
          <w:rFonts w:hint="eastAsia" w:ascii="Arial Unicode MS" w:hAnsi="Arial Unicode MS" w:cs="Arial Unicode MS"/>
          <w:color w:val="auto"/>
          <w:u w:color="000000"/>
          <w:lang w:val="zh-TW" w:eastAsia="zh-TW"/>
        </w:rPr>
        <w:t>模块</w:t>
      </w:r>
    </w:p>
    <w:p w14:paraId="18C29D05">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交接和上线支持的日志模块将负责微服务管理平台的日志，这个日志模块将采用日志汇聚模式实现日志管理，支持日志的多租户，提供优质的查询语言快速实现日志查询，该日志模块支持城市综合服务管理平台中的微服务管理平台的日志存储，分析，管理功能。对于其他应用和其他软件的日志能够提供多租户的存储，但日志的管理、分析等等由各自应用开发商进行处理。对于运维所需的日志数据将统一汇聚到本功能中，保证实现日志统一平台基础。</w:t>
      </w:r>
    </w:p>
    <w:p w14:paraId="13FB8C24">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城市综合服务管理平台将部署一个日志容器在统一区域，通过流式模式实现所有的日志进入日志平台，在日志平台通过查询语言和工具实现查看，分析功能，保证理解所有的系统中发生的情况。</w:t>
      </w:r>
    </w:p>
    <w:p w14:paraId="7F377482">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w:t>
      </w:r>
      <w:r>
        <w:rPr>
          <w:rFonts w:hint="eastAsia" w:ascii="Arial Unicode MS" w:hAnsi="Arial Unicode MS" w:cs="Arial Unicode MS"/>
          <w:color w:val="auto"/>
          <w:u w:color="000000"/>
          <w:lang w:val="zh-CN"/>
        </w:rPr>
        <w:t>交接和上线</w:t>
      </w:r>
      <w:r>
        <w:rPr>
          <w:rFonts w:hint="eastAsia" w:ascii="Arial Unicode MS" w:hAnsi="Arial Unicode MS" w:cs="Arial Unicode MS"/>
          <w:color w:val="auto"/>
          <w:u w:color="000000"/>
          <w:lang w:val="zh-TW" w:eastAsia="zh-TW"/>
        </w:rPr>
        <w:t>支持的</w:t>
      </w:r>
      <w:r>
        <w:rPr>
          <w:rFonts w:hint="eastAsia" w:ascii="Arial Unicode MS" w:hAnsi="Arial Unicode MS" w:cs="Arial Unicode MS"/>
          <w:color w:val="auto"/>
          <w:u w:color="000000"/>
          <w:lang w:val="zh-CN"/>
        </w:rPr>
        <w:t>跟踪</w:t>
      </w:r>
      <w:r>
        <w:rPr>
          <w:rFonts w:hint="eastAsia" w:ascii="Arial Unicode MS" w:hAnsi="Arial Unicode MS" w:cs="Arial Unicode MS"/>
          <w:color w:val="auto"/>
          <w:u w:color="000000"/>
          <w:lang w:val="zh-TW" w:eastAsia="zh-TW"/>
        </w:rPr>
        <w:t>模块</w:t>
      </w:r>
    </w:p>
    <w:p w14:paraId="568E5F5B">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交接和上线支持的跟踪模块将提供分布式跟踪功能，但所有的跟踪实现目前项目中有总集领导下所有的供应商一起实现，本模块提供工具支持，使用和日常服务由应用开发商自己使用。对于运维中的分布式跟踪数据将统一汇聚到本功能中，保证实现分布式跟踪数据的汇聚。</w:t>
      </w:r>
    </w:p>
    <w:p w14:paraId="3197C5F3">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城市综合服务管理平台是一个微服务化的大型应用平台，通过跟踪模块完成全链路跟踪，确保系统中发生的事件能够通过该子功能完成系统的可观察性。</w:t>
      </w:r>
    </w:p>
    <w:p w14:paraId="3B04B3F7">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TW" w:eastAsia="zh-TW"/>
        </w:rPr>
        <w:t>微服务</w:t>
      </w:r>
      <w:r>
        <w:rPr>
          <w:rFonts w:hint="eastAsia" w:ascii="Arial Unicode MS" w:hAnsi="Arial Unicode MS" w:cs="Arial Unicode MS"/>
          <w:color w:val="auto"/>
          <w:u w:color="000000"/>
          <w:lang w:val="zh-CN"/>
        </w:rPr>
        <w:t>交接和上线</w:t>
      </w:r>
      <w:r>
        <w:rPr>
          <w:rFonts w:hint="eastAsia" w:ascii="Arial Unicode MS" w:hAnsi="Arial Unicode MS" w:cs="Arial Unicode MS"/>
          <w:color w:val="auto"/>
          <w:u w:color="000000"/>
          <w:lang w:val="zh-TW" w:eastAsia="zh-TW"/>
        </w:rPr>
        <w:t>支持的</w:t>
      </w:r>
      <w:r>
        <w:rPr>
          <w:rFonts w:hint="eastAsia" w:ascii="Arial Unicode MS" w:hAnsi="Arial Unicode MS" w:cs="Arial Unicode MS"/>
          <w:color w:val="auto"/>
          <w:u w:color="000000"/>
          <w:lang w:val="zh-CN"/>
        </w:rPr>
        <w:t>指标</w:t>
      </w:r>
      <w:r>
        <w:rPr>
          <w:rFonts w:hint="eastAsia" w:ascii="Arial Unicode MS" w:hAnsi="Arial Unicode MS" w:cs="Arial Unicode MS"/>
          <w:color w:val="auto"/>
          <w:u w:color="000000"/>
          <w:lang w:val="zh-TW" w:eastAsia="zh-TW"/>
        </w:rPr>
        <w:t>模块</w:t>
      </w:r>
    </w:p>
    <w:p w14:paraId="21BD080A">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微服务交接和上线支持的指标模块提供相应的工具、API和SDK，负责存储指标所需的数据，城市综合服务管理平台的指标实现由总集领导下各自负责自己交付内容的指标管理，数据统一汇聚到本指标模块中。</w:t>
      </w:r>
    </w:p>
    <w:p w14:paraId="78CC3D80">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将依赖于架构制定相应的各项组件对象的指标，通过监控、日志、跟踪采集所有系统中的数据，通过数据模型和查询语言，汇总成各个对象的指标，基于指标分析和运行中数据的了解，实现持续改进功能，实现运维管理服务的提升。</w:t>
      </w:r>
    </w:p>
    <w:p w14:paraId="41D2945F">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CN"/>
        </w:rPr>
        <w:t>共享</w:t>
      </w:r>
      <w:r>
        <w:rPr>
          <w:rFonts w:hint="eastAsia" w:ascii="Arial Unicode MS" w:hAnsi="Arial Unicode MS" w:cs="Arial Unicode MS"/>
          <w:color w:val="auto"/>
          <w:u w:color="000000"/>
          <w:lang w:val="zh-TW" w:eastAsia="zh-TW"/>
        </w:rPr>
        <w:t>认证服务模块</w:t>
      </w:r>
    </w:p>
    <w:p w14:paraId="1057695E">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共享认证服务模块提供运维城市综合服务管理平台的所有账户的认证和授权，该服务将依赖于政务云提供堡垒机进行安全审计，这个模块提供运维认证，保证实现身份认证管理。该模块将提供域账户模式，保证所有的账户在微服务管理平台管理节点和所有组主机上实现单点登录，一网通行。这个平台子功能支持OpenLDAP的协议，支持大量用户的管理和认证，又非常好的弹性，在随着运维用户数的增加和并发数的增加，能够支持快速地弹性扩展。</w:t>
      </w:r>
    </w:p>
    <w:p w14:paraId="22A24384">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市综合服务管理平台有用户使用的共享认证服务，由于微服务管理平台承接了城综的运行主体，非常重要，这个共享认证服务仅仅提供给所有系统相关内部人员使用（特别是运维人员）。单独和城综的共享服务分离，如需要进行城综事件主体数据库备份，就需要通过这个认证服务管理备份人员授权，进入微服务管理平台内部进行事件主体数据库备份。</w:t>
      </w:r>
    </w:p>
    <w:p w14:paraId="3EC395CE">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CN"/>
        </w:rPr>
        <w:t>共享</w:t>
      </w:r>
      <w:r>
        <w:rPr>
          <w:rFonts w:hint="eastAsia" w:ascii="Arial Unicode MS" w:hAnsi="Arial Unicode MS" w:cs="Arial Unicode MS"/>
          <w:color w:val="auto"/>
          <w:u w:color="000000"/>
          <w:lang w:val="zh-TW" w:eastAsia="zh-TW"/>
        </w:rPr>
        <w:t>密钥管理模块</w:t>
      </w:r>
    </w:p>
    <w:p w14:paraId="116DC2DA">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CN"/>
        </w:rPr>
        <w:t>共享密钥管理模块支持微服务管理平台中的所有账户的密钥管理，是一个基于先进容器技术和服务网格实现的自动化装配和集群系统，在服务网格中进行微服务应用的实现需要大量的安全通讯和安全访问，密钥管理模块管理各种类型的账户密钥，在动态和异构环境中进行安全识别，本模块保证系统中所有的网格通讯能够实现轻松可靠的相互验证。</w:t>
      </w:r>
    </w:p>
    <w:p w14:paraId="557B1991">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eastAsia="zh-TW"/>
        </w:rPr>
        <w:t>微服务、容器编排器和云计算等分布式设计模式和实践导致生产环境越来越动态和异构。传统的安全实践（例如只允许特定 IP 地址之间的流量的网络策略）难以在这种复杂性下扩展。组织中工作负载的一流身份框架变得必要。</w:t>
      </w:r>
      <w:r>
        <w:rPr>
          <w:rFonts w:hint="eastAsia" w:ascii="Times New Roman" w:hAnsi="Times New Roman" w:eastAsia="宋体" w:cs="Times New Roman"/>
          <w:color w:val="auto"/>
          <w:sz w:val="24"/>
          <w:szCs w:val="21"/>
          <w:lang w:val="zh-CN"/>
        </w:rPr>
        <w:t>另外</w:t>
      </w:r>
      <w:r>
        <w:rPr>
          <w:rFonts w:hint="eastAsia" w:ascii="Times New Roman" w:hAnsi="Times New Roman" w:eastAsia="宋体" w:cs="Times New Roman"/>
          <w:color w:val="auto"/>
          <w:sz w:val="24"/>
          <w:szCs w:val="21"/>
          <w:lang w:val="zh-TW" w:eastAsia="zh-TW"/>
        </w:rPr>
        <w:t>开发人员应该了解如何在生产环境中部署和管理应用程序并在其中发挥作用。</w:t>
      </w:r>
      <w:r>
        <w:rPr>
          <w:rFonts w:hint="eastAsia" w:ascii="Times New Roman" w:hAnsi="Times New Roman" w:eastAsia="宋体" w:cs="Times New Roman"/>
          <w:color w:val="auto"/>
          <w:sz w:val="24"/>
          <w:szCs w:val="21"/>
          <w:lang w:val="zh-CN"/>
        </w:rPr>
        <w:t>运维人员</w:t>
      </w:r>
      <w:r>
        <w:rPr>
          <w:rFonts w:hint="eastAsia" w:ascii="Times New Roman" w:hAnsi="Times New Roman" w:eastAsia="宋体" w:cs="Times New Roman"/>
          <w:color w:val="auto"/>
          <w:sz w:val="24"/>
          <w:szCs w:val="21"/>
          <w:lang w:val="zh-TW" w:eastAsia="zh-TW"/>
        </w:rPr>
        <w:t>需要更深入地了解他们正在管理的应用程序。随着我们转向更先进的安全立场，我们必须为两个</w:t>
      </w:r>
      <w:r>
        <w:rPr>
          <w:rFonts w:hint="eastAsia" w:ascii="Times New Roman" w:hAnsi="Times New Roman" w:eastAsia="宋体" w:cs="Times New Roman"/>
          <w:color w:val="auto"/>
          <w:sz w:val="24"/>
          <w:szCs w:val="21"/>
          <w:lang w:val="zh-CN"/>
        </w:rPr>
        <w:t>角色</w:t>
      </w:r>
      <w:r>
        <w:rPr>
          <w:rFonts w:hint="eastAsia" w:ascii="Times New Roman" w:hAnsi="Times New Roman" w:eastAsia="宋体" w:cs="Times New Roman"/>
          <w:color w:val="auto"/>
          <w:sz w:val="24"/>
          <w:szCs w:val="21"/>
          <w:lang w:val="zh-TW" w:eastAsia="zh-TW"/>
        </w:rPr>
        <w:t>提供更好的工具，以便他们能够在构建安全的分布式应用程序方面发挥积极作用。</w:t>
      </w:r>
      <w:r>
        <w:rPr>
          <w:rFonts w:hint="eastAsia" w:ascii="Times New Roman" w:hAnsi="Times New Roman" w:eastAsia="宋体" w:cs="Times New Roman"/>
          <w:color w:val="auto"/>
          <w:sz w:val="24"/>
          <w:szCs w:val="21"/>
          <w:lang w:val="zh-CN"/>
        </w:rPr>
        <w:t>本模块</w:t>
      </w:r>
      <w:r>
        <w:rPr>
          <w:rFonts w:hint="eastAsia" w:ascii="Times New Roman" w:hAnsi="Times New Roman" w:eastAsia="宋体" w:cs="Times New Roman"/>
          <w:color w:val="auto"/>
          <w:sz w:val="24"/>
          <w:szCs w:val="21"/>
          <w:lang w:val="zh-TW" w:eastAsia="zh-TW"/>
        </w:rPr>
        <w:t>能够跨异构环境和组织边界引导和向服务发布身份。这些规范的核心是定义短期加密身份文档的规范</w:t>
      </w:r>
      <w:r>
        <w:rPr>
          <w:rFonts w:ascii="Times New Roman" w:hAnsi="Times New Roman" w:eastAsia="宋体" w:cs="Times New Roman"/>
          <w:color w:val="auto"/>
          <w:sz w:val="24"/>
          <w:szCs w:val="21"/>
          <w:lang w:val="zh-TW" w:eastAsia="zh-TW"/>
        </w:rPr>
        <w:t>——</w:t>
      </w:r>
      <w:r>
        <w:rPr>
          <w:rFonts w:hint="eastAsia" w:ascii="Times New Roman" w:hAnsi="Times New Roman" w:eastAsia="宋体" w:cs="Times New Roman"/>
          <w:color w:val="auto"/>
          <w:sz w:val="24"/>
          <w:szCs w:val="21"/>
          <w:lang w:val="zh-TW" w:eastAsia="zh-TW"/>
        </w:rPr>
        <w:t>通过简单的 API 称为 SVID。然后，工作负载可以在向其他工作负载进行身份验证时使用这些身份文档，例如通过建立 TLS 连接或通过签署和验证 JWT 令牌</w:t>
      </w:r>
      <w:r>
        <w:rPr>
          <w:rFonts w:hint="eastAsia" w:ascii="Times New Roman" w:hAnsi="Times New Roman" w:eastAsia="宋体" w:cs="Times New Roman"/>
          <w:color w:val="auto"/>
          <w:sz w:val="24"/>
          <w:szCs w:val="21"/>
          <w:lang w:val="zh-CN"/>
        </w:rPr>
        <w:t>实现</w:t>
      </w:r>
      <w:r>
        <w:rPr>
          <w:rFonts w:hint="eastAsia" w:ascii="Times New Roman" w:hAnsi="Times New Roman" w:eastAsia="宋体" w:cs="Times New Roman"/>
          <w:color w:val="auto"/>
          <w:sz w:val="24"/>
          <w:szCs w:val="21"/>
          <w:lang w:val="zh-TW" w:eastAsia="zh-TW"/>
        </w:rPr>
        <w:t>。</w:t>
      </w:r>
    </w:p>
    <w:p w14:paraId="369BA0BF">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城综的认证是单点登录，所有不同的认证门户都将信任这个登录服务，便捷运维和其它内部人员使用。共享密钥服务将管理您的密码，实现单点登录。</w:t>
      </w:r>
    </w:p>
    <w:p w14:paraId="5172DBC7">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CN"/>
        </w:rPr>
        <w:t>共享</w:t>
      </w:r>
      <w:r>
        <w:rPr>
          <w:rFonts w:hint="eastAsia" w:ascii="Arial Unicode MS" w:hAnsi="Arial Unicode MS" w:cs="Arial Unicode MS"/>
          <w:color w:val="auto"/>
          <w:u w:color="000000"/>
          <w:lang w:val="zh-TW" w:eastAsia="zh-TW"/>
        </w:rPr>
        <w:t>缓存服务模块</w:t>
      </w:r>
    </w:p>
    <w:p w14:paraId="019DA351">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rPr>
        <w:t>共享</w:t>
      </w:r>
      <w:r>
        <w:rPr>
          <w:rFonts w:hint="eastAsia" w:ascii="Times New Roman" w:hAnsi="Times New Roman" w:eastAsia="宋体" w:cs="Times New Roman"/>
          <w:color w:val="auto"/>
          <w:sz w:val="24"/>
          <w:szCs w:val="21"/>
          <w:lang w:val="zh-CN"/>
        </w:rPr>
        <w:t>缓存服务模块支持微服务管理平台中所需的共享缓存服务器实现缓存服务，该缓存服务仅仅提供自用，任何应用所需的缓存服务将由总集和应用开发商单独搭建使用，保证系统安全和分区管理。该模块采用一个分布式，可靠的键值存储数据库实现分布式高可用的大量数据存储集群系统，能够实现通过多个节点和主机实现网络分区和集群实现。城市综合服务管理平台的微服务管理平台是一个高可用性的集群技术平台，所有的集群需要缓存服务提供状态存储，保证出现故障后能够自动实现保证系统可用，大型的缓存服务系统是一个关键保障，所以城市综合服务管理平台的微服务管理平台中的缓存服务和应用使用的缓存服务独立建设，保证安全和集群的可靠性，本缓存服务仅仅使用与微服务管理平台内部，其他应用和其他软件使用其他单独的缓存服务有各自开发商维护。</w:t>
      </w:r>
    </w:p>
    <w:p w14:paraId="11A21AB3">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为保证工具的性能，需要为需要性能要求的集群工具提供相应的缓存服务为微服务管理平台的工具使用，同样为了安全问题，本缓存服务和应用缓存服务分离，保证实现内部人员使用。</w:t>
      </w:r>
    </w:p>
    <w:p w14:paraId="7A001FDE">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CN"/>
        </w:rPr>
        <w:t>共享</w:t>
      </w:r>
      <w:r>
        <w:rPr>
          <w:rFonts w:hint="eastAsia" w:ascii="Arial Unicode MS" w:hAnsi="Arial Unicode MS" w:cs="Arial Unicode MS"/>
          <w:color w:val="auto"/>
          <w:u w:color="000000"/>
          <w:lang w:val="zh-TW" w:eastAsia="zh-TW"/>
        </w:rPr>
        <w:t>调度服务模块</w:t>
      </w:r>
    </w:p>
    <w:p w14:paraId="5F5581C6">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CN"/>
        </w:rPr>
        <w:t>共享调度服务模块负责管理工具的调度。在基于服务网格的微服务协同</w:t>
      </w:r>
      <w:r>
        <w:rPr>
          <w:rFonts w:hint="eastAsia" w:ascii="Times New Roman" w:hAnsi="Times New Roman" w:eastAsia="宋体" w:cs="Times New Roman"/>
          <w:color w:val="auto"/>
          <w:sz w:val="24"/>
          <w:szCs w:val="21"/>
        </w:rPr>
        <w:t>子系统</w:t>
      </w:r>
      <w:r>
        <w:rPr>
          <w:rFonts w:hint="eastAsia" w:ascii="Times New Roman" w:hAnsi="Times New Roman" w:eastAsia="宋体" w:cs="Times New Roman"/>
          <w:color w:val="auto"/>
          <w:sz w:val="24"/>
          <w:szCs w:val="21"/>
          <w:lang w:val="zh-CN"/>
        </w:rPr>
        <w:t>和基于先进容器技术的容器云子系统中都有相应的调度功能，提供所有微服务网格的调度，确保微服务网格有序的进行运转。容器云子系统提供微服务容器的调度，确保高可用性，容器的故障恢复，保证7*24*365的运行和可用。这个共享调度服务将负责所有微服务管理平台中非微服务协同子</w:t>
      </w:r>
      <w:r>
        <w:rPr>
          <w:rFonts w:hint="eastAsia" w:ascii="Times New Roman" w:hAnsi="Times New Roman" w:eastAsia="宋体" w:cs="Times New Roman"/>
          <w:color w:val="auto"/>
          <w:sz w:val="24"/>
          <w:szCs w:val="21"/>
        </w:rPr>
        <w:t>系统</w:t>
      </w:r>
      <w:r>
        <w:rPr>
          <w:rFonts w:hint="eastAsia" w:ascii="Times New Roman" w:hAnsi="Times New Roman" w:eastAsia="宋体" w:cs="Times New Roman"/>
          <w:color w:val="auto"/>
          <w:sz w:val="24"/>
          <w:szCs w:val="21"/>
          <w:lang w:val="zh-CN"/>
        </w:rPr>
        <w:t>和容器微服务系统的共享调度服务，目前项目中使用在所有的其他工具如敏捷流水线子</w:t>
      </w:r>
      <w:r>
        <w:rPr>
          <w:rFonts w:hint="eastAsia" w:ascii="Times New Roman" w:hAnsi="Times New Roman" w:eastAsia="宋体" w:cs="Times New Roman"/>
          <w:color w:val="auto"/>
          <w:sz w:val="24"/>
          <w:szCs w:val="21"/>
        </w:rPr>
        <w:t>系统</w:t>
      </w:r>
      <w:r>
        <w:rPr>
          <w:rFonts w:hint="eastAsia" w:ascii="Times New Roman" w:hAnsi="Times New Roman" w:eastAsia="宋体" w:cs="Times New Roman"/>
          <w:color w:val="auto"/>
          <w:sz w:val="24"/>
          <w:szCs w:val="21"/>
          <w:lang w:val="zh-CN"/>
        </w:rPr>
        <w:t>工具，运维工具等等提供相应的调度服务保证按需求自动化执行。</w:t>
      </w:r>
    </w:p>
    <w:p w14:paraId="105E3126">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城综为保证工具性能，将提供相应的集群共享调度服务支持工具性能。同样分离应用调度，保证内部人员安全使用。</w:t>
      </w:r>
    </w:p>
    <w:p w14:paraId="1D3B8089">
      <w:pPr>
        <w:pStyle w:val="6"/>
        <w:spacing w:line="240" w:lineRule="auto"/>
        <w:rPr>
          <w:rFonts w:ascii="Arial Unicode MS" w:hAnsi="Arial Unicode MS" w:cs="Arial Unicode MS"/>
          <w:color w:val="auto"/>
          <w:u w:color="000000"/>
          <w:lang w:val="zh-TW" w:eastAsia="zh-TW"/>
        </w:rPr>
      </w:pPr>
      <w:r>
        <w:rPr>
          <w:rFonts w:hint="eastAsia" w:ascii="Arial Unicode MS" w:hAnsi="Arial Unicode MS" w:cs="Arial Unicode MS"/>
          <w:color w:val="auto"/>
          <w:u w:color="000000"/>
          <w:lang w:val="zh-CN"/>
        </w:rPr>
        <w:t>其它标准共享</w:t>
      </w:r>
      <w:r>
        <w:rPr>
          <w:rFonts w:hint="eastAsia" w:ascii="Arial Unicode MS" w:hAnsi="Arial Unicode MS" w:cs="Arial Unicode MS"/>
          <w:color w:val="auto"/>
          <w:u w:color="000000"/>
          <w:lang w:val="zh-TW"/>
        </w:rPr>
        <w:t>知识图谱和人工智能自动化</w:t>
      </w:r>
      <w:r>
        <w:rPr>
          <w:rFonts w:hint="eastAsia" w:ascii="Arial Unicode MS" w:hAnsi="Arial Unicode MS" w:cs="Arial Unicode MS"/>
          <w:color w:val="auto"/>
          <w:u w:color="000000"/>
          <w:lang w:val="zh-TW" w:eastAsia="zh-TW"/>
        </w:rPr>
        <w:t>模块</w:t>
      </w:r>
    </w:p>
    <w:p w14:paraId="277C91AC">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TW"/>
        </w:rPr>
        <w:t>知识图谱和人工智能自动化系统</w:t>
      </w:r>
      <w:r>
        <w:rPr>
          <w:rFonts w:hint="eastAsia" w:ascii="Times New Roman" w:hAnsi="Times New Roman" w:eastAsia="宋体" w:cs="Times New Roman"/>
          <w:color w:val="auto"/>
          <w:sz w:val="24"/>
          <w:szCs w:val="21"/>
          <w:lang w:val="zh-TW" w:eastAsia="zh-TW"/>
        </w:rPr>
        <w:t>的</w:t>
      </w:r>
      <w:r>
        <w:rPr>
          <w:rFonts w:hint="eastAsia" w:ascii="Times New Roman" w:hAnsi="Times New Roman" w:eastAsia="宋体" w:cs="Times New Roman"/>
          <w:color w:val="auto"/>
          <w:sz w:val="24"/>
          <w:szCs w:val="21"/>
          <w:lang w:val="zh-CN"/>
        </w:rPr>
        <w:t>其它标准共享知识图谱和人工智能自动化模块还包含了知识图谱和人工智能自动化系统功能，在一个自动化成熟越来越高容器化的微服务管理平台中，需要知识图谱和AI功能提供相应人工智能运营的功能，通过对于系统的人工智能分析形成城市综合服务管理平台特性的敏捷运维知识，存放在相应知识图谱中，支持故障隔离、故障发现、故障自愈等等进化知识点，这是一个完整的共享服务。</w:t>
      </w:r>
    </w:p>
    <w:p w14:paraId="229F7702">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共享</w:t>
      </w:r>
      <w:r>
        <w:rPr>
          <w:rFonts w:hint="eastAsia" w:ascii="Times New Roman" w:hAnsi="Times New Roman" w:eastAsia="宋体" w:cs="Times New Roman"/>
          <w:color w:val="auto"/>
          <w:sz w:val="24"/>
          <w:szCs w:val="21"/>
          <w:lang w:val="zh-TW" w:eastAsia="zh-TW"/>
        </w:rPr>
        <w:t>知识图谱和</w:t>
      </w:r>
      <w:r>
        <w:rPr>
          <w:rFonts w:hint="eastAsia" w:ascii="Times New Roman" w:hAnsi="Times New Roman" w:eastAsia="宋体" w:cs="Times New Roman"/>
          <w:color w:val="auto"/>
          <w:sz w:val="24"/>
          <w:szCs w:val="21"/>
          <w:lang w:val="zh-CN"/>
        </w:rPr>
        <w:t>人工智能</w:t>
      </w:r>
      <w:r>
        <w:rPr>
          <w:rFonts w:hint="eastAsia" w:ascii="Times New Roman" w:hAnsi="Times New Roman" w:eastAsia="宋体" w:cs="Times New Roman"/>
          <w:color w:val="auto"/>
          <w:sz w:val="24"/>
          <w:szCs w:val="21"/>
          <w:lang w:val="zh-TW" w:eastAsia="zh-TW"/>
        </w:rPr>
        <w:t>自动化模块还包含了下列</w:t>
      </w:r>
      <w:r>
        <w:rPr>
          <w:rFonts w:hint="eastAsia" w:ascii="Times New Roman" w:hAnsi="Times New Roman" w:eastAsia="宋体" w:cs="Times New Roman"/>
          <w:color w:val="auto"/>
          <w:sz w:val="24"/>
          <w:szCs w:val="21"/>
          <w:lang w:val="zh-CN"/>
        </w:rPr>
        <w:t>具体子</w:t>
      </w:r>
      <w:r>
        <w:rPr>
          <w:rFonts w:hint="eastAsia" w:ascii="Times New Roman" w:hAnsi="Times New Roman" w:eastAsia="宋体" w:cs="Times New Roman"/>
          <w:color w:val="auto"/>
          <w:sz w:val="24"/>
          <w:szCs w:val="21"/>
          <w:lang w:val="zh-TW" w:eastAsia="zh-TW"/>
        </w:rPr>
        <w:t>功能：信息自动获取与分析系统；研究类文本加工处理系统；研究类文本交互式翻译与自动摘要系统；信息个性化展示与分析系统；自动简报生成和推荐系统。该模块只提供共享功能。</w:t>
      </w:r>
    </w:p>
    <w:p w14:paraId="2A4B8C32">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信息自动获取与分析系统的功能支持多种爬虫（普通爬虫、主题爬虫和定制爬虫）通过已有运维领域知识库进行铺主定位和分析，实现人工智能运营功能。</w:t>
      </w:r>
    </w:p>
    <w:p w14:paraId="589A0135">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研究类文本加工处理系统的功能对于不同格式文件自动导入通过知识图谱、智慧树、张量计算进行加工和学习，通过NLP的算法（支持国内外NLP算法集成），对于文本挖掘中采用行文结构提取与修改，形成知识图谱的树状知识点，实现监督学习的功能。主动学习相应故障解决等等运维中通过最佳实践的提炼的知识点，实现人工智能运营。</w:t>
      </w:r>
    </w:p>
    <w:p w14:paraId="4B1A339D">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研究类文本交互式翻译与自动摘要系统的功能通过定位命中、映射概念</w:t>
      </w:r>
      <w:r>
        <w:rPr>
          <w:rFonts w:hint="eastAsia" w:ascii="Times New Roman" w:hAnsi="Times New Roman" w:eastAsia="宋体" w:cs="Times New Roman"/>
          <w:color w:val="auto"/>
          <w:sz w:val="24"/>
          <w:szCs w:val="21"/>
          <w:lang w:val="zh-TW" w:eastAsia="zh-TW"/>
        </w:rPr>
        <w:t>簇</w:t>
      </w:r>
      <w:r>
        <w:rPr>
          <w:rFonts w:hint="eastAsia" w:ascii="Times New Roman" w:hAnsi="Times New Roman" w:eastAsia="宋体" w:cs="Times New Roman"/>
          <w:color w:val="auto"/>
          <w:sz w:val="24"/>
          <w:szCs w:val="21"/>
          <w:lang w:val="zh-CN"/>
        </w:rPr>
        <w:t>、序列化热点的方法对于数据的摘要采用多维模型和切面形成节点，保证对于人工智能运营的知识图谱的知识点正确形成和自动化实现。</w:t>
      </w:r>
    </w:p>
    <w:p w14:paraId="71B759EC">
      <w:pPr>
        <w:ind w:firstLine="480" w:firstLineChars="200"/>
        <w:rPr>
          <w:rFonts w:ascii="Times New Roman" w:hAnsi="Times New Roman" w:eastAsia="宋体" w:cs="Times New Roman"/>
          <w:color w:val="auto"/>
          <w:sz w:val="24"/>
          <w:szCs w:val="21"/>
          <w:lang w:val="zh-TW" w:eastAsia="zh-TW"/>
        </w:rPr>
      </w:pPr>
      <w:r>
        <w:rPr>
          <w:rFonts w:hint="eastAsia" w:ascii="Times New Roman" w:hAnsi="Times New Roman" w:eastAsia="宋体" w:cs="Times New Roman"/>
          <w:color w:val="auto"/>
          <w:sz w:val="24"/>
          <w:szCs w:val="21"/>
          <w:lang w:val="zh-CN"/>
        </w:rPr>
        <w:t>信息个性化展示与分析系统的功能有资源检索、资源个性化展示、快照及原文连接查看和可视化分析组成，辅助运维专家和运维工程师通过人工智能运营的新型基于知识图谱的知识库系统提供辅助类的专家诊断和自动化恢复。</w:t>
      </w:r>
    </w:p>
    <w:p w14:paraId="4D58FBFB">
      <w:pPr>
        <w:ind w:firstLine="480"/>
        <w:rPr>
          <w:rFonts w:ascii="Times New Roman" w:hAnsi="Times New Roman" w:eastAsia="宋体" w:cs="Times New Roman"/>
          <w:color w:val="auto"/>
          <w:sz w:val="24"/>
          <w:szCs w:val="21"/>
          <w:lang w:val="zh-CN"/>
        </w:rPr>
      </w:pPr>
      <w:r>
        <w:rPr>
          <w:rFonts w:hint="eastAsia" w:ascii="Times New Roman" w:hAnsi="Times New Roman" w:eastAsia="宋体" w:cs="Times New Roman"/>
          <w:color w:val="auto"/>
          <w:sz w:val="24"/>
          <w:szCs w:val="21"/>
          <w:lang w:val="zh-CN"/>
        </w:rPr>
        <w:t>自动简报生成和推荐系统的功能提供自动简报、简报推送、简报定制、规则模块管理和系统管理组成，形成支持人工智能运营的知识图谱的知识库系统和自动化系统实现。</w:t>
      </w:r>
    </w:p>
    <w:p w14:paraId="61FDD2CB">
      <w:pPr>
        <w:pStyle w:val="41"/>
        <w:rPr>
          <w:rFonts w:hAnsi="Times New Roman" w:cs="Times New Roman"/>
          <w:color w:val="auto"/>
          <w:sz w:val="24"/>
          <w:szCs w:val="21"/>
          <w:lang w:val="zh-CN"/>
        </w:rPr>
      </w:pPr>
    </w:p>
    <w:p w14:paraId="0F65CBF7">
      <w:pPr>
        <w:rPr>
          <w:color w:val="auto"/>
        </w:rPr>
        <w:sectPr>
          <w:footerReference r:id="rId5" w:type="default"/>
          <w:pgSz w:w="11900" w:h="16840"/>
          <w:pgMar w:top="1440" w:right="1800" w:bottom="1440" w:left="1800" w:header="1060" w:footer="992" w:gutter="0"/>
          <w:pgNumType w:start="1"/>
          <w:cols w:space="720" w:num="1"/>
        </w:sectPr>
      </w:pPr>
    </w:p>
    <w:bookmarkEnd w:id="109"/>
    <w:bookmarkEnd w:id="110"/>
    <w:bookmarkEnd w:id="111"/>
    <w:bookmarkEnd w:id="112"/>
    <w:bookmarkEnd w:id="113"/>
    <w:bookmarkEnd w:id="114"/>
    <w:bookmarkEnd w:id="115"/>
    <w:p w14:paraId="189887C0">
      <w:pPr>
        <w:keepNext/>
        <w:keepLines/>
        <w:numPr>
          <w:ilvl w:val="2"/>
          <w:numId w:val="1"/>
        </w:numPr>
        <w:ind w:firstLine="200"/>
        <w:contextualSpacing/>
        <w:jc w:val="left"/>
        <w:outlineLvl w:val="2"/>
        <w:rPr>
          <w:rFonts w:ascii="宋体" w:hAnsi="宋体" w:eastAsia="宋体" w:cs="宋体"/>
          <w:color w:val="auto"/>
          <w:sz w:val="28"/>
          <w:szCs w:val="28"/>
        </w:rPr>
      </w:pPr>
      <w:r>
        <w:rPr>
          <w:rFonts w:hint="eastAsia" w:ascii="宋体" w:hAnsi="宋体" w:eastAsia="宋体" w:cs="宋体"/>
          <w:color w:val="auto"/>
          <w:sz w:val="28"/>
          <w:szCs w:val="28"/>
        </w:rPr>
        <w:t>硬件支撑环境建设</w:t>
      </w:r>
    </w:p>
    <w:tbl>
      <w:tblPr>
        <w:tblStyle w:val="30"/>
        <w:tblW w:w="83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882"/>
        <w:gridCol w:w="3259"/>
        <w:gridCol w:w="627"/>
        <w:gridCol w:w="777"/>
        <w:gridCol w:w="1105"/>
      </w:tblGrid>
      <w:tr w14:paraId="506C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blHeader/>
        </w:trPr>
        <w:tc>
          <w:tcPr>
            <w:tcW w:w="694" w:type="dxa"/>
            <w:shd w:val="clear" w:color="000000" w:fill="BFBFBF"/>
            <w:vAlign w:val="center"/>
          </w:tcPr>
          <w:p w14:paraId="6285E407">
            <w:pPr>
              <w:widowControl/>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编号</w:t>
            </w:r>
          </w:p>
        </w:tc>
        <w:tc>
          <w:tcPr>
            <w:tcW w:w="1882" w:type="dxa"/>
            <w:shd w:val="clear" w:color="000000" w:fill="BFBFBF"/>
            <w:vAlign w:val="center"/>
          </w:tcPr>
          <w:p w14:paraId="31BA2973">
            <w:pPr>
              <w:widowControl/>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项目名称</w:t>
            </w:r>
          </w:p>
        </w:tc>
        <w:tc>
          <w:tcPr>
            <w:tcW w:w="3259" w:type="dxa"/>
            <w:shd w:val="clear" w:color="000000" w:fill="BFBFBF"/>
            <w:vAlign w:val="center"/>
          </w:tcPr>
          <w:p w14:paraId="755BB861">
            <w:pPr>
              <w:widowControl/>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说明</w:t>
            </w:r>
          </w:p>
        </w:tc>
        <w:tc>
          <w:tcPr>
            <w:tcW w:w="627" w:type="dxa"/>
            <w:shd w:val="clear" w:color="000000" w:fill="BFBFBF"/>
            <w:vAlign w:val="center"/>
          </w:tcPr>
          <w:p w14:paraId="5E49B116">
            <w:pPr>
              <w:widowControl/>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单位</w:t>
            </w:r>
          </w:p>
        </w:tc>
        <w:tc>
          <w:tcPr>
            <w:tcW w:w="777" w:type="dxa"/>
            <w:shd w:val="clear" w:color="000000" w:fill="BFBFBF"/>
            <w:vAlign w:val="center"/>
          </w:tcPr>
          <w:p w14:paraId="69ED82CD">
            <w:pPr>
              <w:widowControl/>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数量</w:t>
            </w:r>
          </w:p>
        </w:tc>
        <w:tc>
          <w:tcPr>
            <w:tcW w:w="1105" w:type="dxa"/>
            <w:shd w:val="clear" w:color="000000" w:fill="BFBFBF"/>
            <w:vAlign w:val="center"/>
          </w:tcPr>
          <w:p w14:paraId="54C43D59">
            <w:pPr>
              <w:widowControl/>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备注</w:t>
            </w:r>
          </w:p>
        </w:tc>
      </w:tr>
      <w:tr w14:paraId="5EC2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694" w:type="dxa"/>
            <w:shd w:val="clear" w:color="auto" w:fill="auto"/>
            <w:vAlign w:val="center"/>
          </w:tcPr>
          <w:p w14:paraId="15E83F90">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一</w:t>
            </w:r>
          </w:p>
        </w:tc>
        <w:tc>
          <w:tcPr>
            <w:tcW w:w="1882" w:type="dxa"/>
            <w:shd w:val="clear" w:color="auto" w:fill="auto"/>
            <w:vAlign w:val="center"/>
          </w:tcPr>
          <w:p w14:paraId="113FB24D">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网络系统</w:t>
            </w:r>
          </w:p>
        </w:tc>
        <w:tc>
          <w:tcPr>
            <w:tcW w:w="3259" w:type="dxa"/>
            <w:shd w:val="clear" w:color="auto" w:fill="auto"/>
            <w:vAlign w:val="center"/>
          </w:tcPr>
          <w:p w14:paraId="21A7A8BC">
            <w:pPr>
              <w:widowControl/>
              <w:rPr>
                <w:rFonts w:ascii="宋体" w:hAnsi="宋体" w:eastAsia="宋体" w:cs="宋体"/>
                <w:color w:val="auto"/>
                <w:kern w:val="0"/>
                <w:sz w:val="20"/>
                <w:szCs w:val="20"/>
              </w:rPr>
            </w:pPr>
            <w:r>
              <w:rPr>
                <w:rFonts w:hint="eastAsia" w:ascii="宋体" w:hAnsi="宋体" w:eastAsia="宋体" w:cs="宋体"/>
                <w:color w:val="auto"/>
                <w:kern w:val="0"/>
                <w:sz w:val="20"/>
                <w:szCs w:val="20"/>
              </w:rPr>
              <w:t>政务云平台提供</w:t>
            </w:r>
          </w:p>
        </w:tc>
        <w:tc>
          <w:tcPr>
            <w:tcW w:w="627" w:type="dxa"/>
            <w:shd w:val="clear" w:color="auto" w:fill="auto"/>
            <w:vAlign w:val="center"/>
          </w:tcPr>
          <w:p w14:paraId="46BDEFD4">
            <w:pPr>
              <w:widowControl/>
              <w:jc w:val="center"/>
              <w:rPr>
                <w:rFonts w:ascii="宋体" w:hAnsi="宋体" w:eastAsia="宋体" w:cs="宋体"/>
                <w:color w:val="auto"/>
                <w:kern w:val="0"/>
                <w:sz w:val="20"/>
                <w:szCs w:val="20"/>
              </w:rPr>
            </w:pPr>
          </w:p>
        </w:tc>
        <w:tc>
          <w:tcPr>
            <w:tcW w:w="777" w:type="dxa"/>
            <w:shd w:val="clear" w:color="auto" w:fill="auto"/>
            <w:vAlign w:val="center"/>
          </w:tcPr>
          <w:p w14:paraId="3199BAE9">
            <w:pPr>
              <w:widowControl/>
              <w:jc w:val="center"/>
              <w:rPr>
                <w:rFonts w:ascii="宋体" w:hAnsi="宋体" w:eastAsia="宋体" w:cs="宋体"/>
                <w:color w:val="auto"/>
                <w:kern w:val="0"/>
                <w:sz w:val="20"/>
                <w:szCs w:val="20"/>
              </w:rPr>
            </w:pPr>
          </w:p>
        </w:tc>
        <w:tc>
          <w:tcPr>
            <w:tcW w:w="1105" w:type="dxa"/>
            <w:shd w:val="clear" w:color="auto" w:fill="auto"/>
            <w:vAlign w:val="center"/>
          </w:tcPr>
          <w:p w14:paraId="3D0BB98E">
            <w:pPr>
              <w:widowControl/>
              <w:jc w:val="center"/>
              <w:rPr>
                <w:rFonts w:ascii="宋体" w:hAnsi="宋体" w:eastAsia="宋体" w:cs="宋体"/>
                <w:color w:val="auto"/>
                <w:kern w:val="0"/>
                <w:sz w:val="20"/>
                <w:szCs w:val="20"/>
              </w:rPr>
            </w:pPr>
          </w:p>
        </w:tc>
      </w:tr>
      <w:tr w14:paraId="6BF6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694" w:type="dxa"/>
            <w:shd w:val="clear" w:color="auto" w:fill="auto"/>
            <w:vAlign w:val="center"/>
          </w:tcPr>
          <w:p w14:paraId="3D3A4D0A">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二</w:t>
            </w:r>
          </w:p>
        </w:tc>
        <w:tc>
          <w:tcPr>
            <w:tcW w:w="1882" w:type="dxa"/>
            <w:shd w:val="clear" w:color="auto" w:fill="auto"/>
            <w:vAlign w:val="center"/>
          </w:tcPr>
          <w:p w14:paraId="6C70538A">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主机系统</w:t>
            </w:r>
          </w:p>
        </w:tc>
        <w:tc>
          <w:tcPr>
            <w:tcW w:w="3259" w:type="dxa"/>
            <w:shd w:val="clear" w:color="auto" w:fill="auto"/>
            <w:vAlign w:val="center"/>
          </w:tcPr>
          <w:p w14:paraId="4E5D9BAD">
            <w:pPr>
              <w:widowControl/>
              <w:rPr>
                <w:rFonts w:ascii="宋体" w:hAnsi="宋体" w:eastAsia="宋体" w:cs="宋体"/>
                <w:color w:val="auto"/>
                <w:kern w:val="0"/>
                <w:sz w:val="20"/>
                <w:szCs w:val="20"/>
              </w:rPr>
            </w:pPr>
          </w:p>
        </w:tc>
        <w:tc>
          <w:tcPr>
            <w:tcW w:w="627" w:type="dxa"/>
            <w:shd w:val="clear" w:color="auto" w:fill="auto"/>
            <w:vAlign w:val="center"/>
          </w:tcPr>
          <w:p w14:paraId="4D571A84">
            <w:pPr>
              <w:widowControl/>
              <w:jc w:val="center"/>
              <w:rPr>
                <w:rFonts w:ascii="宋体" w:hAnsi="宋体" w:eastAsia="宋体" w:cs="宋体"/>
                <w:color w:val="auto"/>
                <w:kern w:val="0"/>
                <w:sz w:val="20"/>
                <w:szCs w:val="20"/>
              </w:rPr>
            </w:pPr>
          </w:p>
        </w:tc>
        <w:tc>
          <w:tcPr>
            <w:tcW w:w="777" w:type="dxa"/>
            <w:shd w:val="clear" w:color="auto" w:fill="auto"/>
            <w:vAlign w:val="center"/>
          </w:tcPr>
          <w:p w14:paraId="30D3C3D7">
            <w:pPr>
              <w:widowControl/>
              <w:jc w:val="center"/>
              <w:rPr>
                <w:rFonts w:ascii="宋体" w:hAnsi="宋体" w:eastAsia="宋体" w:cs="宋体"/>
                <w:color w:val="auto"/>
                <w:kern w:val="0"/>
                <w:sz w:val="20"/>
                <w:szCs w:val="20"/>
              </w:rPr>
            </w:pPr>
          </w:p>
        </w:tc>
        <w:tc>
          <w:tcPr>
            <w:tcW w:w="1105" w:type="dxa"/>
            <w:shd w:val="clear" w:color="auto" w:fill="auto"/>
            <w:vAlign w:val="center"/>
          </w:tcPr>
          <w:p w14:paraId="59E24341">
            <w:pPr>
              <w:widowControl/>
              <w:jc w:val="center"/>
              <w:rPr>
                <w:rFonts w:ascii="宋体" w:hAnsi="宋体" w:eastAsia="宋体" w:cs="宋体"/>
                <w:color w:val="auto"/>
                <w:kern w:val="0"/>
                <w:sz w:val="20"/>
                <w:szCs w:val="20"/>
              </w:rPr>
            </w:pPr>
          </w:p>
        </w:tc>
      </w:tr>
      <w:tr w14:paraId="3820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694" w:type="dxa"/>
            <w:shd w:val="clear" w:color="auto" w:fill="auto"/>
            <w:vAlign w:val="center"/>
          </w:tcPr>
          <w:p w14:paraId="0541FCB6">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1882" w:type="dxa"/>
            <w:shd w:val="clear" w:color="auto" w:fill="auto"/>
            <w:vAlign w:val="center"/>
          </w:tcPr>
          <w:p w14:paraId="50A39DE2">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政务信息网虚拟机</w:t>
            </w:r>
          </w:p>
        </w:tc>
        <w:tc>
          <w:tcPr>
            <w:tcW w:w="3259" w:type="dxa"/>
            <w:shd w:val="clear" w:color="auto" w:fill="auto"/>
            <w:vAlign w:val="center"/>
          </w:tcPr>
          <w:p w14:paraId="5D3BF95D">
            <w:pPr>
              <w:widowControl/>
              <w:rPr>
                <w:rFonts w:ascii="宋体" w:hAnsi="宋体" w:eastAsia="宋体" w:cs="宋体"/>
                <w:color w:val="auto"/>
                <w:kern w:val="0"/>
                <w:sz w:val="20"/>
                <w:szCs w:val="20"/>
              </w:rPr>
            </w:pPr>
            <w:r>
              <w:rPr>
                <w:rFonts w:hint="eastAsia" w:ascii="宋体" w:hAnsi="宋体" w:eastAsia="宋体" w:cs="宋体"/>
                <w:color w:val="auto"/>
                <w:kern w:val="0"/>
                <w:sz w:val="20"/>
                <w:szCs w:val="20"/>
              </w:rPr>
              <w:t>政务信息网云平台提供</w:t>
            </w:r>
          </w:p>
        </w:tc>
        <w:tc>
          <w:tcPr>
            <w:tcW w:w="627" w:type="dxa"/>
            <w:shd w:val="clear" w:color="auto" w:fill="auto"/>
            <w:vAlign w:val="center"/>
          </w:tcPr>
          <w:p w14:paraId="0382ACD2">
            <w:pPr>
              <w:widowControl/>
              <w:jc w:val="center"/>
              <w:rPr>
                <w:rFonts w:ascii="宋体" w:hAnsi="宋体" w:eastAsia="宋体" w:cs="宋体"/>
                <w:color w:val="auto"/>
                <w:kern w:val="0"/>
                <w:sz w:val="20"/>
                <w:szCs w:val="20"/>
              </w:rPr>
            </w:pPr>
          </w:p>
        </w:tc>
        <w:tc>
          <w:tcPr>
            <w:tcW w:w="777" w:type="dxa"/>
            <w:shd w:val="clear" w:color="auto" w:fill="auto"/>
            <w:vAlign w:val="center"/>
          </w:tcPr>
          <w:p w14:paraId="3C40385E">
            <w:pPr>
              <w:widowControl/>
              <w:jc w:val="center"/>
              <w:rPr>
                <w:rFonts w:ascii="宋体" w:hAnsi="宋体" w:eastAsia="宋体" w:cs="宋体"/>
                <w:color w:val="auto"/>
                <w:kern w:val="0"/>
                <w:sz w:val="20"/>
                <w:szCs w:val="20"/>
              </w:rPr>
            </w:pPr>
          </w:p>
        </w:tc>
        <w:tc>
          <w:tcPr>
            <w:tcW w:w="1105" w:type="dxa"/>
            <w:shd w:val="clear" w:color="auto" w:fill="auto"/>
            <w:vAlign w:val="center"/>
          </w:tcPr>
          <w:p w14:paraId="7C393B79">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利旧</w:t>
            </w:r>
          </w:p>
        </w:tc>
      </w:tr>
      <w:tr w14:paraId="4D1F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94" w:type="dxa"/>
            <w:shd w:val="clear" w:color="auto" w:fill="auto"/>
            <w:vAlign w:val="center"/>
          </w:tcPr>
          <w:p w14:paraId="496ACD92">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1882" w:type="dxa"/>
            <w:shd w:val="clear" w:color="auto" w:fill="auto"/>
            <w:vAlign w:val="center"/>
          </w:tcPr>
          <w:p w14:paraId="1274A08B">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政务外网公用网络区虚拟机</w:t>
            </w:r>
          </w:p>
        </w:tc>
        <w:tc>
          <w:tcPr>
            <w:tcW w:w="3259" w:type="dxa"/>
            <w:shd w:val="clear" w:color="auto" w:fill="auto"/>
            <w:vAlign w:val="center"/>
          </w:tcPr>
          <w:p w14:paraId="271ADB94">
            <w:pPr>
              <w:widowControl/>
              <w:rPr>
                <w:rFonts w:ascii="宋体" w:hAnsi="宋体" w:eastAsia="宋体" w:cs="宋体"/>
                <w:color w:val="auto"/>
                <w:kern w:val="0"/>
                <w:sz w:val="20"/>
                <w:szCs w:val="20"/>
              </w:rPr>
            </w:pPr>
            <w:r>
              <w:rPr>
                <w:rFonts w:hint="eastAsia" w:ascii="宋体" w:hAnsi="宋体" w:eastAsia="宋体" w:cs="宋体"/>
                <w:color w:val="auto"/>
                <w:kern w:val="0"/>
                <w:sz w:val="20"/>
                <w:szCs w:val="20"/>
              </w:rPr>
              <w:t>政务外网云平台提供</w:t>
            </w:r>
          </w:p>
        </w:tc>
        <w:tc>
          <w:tcPr>
            <w:tcW w:w="627" w:type="dxa"/>
            <w:shd w:val="clear" w:color="auto" w:fill="auto"/>
            <w:vAlign w:val="center"/>
          </w:tcPr>
          <w:p w14:paraId="423E2770">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777" w:type="dxa"/>
            <w:shd w:val="clear" w:color="auto" w:fill="auto"/>
            <w:vAlign w:val="center"/>
          </w:tcPr>
          <w:p w14:paraId="2B796A14">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1105" w:type="dxa"/>
            <w:shd w:val="clear" w:color="auto" w:fill="auto"/>
            <w:vAlign w:val="center"/>
          </w:tcPr>
          <w:p w14:paraId="4E03EB1A">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新增1台，其余利旧</w:t>
            </w:r>
          </w:p>
        </w:tc>
      </w:tr>
      <w:tr w14:paraId="4584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94" w:type="dxa"/>
            <w:shd w:val="clear" w:color="auto" w:fill="auto"/>
            <w:vAlign w:val="center"/>
          </w:tcPr>
          <w:p w14:paraId="532FC31C">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1882" w:type="dxa"/>
            <w:shd w:val="clear" w:color="auto" w:fill="auto"/>
            <w:vAlign w:val="center"/>
          </w:tcPr>
          <w:p w14:paraId="0B665377">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政务外网互联网接入区虚拟机</w:t>
            </w:r>
          </w:p>
        </w:tc>
        <w:tc>
          <w:tcPr>
            <w:tcW w:w="3259" w:type="dxa"/>
            <w:shd w:val="clear" w:color="auto" w:fill="auto"/>
            <w:vAlign w:val="center"/>
          </w:tcPr>
          <w:p w14:paraId="39BF0260">
            <w:pPr>
              <w:widowControl/>
              <w:rPr>
                <w:rFonts w:ascii="宋体" w:hAnsi="宋体" w:eastAsia="宋体" w:cs="宋体"/>
                <w:color w:val="auto"/>
                <w:kern w:val="0"/>
                <w:sz w:val="20"/>
                <w:szCs w:val="20"/>
              </w:rPr>
            </w:pPr>
            <w:r>
              <w:rPr>
                <w:rFonts w:hint="eastAsia" w:ascii="宋体" w:hAnsi="宋体" w:eastAsia="宋体" w:cs="宋体"/>
                <w:color w:val="auto"/>
                <w:kern w:val="0"/>
                <w:sz w:val="20"/>
                <w:szCs w:val="20"/>
              </w:rPr>
              <w:t>政务外网云平台提供</w:t>
            </w:r>
          </w:p>
        </w:tc>
        <w:tc>
          <w:tcPr>
            <w:tcW w:w="627" w:type="dxa"/>
            <w:shd w:val="clear" w:color="auto" w:fill="auto"/>
            <w:vAlign w:val="center"/>
          </w:tcPr>
          <w:p w14:paraId="38FD965F">
            <w:pPr>
              <w:widowControl/>
              <w:jc w:val="center"/>
              <w:rPr>
                <w:rFonts w:ascii="宋体" w:hAnsi="宋体" w:eastAsia="宋体" w:cs="宋体"/>
                <w:color w:val="auto"/>
                <w:kern w:val="0"/>
                <w:sz w:val="20"/>
                <w:szCs w:val="20"/>
              </w:rPr>
            </w:pPr>
          </w:p>
        </w:tc>
        <w:tc>
          <w:tcPr>
            <w:tcW w:w="777" w:type="dxa"/>
            <w:shd w:val="clear" w:color="auto" w:fill="auto"/>
            <w:vAlign w:val="center"/>
          </w:tcPr>
          <w:p w14:paraId="47E9EBB3">
            <w:pPr>
              <w:widowControl/>
              <w:jc w:val="center"/>
              <w:rPr>
                <w:rFonts w:ascii="宋体" w:hAnsi="宋体" w:eastAsia="宋体" w:cs="宋体"/>
                <w:color w:val="auto"/>
                <w:kern w:val="0"/>
                <w:sz w:val="20"/>
                <w:szCs w:val="20"/>
              </w:rPr>
            </w:pPr>
          </w:p>
        </w:tc>
        <w:tc>
          <w:tcPr>
            <w:tcW w:w="1105" w:type="dxa"/>
            <w:shd w:val="clear" w:color="auto" w:fill="auto"/>
            <w:vAlign w:val="center"/>
          </w:tcPr>
          <w:p w14:paraId="17D2785D">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利旧</w:t>
            </w:r>
          </w:p>
        </w:tc>
      </w:tr>
      <w:tr w14:paraId="1AC4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7650" w:type="dxa"/>
          <w:trHeight w:val="286" w:hRule="atLeast"/>
        </w:trPr>
        <w:tc>
          <w:tcPr>
            <w:tcW w:w="694" w:type="dxa"/>
            <w:shd w:val="clear" w:color="auto" w:fill="auto"/>
            <w:vAlign w:val="center"/>
          </w:tcPr>
          <w:p w14:paraId="11078AC0">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三</w:t>
            </w:r>
          </w:p>
        </w:tc>
      </w:tr>
      <w:tr w14:paraId="6C7D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2" w:hRule="atLeast"/>
        </w:trPr>
        <w:tc>
          <w:tcPr>
            <w:tcW w:w="694" w:type="dxa"/>
            <w:shd w:val="clear" w:color="auto" w:fill="auto"/>
            <w:vAlign w:val="center"/>
          </w:tcPr>
          <w:p w14:paraId="2D1AB4EE">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1882" w:type="dxa"/>
            <w:shd w:val="clear" w:color="000000" w:fill="FFFFFF"/>
            <w:vAlign w:val="center"/>
          </w:tcPr>
          <w:p w14:paraId="19E9B665">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云化引擎GPU服务器</w:t>
            </w:r>
          </w:p>
        </w:tc>
        <w:tc>
          <w:tcPr>
            <w:tcW w:w="3259" w:type="dxa"/>
            <w:shd w:val="clear" w:color="000000" w:fill="FFFFFF"/>
            <w:vAlign w:val="center"/>
          </w:tcPr>
          <w:p w14:paraId="75501013">
            <w:pPr>
              <w:widowControl/>
              <w:rPr>
                <w:rFonts w:ascii="宋体" w:hAnsi="宋体" w:eastAsia="宋体" w:cs="宋体"/>
                <w:color w:val="auto"/>
                <w:kern w:val="0"/>
                <w:sz w:val="20"/>
                <w:szCs w:val="20"/>
              </w:rPr>
            </w:pPr>
            <w:r>
              <w:rPr>
                <w:rFonts w:hint="eastAsia" w:ascii="宋体" w:hAnsi="宋体" w:eastAsia="宋体" w:cs="宋体"/>
                <w:color w:val="auto"/>
                <w:kern w:val="0"/>
                <w:sz w:val="20"/>
                <w:szCs w:val="20"/>
              </w:rPr>
              <w:t>双路12核cpu，主频2.3Ghz以上，内存256G以上，系统盘（固态盘）存储空间240G以上，板载支持RAID 0,1,5,10，双口千兆网卡，GPU单精度浮点运算能力 12TFLOPS以上，显存带宽500GB/s以上，支持PCIE3.0，IPMI 2.0，机架式。</w:t>
            </w:r>
          </w:p>
        </w:tc>
        <w:tc>
          <w:tcPr>
            <w:tcW w:w="627" w:type="dxa"/>
            <w:shd w:val="clear" w:color="000000" w:fill="FFFFFF"/>
            <w:vAlign w:val="center"/>
          </w:tcPr>
          <w:p w14:paraId="0516A08E">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777" w:type="dxa"/>
            <w:shd w:val="clear" w:color="000000" w:fill="FFFFFF"/>
            <w:vAlign w:val="center"/>
          </w:tcPr>
          <w:p w14:paraId="0134589C">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1105" w:type="dxa"/>
            <w:shd w:val="clear" w:color="auto" w:fill="auto"/>
            <w:vAlign w:val="center"/>
          </w:tcPr>
          <w:p w14:paraId="732B8CF2">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采购</w:t>
            </w:r>
          </w:p>
        </w:tc>
      </w:tr>
    </w:tbl>
    <w:p w14:paraId="5E3637BC">
      <w:pPr>
        <w:pStyle w:val="13"/>
        <w:rPr>
          <w:rFonts w:ascii="Times New Roman" w:hAnsi="Times New Roman" w:eastAsia="宋体" w:cs="Times New Roman"/>
          <w:color w:val="auto"/>
          <w:sz w:val="24"/>
        </w:rPr>
      </w:pPr>
    </w:p>
    <w:p w14:paraId="1C4D74D0">
      <w:pPr>
        <w:keepNext/>
        <w:keepLines/>
        <w:numPr>
          <w:ilvl w:val="2"/>
          <w:numId w:val="1"/>
        </w:numPr>
        <w:ind w:firstLine="200"/>
        <w:contextualSpacing/>
        <w:jc w:val="left"/>
        <w:outlineLvl w:val="2"/>
        <w:rPr>
          <w:rFonts w:ascii="宋体" w:hAnsi="宋体" w:eastAsia="宋体" w:cs="宋体"/>
          <w:color w:val="auto"/>
          <w:sz w:val="28"/>
          <w:szCs w:val="28"/>
        </w:rPr>
      </w:pPr>
      <w:r>
        <w:rPr>
          <w:rFonts w:hint="eastAsia" w:ascii="宋体" w:hAnsi="宋体" w:eastAsia="宋体" w:cs="宋体"/>
          <w:color w:val="auto"/>
          <w:sz w:val="28"/>
          <w:szCs w:val="28"/>
        </w:rPr>
        <w:t>数据交换与管理系统</w:t>
      </w:r>
    </w:p>
    <w:p w14:paraId="2703FAF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交换与管理系统可以将政府各个业务系统割裂的数据进行汇聚、治理、建模加工，消除数据孤岛，实现数据资产化，为决策者提供城市基础数据服务、服务人员画像、业务实时监控等实现数据驱动业务，不仅能有效协调政府资源和行动，还能在政府部门间共享数据服务，避免重复投资，提高计算资源的利用率。同时将原本不同系统相同功能的服务聚合起来，统一标准，统一规范，统一出口，实现业务的整合；还可以通过服务的聚合实现数据资源与能力的共享，从而快速的支撑后续业务的开发与迭代。</w:t>
      </w:r>
    </w:p>
    <w:p w14:paraId="40C6297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平台充分利用福州市政务数据汇聚共享平台，实现数据的获取对接，新增城综平台内部个业务应用之间的数据汇聚、治理及交换应用，实现对内对外的数据共享交换。</w:t>
      </w:r>
    </w:p>
    <w:p w14:paraId="3A44081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系统新建及改造情况对照如下表所示。</w:t>
      </w:r>
    </w:p>
    <w:tbl>
      <w:tblPr>
        <w:tblStyle w:val="30"/>
        <w:tblW w:w="83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73"/>
        <w:gridCol w:w="1200"/>
        <w:gridCol w:w="2200"/>
        <w:gridCol w:w="1509"/>
        <w:gridCol w:w="1459"/>
      </w:tblGrid>
      <w:tr w14:paraId="6EB6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269B20C1">
            <w:pPr>
              <w:widowControl/>
              <w:adjustRightInd w:val="0"/>
              <w:snapToGrid w:val="0"/>
              <w:jc w:val="center"/>
              <w:rPr>
                <w:rFonts w:ascii="宋体" w:hAnsi="宋体" w:eastAsia="宋体" w:cs="Arial"/>
                <w:b/>
                <w:bCs/>
                <w:color w:val="auto"/>
                <w:kern w:val="0"/>
                <w:sz w:val="24"/>
              </w:rPr>
            </w:pPr>
            <w:r>
              <w:rPr>
                <w:rFonts w:hint="eastAsia" w:ascii="宋体" w:hAnsi="宋体" w:eastAsia="宋体" w:cs="Arial"/>
                <w:b/>
                <w:bCs/>
                <w:color w:val="auto"/>
                <w:kern w:val="0"/>
                <w:sz w:val="24"/>
              </w:rPr>
              <w:t>序号</w:t>
            </w:r>
          </w:p>
        </w:tc>
        <w:tc>
          <w:tcPr>
            <w:tcW w:w="1273" w:type="dxa"/>
            <w:shd w:val="clear" w:color="auto" w:fill="auto"/>
            <w:vAlign w:val="center"/>
          </w:tcPr>
          <w:p w14:paraId="3EBFF41D">
            <w:pPr>
              <w:widowControl/>
              <w:adjustRightInd w:val="0"/>
              <w:snapToGrid w:val="0"/>
              <w:jc w:val="center"/>
              <w:rPr>
                <w:rFonts w:ascii="宋体" w:hAnsi="宋体" w:eastAsia="宋体" w:cs="Arial"/>
                <w:b/>
                <w:bCs/>
                <w:color w:val="auto"/>
                <w:kern w:val="0"/>
                <w:sz w:val="24"/>
              </w:rPr>
            </w:pPr>
            <w:r>
              <w:rPr>
                <w:rFonts w:hint="eastAsia" w:ascii="宋体" w:hAnsi="宋体" w:eastAsia="宋体" w:cs="Arial"/>
                <w:b/>
                <w:bCs/>
                <w:color w:val="auto"/>
                <w:kern w:val="0"/>
                <w:sz w:val="24"/>
              </w:rPr>
              <w:t>系统功能</w:t>
            </w:r>
          </w:p>
        </w:tc>
        <w:tc>
          <w:tcPr>
            <w:tcW w:w="1200" w:type="dxa"/>
            <w:shd w:val="clear" w:color="auto" w:fill="auto"/>
            <w:vAlign w:val="center"/>
          </w:tcPr>
          <w:p w14:paraId="14F92064">
            <w:pPr>
              <w:widowControl/>
              <w:adjustRightInd w:val="0"/>
              <w:snapToGrid w:val="0"/>
              <w:jc w:val="center"/>
              <w:rPr>
                <w:rFonts w:ascii="宋体" w:hAnsi="宋体" w:eastAsia="宋体" w:cs="Arial"/>
                <w:b/>
                <w:bCs/>
                <w:color w:val="auto"/>
                <w:kern w:val="0"/>
                <w:sz w:val="24"/>
              </w:rPr>
            </w:pPr>
            <w:r>
              <w:rPr>
                <w:rFonts w:hint="eastAsia" w:ascii="宋体" w:hAnsi="宋体" w:eastAsia="宋体" w:cs="Arial"/>
                <w:b/>
                <w:bCs/>
                <w:color w:val="auto"/>
                <w:kern w:val="0"/>
                <w:sz w:val="24"/>
              </w:rPr>
              <w:t>模块</w:t>
            </w:r>
          </w:p>
        </w:tc>
        <w:tc>
          <w:tcPr>
            <w:tcW w:w="2200" w:type="dxa"/>
            <w:shd w:val="clear" w:color="auto" w:fill="auto"/>
            <w:vAlign w:val="center"/>
          </w:tcPr>
          <w:p w14:paraId="7817A150">
            <w:pPr>
              <w:widowControl/>
              <w:adjustRightInd w:val="0"/>
              <w:snapToGrid w:val="0"/>
              <w:jc w:val="center"/>
              <w:rPr>
                <w:rFonts w:ascii="宋体" w:hAnsi="宋体" w:eastAsia="宋体" w:cs="Arial"/>
                <w:b/>
                <w:bCs/>
                <w:color w:val="auto"/>
                <w:kern w:val="0"/>
                <w:sz w:val="24"/>
              </w:rPr>
            </w:pPr>
            <w:r>
              <w:rPr>
                <w:rFonts w:hint="eastAsia" w:ascii="宋体" w:hAnsi="宋体" w:eastAsia="宋体" w:cs="Arial"/>
                <w:b/>
                <w:bCs/>
                <w:color w:val="auto"/>
                <w:kern w:val="0"/>
                <w:sz w:val="24"/>
              </w:rPr>
              <w:t>功能</w:t>
            </w:r>
          </w:p>
        </w:tc>
        <w:tc>
          <w:tcPr>
            <w:tcW w:w="1509" w:type="dxa"/>
            <w:shd w:val="clear" w:color="auto" w:fill="auto"/>
            <w:vAlign w:val="center"/>
          </w:tcPr>
          <w:p w14:paraId="2979DFBF">
            <w:pPr>
              <w:widowControl/>
              <w:adjustRightInd w:val="0"/>
              <w:snapToGrid w:val="0"/>
              <w:jc w:val="center"/>
              <w:rPr>
                <w:rFonts w:ascii="宋体" w:hAnsi="宋体" w:eastAsia="宋体" w:cs="Arial"/>
                <w:b/>
                <w:bCs/>
                <w:color w:val="auto"/>
                <w:kern w:val="0"/>
                <w:sz w:val="24"/>
              </w:rPr>
            </w:pPr>
            <w:r>
              <w:rPr>
                <w:rFonts w:hint="eastAsia" w:ascii="宋体" w:hAnsi="宋体" w:eastAsia="宋体" w:cs="Arial"/>
                <w:b/>
                <w:bCs/>
                <w:color w:val="auto"/>
                <w:kern w:val="0"/>
                <w:sz w:val="24"/>
              </w:rPr>
              <w:t>改造情况</w:t>
            </w:r>
          </w:p>
        </w:tc>
        <w:tc>
          <w:tcPr>
            <w:tcW w:w="1459" w:type="dxa"/>
            <w:shd w:val="clear" w:color="auto" w:fill="auto"/>
            <w:vAlign w:val="center"/>
          </w:tcPr>
          <w:p w14:paraId="2F7D4C86">
            <w:pPr>
              <w:widowControl/>
              <w:adjustRightInd w:val="0"/>
              <w:snapToGrid w:val="0"/>
              <w:jc w:val="center"/>
              <w:rPr>
                <w:rFonts w:ascii="宋体" w:hAnsi="宋体" w:eastAsia="宋体" w:cs="Arial"/>
                <w:b/>
                <w:bCs/>
                <w:color w:val="auto"/>
                <w:kern w:val="0"/>
                <w:sz w:val="24"/>
              </w:rPr>
            </w:pPr>
            <w:r>
              <w:rPr>
                <w:rFonts w:hint="eastAsia" w:ascii="宋体" w:hAnsi="宋体" w:eastAsia="宋体" w:cs="Arial"/>
                <w:b/>
                <w:bCs/>
                <w:color w:val="auto"/>
                <w:kern w:val="0"/>
                <w:sz w:val="24"/>
              </w:rPr>
              <w:t>备注</w:t>
            </w:r>
          </w:p>
        </w:tc>
      </w:tr>
      <w:tr w14:paraId="64B9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18FE0DD1">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1</w:t>
            </w:r>
          </w:p>
        </w:tc>
        <w:tc>
          <w:tcPr>
            <w:tcW w:w="1273" w:type="dxa"/>
            <w:vMerge w:val="restart"/>
            <w:shd w:val="clear" w:color="auto" w:fill="auto"/>
            <w:vAlign w:val="center"/>
          </w:tcPr>
          <w:p w14:paraId="47CD8936">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数据治理子系统</w:t>
            </w:r>
          </w:p>
        </w:tc>
        <w:tc>
          <w:tcPr>
            <w:tcW w:w="1200" w:type="dxa"/>
            <w:vMerge w:val="restart"/>
            <w:shd w:val="clear" w:color="auto" w:fill="auto"/>
            <w:vAlign w:val="center"/>
          </w:tcPr>
          <w:p w14:paraId="650061E5">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数据汇聚</w:t>
            </w:r>
          </w:p>
        </w:tc>
        <w:tc>
          <w:tcPr>
            <w:tcW w:w="2200" w:type="dxa"/>
            <w:shd w:val="clear" w:color="auto" w:fill="auto"/>
            <w:vAlign w:val="center"/>
          </w:tcPr>
          <w:p w14:paraId="6C87CDAD">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物理拷贝采集</w:t>
            </w:r>
          </w:p>
        </w:tc>
        <w:tc>
          <w:tcPr>
            <w:tcW w:w="1509" w:type="dxa"/>
            <w:shd w:val="clear" w:color="auto" w:fill="auto"/>
            <w:vAlign w:val="center"/>
          </w:tcPr>
          <w:p w14:paraId="74B986E7">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restart"/>
            <w:shd w:val="clear" w:color="auto" w:fill="auto"/>
            <w:vAlign w:val="center"/>
          </w:tcPr>
          <w:p w14:paraId="17DB2F34">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基于政务数据汇聚共享平台，新增城综平台内部个业务应用之间的数据汇聚、治理及交换应用，实现对内对外的数据共享交换和数据治理。</w:t>
            </w:r>
          </w:p>
        </w:tc>
      </w:tr>
      <w:tr w14:paraId="4DB0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5C301D13">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2</w:t>
            </w:r>
          </w:p>
        </w:tc>
        <w:tc>
          <w:tcPr>
            <w:tcW w:w="1273" w:type="dxa"/>
            <w:vMerge w:val="continue"/>
            <w:vAlign w:val="center"/>
          </w:tcPr>
          <w:p w14:paraId="2E332D25">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4EA55E7F">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2DB1477C">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数据上传采集</w:t>
            </w:r>
          </w:p>
        </w:tc>
        <w:tc>
          <w:tcPr>
            <w:tcW w:w="1509" w:type="dxa"/>
            <w:shd w:val="clear" w:color="auto" w:fill="auto"/>
            <w:vAlign w:val="center"/>
          </w:tcPr>
          <w:p w14:paraId="2DE78723">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16A78622">
            <w:pPr>
              <w:widowControl/>
              <w:adjustRightInd w:val="0"/>
              <w:snapToGrid w:val="0"/>
              <w:jc w:val="left"/>
              <w:rPr>
                <w:rFonts w:ascii="宋体" w:hAnsi="宋体" w:eastAsia="宋体" w:cs="Arial"/>
                <w:color w:val="auto"/>
                <w:kern w:val="0"/>
                <w:sz w:val="24"/>
              </w:rPr>
            </w:pPr>
          </w:p>
        </w:tc>
      </w:tr>
      <w:tr w14:paraId="3C4E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5CBC5422">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3</w:t>
            </w:r>
          </w:p>
        </w:tc>
        <w:tc>
          <w:tcPr>
            <w:tcW w:w="1273" w:type="dxa"/>
            <w:vMerge w:val="continue"/>
            <w:vAlign w:val="center"/>
          </w:tcPr>
          <w:p w14:paraId="074CEC15">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43BE9C0F">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527B5E6A">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数据探查与定义</w:t>
            </w:r>
          </w:p>
        </w:tc>
        <w:tc>
          <w:tcPr>
            <w:tcW w:w="1509" w:type="dxa"/>
            <w:shd w:val="clear" w:color="auto" w:fill="auto"/>
            <w:vAlign w:val="center"/>
          </w:tcPr>
          <w:p w14:paraId="3C0A6DEC">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21DBCF1E">
            <w:pPr>
              <w:widowControl/>
              <w:adjustRightInd w:val="0"/>
              <w:snapToGrid w:val="0"/>
              <w:jc w:val="left"/>
              <w:rPr>
                <w:rFonts w:ascii="宋体" w:hAnsi="宋体" w:eastAsia="宋体" w:cs="Arial"/>
                <w:color w:val="auto"/>
                <w:kern w:val="0"/>
                <w:sz w:val="24"/>
              </w:rPr>
            </w:pPr>
          </w:p>
        </w:tc>
      </w:tr>
      <w:tr w14:paraId="5191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2ECD00ED">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4</w:t>
            </w:r>
          </w:p>
        </w:tc>
        <w:tc>
          <w:tcPr>
            <w:tcW w:w="1273" w:type="dxa"/>
            <w:vMerge w:val="continue"/>
            <w:vAlign w:val="center"/>
          </w:tcPr>
          <w:p w14:paraId="48318BCB">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6C1A2E68">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21DBB037">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数据源对接</w:t>
            </w:r>
          </w:p>
        </w:tc>
        <w:tc>
          <w:tcPr>
            <w:tcW w:w="1509" w:type="dxa"/>
            <w:shd w:val="clear" w:color="auto" w:fill="auto"/>
            <w:vAlign w:val="center"/>
          </w:tcPr>
          <w:p w14:paraId="7647F95F">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7234E26F">
            <w:pPr>
              <w:widowControl/>
              <w:adjustRightInd w:val="0"/>
              <w:snapToGrid w:val="0"/>
              <w:jc w:val="left"/>
              <w:rPr>
                <w:rFonts w:ascii="宋体" w:hAnsi="宋体" w:eastAsia="宋体" w:cs="Arial"/>
                <w:color w:val="auto"/>
                <w:kern w:val="0"/>
                <w:sz w:val="24"/>
              </w:rPr>
            </w:pPr>
          </w:p>
        </w:tc>
      </w:tr>
      <w:tr w14:paraId="24C7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3AD87A68">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5</w:t>
            </w:r>
          </w:p>
        </w:tc>
        <w:tc>
          <w:tcPr>
            <w:tcW w:w="1273" w:type="dxa"/>
            <w:vMerge w:val="continue"/>
            <w:vAlign w:val="center"/>
          </w:tcPr>
          <w:p w14:paraId="674C6A20">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69C5B2EB">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1060C1E9">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数据抽取</w:t>
            </w:r>
          </w:p>
        </w:tc>
        <w:tc>
          <w:tcPr>
            <w:tcW w:w="1509" w:type="dxa"/>
            <w:shd w:val="clear" w:color="auto" w:fill="auto"/>
            <w:vAlign w:val="center"/>
          </w:tcPr>
          <w:p w14:paraId="38336599">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31F4BE73">
            <w:pPr>
              <w:widowControl/>
              <w:adjustRightInd w:val="0"/>
              <w:snapToGrid w:val="0"/>
              <w:jc w:val="left"/>
              <w:rPr>
                <w:rFonts w:ascii="宋体" w:hAnsi="宋体" w:eastAsia="宋体" w:cs="Arial"/>
                <w:color w:val="auto"/>
                <w:kern w:val="0"/>
                <w:sz w:val="24"/>
              </w:rPr>
            </w:pPr>
          </w:p>
        </w:tc>
      </w:tr>
      <w:tr w14:paraId="4465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7991AB3C">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6</w:t>
            </w:r>
          </w:p>
        </w:tc>
        <w:tc>
          <w:tcPr>
            <w:tcW w:w="1273" w:type="dxa"/>
            <w:vMerge w:val="continue"/>
            <w:vAlign w:val="center"/>
          </w:tcPr>
          <w:p w14:paraId="0C83C3A9">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6AC4E1C4">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09978587">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实时ETL作业管理</w:t>
            </w:r>
          </w:p>
        </w:tc>
        <w:tc>
          <w:tcPr>
            <w:tcW w:w="1509" w:type="dxa"/>
            <w:shd w:val="clear" w:color="auto" w:fill="auto"/>
            <w:vAlign w:val="center"/>
          </w:tcPr>
          <w:p w14:paraId="0588F756">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6E186F75">
            <w:pPr>
              <w:widowControl/>
              <w:adjustRightInd w:val="0"/>
              <w:snapToGrid w:val="0"/>
              <w:jc w:val="left"/>
              <w:rPr>
                <w:rFonts w:ascii="宋体" w:hAnsi="宋体" w:eastAsia="宋体" w:cs="Arial"/>
                <w:color w:val="auto"/>
                <w:kern w:val="0"/>
                <w:sz w:val="24"/>
              </w:rPr>
            </w:pPr>
          </w:p>
        </w:tc>
      </w:tr>
      <w:tr w14:paraId="3447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232DF5F3">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7</w:t>
            </w:r>
          </w:p>
        </w:tc>
        <w:tc>
          <w:tcPr>
            <w:tcW w:w="1273" w:type="dxa"/>
            <w:vMerge w:val="continue"/>
            <w:vAlign w:val="center"/>
          </w:tcPr>
          <w:p w14:paraId="7371424D">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50953068">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56390FBA">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任务模板及标签</w:t>
            </w:r>
          </w:p>
        </w:tc>
        <w:tc>
          <w:tcPr>
            <w:tcW w:w="1509" w:type="dxa"/>
            <w:shd w:val="clear" w:color="auto" w:fill="auto"/>
            <w:vAlign w:val="center"/>
          </w:tcPr>
          <w:p w14:paraId="22F0D880">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462D1731">
            <w:pPr>
              <w:widowControl/>
              <w:adjustRightInd w:val="0"/>
              <w:snapToGrid w:val="0"/>
              <w:jc w:val="left"/>
              <w:rPr>
                <w:rFonts w:ascii="宋体" w:hAnsi="宋体" w:eastAsia="宋体" w:cs="Arial"/>
                <w:color w:val="auto"/>
                <w:kern w:val="0"/>
                <w:sz w:val="24"/>
              </w:rPr>
            </w:pPr>
          </w:p>
        </w:tc>
      </w:tr>
      <w:tr w14:paraId="3EF6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76210874">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8</w:t>
            </w:r>
          </w:p>
        </w:tc>
        <w:tc>
          <w:tcPr>
            <w:tcW w:w="1273" w:type="dxa"/>
            <w:vMerge w:val="continue"/>
            <w:vAlign w:val="center"/>
          </w:tcPr>
          <w:p w14:paraId="2845A9CF">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4E97E98D">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639EAF63">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任务调度与监控</w:t>
            </w:r>
          </w:p>
        </w:tc>
        <w:tc>
          <w:tcPr>
            <w:tcW w:w="1509" w:type="dxa"/>
            <w:shd w:val="clear" w:color="auto" w:fill="auto"/>
            <w:vAlign w:val="center"/>
          </w:tcPr>
          <w:p w14:paraId="2794116B">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5658DE7A">
            <w:pPr>
              <w:widowControl/>
              <w:adjustRightInd w:val="0"/>
              <w:snapToGrid w:val="0"/>
              <w:jc w:val="left"/>
              <w:rPr>
                <w:rFonts w:ascii="宋体" w:hAnsi="宋体" w:eastAsia="宋体" w:cs="Arial"/>
                <w:color w:val="auto"/>
                <w:kern w:val="0"/>
                <w:sz w:val="24"/>
              </w:rPr>
            </w:pPr>
          </w:p>
        </w:tc>
      </w:tr>
      <w:tr w14:paraId="4CD2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17506C17">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9</w:t>
            </w:r>
          </w:p>
        </w:tc>
        <w:tc>
          <w:tcPr>
            <w:tcW w:w="1273" w:type="dxa"/>
            <w:vMerge w:val="continue"/>
            <w:vAlign w:val="center"/>
          </w:tcPr>
          <w:p w14:paraId="6A219173">
            <w:pPr>
              <w:widowControl/>
              <w:adjustRightInd w:val="0"/>
              <w:snapToGrid w:val="0"/>
              <w:jc w:val="left"/>
              <w:rPr>
                <w:rFonts w:ascii="宋体" w:hAnsi="宋体" w:eastAsia="宋体" w:cs="Arial"/>
                <w:color w:val="auto"/>
                <w:kern w:val="0"/>
                <w:sz w:val="24"/>
              </w:rPr>
            </w:pPr>
          </w:p>
        </w:tc>
        <w:tc>
          <w:tcPr>
            <w:tcW w:w="1200" w:type="dxa"/>
            <w:vMerge w:val="restart"/>
            <w:shd w:val="clear" w:color="auto" w:fill="auto"/>
            <w:vAlign w:val="center"/>
          </w:tcPr>
          <w:p w14:paraId="723227A0">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数据治理</w:t>
            </w:r>
          </w:p>
        </w:tc>
        <w:tc>
          <w:tcPr>
            <w:tcW w:w="2200" w:type="dxa"/>
            <w:shd w:val="clear" w:color="auto" w:fill="auto"/>
            <w:vAlign w:val="center"/>
          </w:tcPr>
          <w:p w14:paraId="42D7942F">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数据梳理</w:t>
            </w:r>
          </w:p>
        </w:tc>
        <w:tc>
          <w:tcPr>
            <w:tcW w:w="1509" w:type="dxa"/>
            <w:shd w:val="clear" w:color="auto" w:fill="auto"/>
            <w:vAlign w:val="center"/>
          </w:tcPr>
          <w:p w14:paraId="434FF016">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16283D1D">
            <w:pPr>
              <w:widowControl/>
              <w:adjustRightInd w:val="0"/>
              <w:snapToGrid w:val="0"/>
              <w:jc w:val="left"/>
              <w:rPr>
                <w:rFonts w:ascii="宋体" w:hAnsi="宋体" w:eastAsia="宋体" w:cs="Arial"/>
                <w:color w:val="auto"/>
                <w:kern w:val="0"/>
                <w:sz w:val="24"/>
              </w:rPr>
            </w:pPr>
          </w:p>
        </w:tc>
      </w:tr>
      <w:tr w14:paraId="1FDD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7E9CB4B2">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10</w:t>
            </w:r>
          </w:p>
        </w:tc>
        <w:tc>
          <w:tcPr>
            <w:tcW w:w="1273" w:type="dxa"/>
            <w:vMerge w:val="continue"/>
            <w:vAlign w:val="center"/>
          </w:tcPr>
          <w:p w14:paraId="66679F56">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0902E327">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122C0D20">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数据比对</w:t>
            </w:r>
          </w:p>
        </w:tc>
        <w:tc>
          <w:tcPr>
            <w:tcW w:w="1509" w:type="dxa"/>
            <w:shd w:val="clear" w:color="auto" w:fill="auto"/>
            <w:vAlign w:val="center"/>
          </w:tcPr>
          <w:p w14:paraId="0401340A">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3BA65EB2">
            <w:pPr>
              <w:widowControl/>
              <w:adjustRightInd w:val="0"/>
              <w:snapToGrid w:val="0"/>
              <w:jc w:val="left"/>
              <w:rPr>
                <w:rFonts w:ascii="宋体" w:hAnsi="宋体" w:eastAsia="宋体" w:cs="Arial"/>
                <w:color w:val="auto"/>
                <w:kern w:val="0"/>
                <w:sz w:val="24"/>
              </w:rPr>
            </w:pPr>
          </w:p>
        </w:tc>
      </w:tr>
      <w:tr w14:paraId="5151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039DE9CC">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11</w:t>
            </w:r>
          </w:p>
        </w:tc>
        <w:tc>
          <w:tcPr>
            <w:tcW w:w="1273" w:type="dxa"/>
            <w:vMerge w:val="continue"/>
            <w:vAlign w:val="center"/>
          </w:tcPr>
          <w:p w14:paraId="0CA01D04">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5260B617">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0015EA87">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数据校验</w:t>
            </w:r>
          </w:p>
        </w:tc>
        <w:tc>
          <w:tcPr>
            <w:tcW w:w="1509" w:type="dxa"/>
            <w:shd w:val="clear" w:color="auto" w:fill="auto"/>
            <w:vAlign w:val="center"/>
          </w:tcPr>
          <w:p w14:paraId="47AAE1A0">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01C001D7">
            <w:pPr>
              <w:widowControl/>
              <w:adjustRightInd w:val="0"/>
              <w:snapToGrid w:val="0"/>
              <w:jc w:val="left"/>
              <w:rPr>
                <w:rFonts w:ascii="宋体" w:hAnsi="宋体" w:eastAsia="宋体" w:cs="Arial"/>
                <w:color w:val="auto"/>
                <w:kern w:val="0"/>
                <w:sz w:val="24"/>
              </w:rPr>
            </w:pPr>
          </w:p>
        </w:tc>
      </w:tr>
      <w:tr w14:paraId="0096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59429E7D">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12</w:t>
            </w:r>
          </w:p>
        </w:tc>
        <w:tc>
          <w:tcPr>
            <w:tcW w:w="1273" w:type="dxa"/>
            <w:vMerge w:val="continue"/>
            <w:vAlign w:val="center"/>
          </w:tcPr>
          <w:p w14:paraId="31871DE2">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0A83B84C">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4FBF0497">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数据关联整合</w:t>
            </w:r>
          </w:p>
        </w:tc>
        <w:tc>
          <w:tcPr>
            <w:tcW w:w="1509" w:type="dxa"/>
            <w:shd w:val="clear" w:color="auto" w:fill="auto"/>
            <w:vAlign w:val="center"/>
          </w:tcPr>
          <w:p w14:paraId="1AB079FD">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6C0BB67D">
            <w:pPr>
              <w:widowControl/>
              <w:adjustRightInd w:val="0"/>
              <w:snapToGrid w:val="0"/>
              <w:jc w:val="left"/>
              <w:rPr>
                <w:rFonts w:ascii="宋体" w:hAnsi="宋体" w:eastAsia="宋体" w:cs="Arial"/>
                <w:color w:val="auto"/>
                <w:kern w:val="0"/>
                <w:sz w:val="24"/>
              </w:rPr>
            </w:pPr>
          </w:p>
        </w:tc>
      </w:tr>
      <w:tr w14:paraId="1EDD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4C87BDED">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13</w:t>
            </w:r>
          </w:p>
        </w:tc>
        <w:tc>
          <w:tcPr>
            <w:tcW w:w="1273" w:type="dxa"/>
            <w:vMerge w:val="continue"/>
            <w:vAlign w:val="center"/>
          </w:tcPr>
          <w:p w14:paraId="3858ECB1">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7B2C30E0">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7DCC704B">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数据转换</w:t>
            </w:r>
          </w:p>
        </w:tc>
        <w:tc>
          <w:tcPr>
            <w:tcW w:w="1509" w:type="dxa"/>
            <w:shd w:val="clear" w:color="auto" w:fill="auto"/>
            <w:vAlign w:val="center"/>
          </w:tcPr>
          <w:p w14:paraId="5A8D04E6">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02B5993E">
            <w:pPr>
              <w:widowControl/>
              <w:adjustRightInd w:val="0"/>
              <w:snapToGrid w:val="0"/>
              <w:jc w:val="left"/>
              <w:rPr>
                <w:rFonts w:ascii="宋体" w:hAnsi="宋体" w:eastAsia="宋体" w:cs="Arial"/>
                <w:color w:val="auto"/>
                <w:kern w:val="0"/>
                <w:sz w:val="24"/>
              </w:rPr>
            </w:pPr>
          </w:p>
        </w:tc>
      </w:tr>
      <w:tr w14:paraId="405B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7FF431D7">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14</w:t>
            </w:r>
          </w:p>
        </w:tc>
        <w:tc>
          <w:tcPr>
            <w:tcW w:w="1273" w:type="dxa"/>
            <w:vMerge w:val="continue"/>
            <w:vAlign w:val="center"/>
          </w:tcPr>
          <w:p w14:paraId="6D7A2913">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72CF2B5B">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39E2DC26">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数据装载</w:t>
            </w:r>
          </w:p>
        </w:tc>
        <w:tc>
          <w:tcPr>
            <w:tcW w:w="1509" w:type="dxa"/>
            <w:shd w:val="clear" w:color="auto" w:fill="auto"/>
            <w:vAlign w:val="center"/>
          </w:tcPr>
          <w:p w14:paraId="1B81BBA7">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6088582C">
            <w:pPr>
              <w:widowControl/>
              <w:adjustRightInd w:val="0"/>
              <w:snapToGrid w:val="0"/>
              <w:jc w:val="left"/>
              <w:rPr>
                <w:rFonts w:ascii="宋体" w:hAnsi="宋体" w:eastAsia="宋体" w:cs="Arial"/>
                <w:color w:val="auto"/>
                <w:kern w:val="0"/>
                <w:sz w:val="24"/>
              </w:rPr>
            </w:pPr>
          </w:p>
        </w:tc>
      </w:tr>
      <w:tr w14:paraId="4B25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6B907E06">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15</w:t>
            </w:r>
          </w:p>
        </w:tc>
        <w:tc>
          <w:tcPr>
            <w:tcW w:w="1273" w:type="dxa"/>
            <w:vMerge w:val="continue"/>
            <w:vAlign w:val="center"/>
          </w:tcPr>
          <w:p w14:paraId="08F694E8">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4497FC15">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003D9D3D">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数据整合</w:t>
            </w:r>
          </w:p>
        </w:tc>
        <w:tc>
          <w:tcPr>
            <w:tcW w:w="1509" w:type="dxa"/>
            <w:shd w:val="clear" w:color="auto" w:fill="auto"/>
            <w:vAlign w:val="center"/>
          </w:tcPr>
          <w:p w14:paraId="1E650FA9">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6386CD16">
            <w:pPr>
              <w:widowControl/>
              <w:adjustRightInd w:val="0"/>
              <w:snapToGrid w:val="0"/>
              <w:jc w:val="left"/>
              <w:rPr>
                <w:rFonts w:ascii="宋体" w:hAnsi="宋体" w:eastAsia="宋体" w:cs="Arial"/>
                <w:color w:val="auto"/>
                <w:kern w:val="0"/>
                <w:sz w:val="24"/>
              </w:rPr>
            </w:pPr>
          </w:p>
        </w:tc>
      </w:tr>
      <w:tr w14:paraId="111D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267E9B13">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16</w:t>
            </w:r>
          </w:p>
        </w:tc>
        <w:tc>
          <w:tcPr>
            <w:tcW w:w="1273" w:type="dxa"/>
            <w:vMerge w:val="continue"/>
            <w:vAlign w:val="center"/>
          </w:tcPr>
          <w:p w14:paraId="22A9007D">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02EF5B35">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33F07C78">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数据标识管理</w:t>
            </w:r>
          </w:p>
        </w:tc>
        <w:tc>
          <w:tcPr>
            <w:tcW w:w="1509" w:type="dxa"/>
            <w:shd w:val="clear" w:color="auto" w:fill="auto"/>
            <w:vAlign w:val="center"/>
          </w:tcPr>
          <w:p w14:paraId="611E0AA3">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34EFE2A9">
            <w:pPr>
              <w:widowControl/>
              <w:adjustRightInd w:val="0"/>
              <w:snapToGrid w:val="0"/>
              <w:jc w:val="left"/>
              <w:rPr>
                <w:rFonts w:ascii="宋体" w:hAnsi="宋体" w:eastAsia="宋体" w:cs="Arial"/>
                <w:color w:val="auto"/>
                <w:kern w:val="0"/>
                <w:sz w:val="24"/>
              </w:rPr>
            </w:pPr>
          </w:p>
        </w:tc>
      </w:tr>
      <w:tr w14:paraId="4F03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2052B59A">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17</w:t>
            </w:r>
          </w:p>
        </w:tc>
        <w:tc>
          <w:tcPr>
            <w:tcW w:w="1273" w:type="dxa"/>
            <w:vMerge w:val="continue"/>
            <w:vAlign w:val="center"/>
          </w:tcPr>
          <w:p w14:paraId="2AE6F98C">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777DB0AC">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3869A9E9">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数据资源目录管理</w:t>
            </w:r>
          </w:p>
        </w:tc>
        <w:tc>
          <w:tcPr>
            <w:tcW w:w="1509" w:type="dxa"/>
            <w:shd w:val="clear" w:color="auto" w:fill="auto"/>
            <w:vAlign w:val="center"/>
          </w:tcPr>
          <w:p w14:paraId="73E9284A">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4F51C053">
            <w:pPr>
              <w:widowControl/>
              <w:adjustRightInd w:val="0"/>
              <w:snapToGrid w:val="0"/>
              <w:jc w:val="left"/>
              <w:rPr>
                <w:rFonts w:ascii="宋体" w:hAnsi="宋体" w:eastAsia="宋体" w:cs="Arial"/>
                <w:color w:val="auto"/>
                <w:kern w:val="0"/>
                <w:sz w:val="24"/>
              </w:rPr>
            </w:pPr>
          </w:p>
        </w:tc>
      </w:tr>
      <w:tr w14:paraId="3523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439BD2F1">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18</w:t>
            </w:r>
          </w:p>
        </w:tc>
        <w:tc>
          <w:tcPr>
            <w:tcW w:w="1273" w:type="dxa"/>
            <w:vMerge w:val="continue"/>
            <w:vAlign w:val="center"/>
          </w:tcPr>
          <w:p w14:paraId="07DF2926">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35A929EE">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5696450A">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数据质量管理</w:t>
            </w:r>
          </w:p>
        </w:tc>
        <w:tc>
          <w:tcPr>
            <w:tcW w:w="1509" w:type="dxa"/>
            <w:shd w:val="clear" w:color="auto" w:fill="auto"/>
            <w:vAlign w:val="center"/>
          </w:tcPr>
          <w:p w14:paraId="407AEF4F">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444FB2A4">
            <w:pPr>
              <w:widowControl/>
              <w:adjustRightInd w:val="0"/>
              <w:snapToGrid w:val="0"/>
              <w:jc w:val="left"/>
              <w:rPr>
                <w:rFonts w:ascii="宋体" w:hAnsi="宋体" w:eastAsia="宋体" w:cs="Arial"/>
                <w:color w:val="auto"/>
                <w:kern w:val="0"/>
                <w:sz w:val="24"/>
              </w:rPr>
            </w:pPr>
          </w:p>
        </w:tc>
      </w:tr>
      <w:tr w14:paraId="14E9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4E1CD767">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19</w:t>
            </w:r>
          </w:p>
        </w:tc>
        <w:tc>
          <w:tcPr>
            <w:tcW w:w="1273" w:type="dxa"/>
            <w:vMerge w:val="restart"/>
            <w:shd w:val="clear" w:color="auto" w:fill="auto"/>
            <w:vAlign w:val="center"/>
          </w:tcPr>
          <w:p w14:paraId="304E56B3">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数据交换子系统</w:t>
            </w:r>
          </w:p>
        </w:tc>
        <w:tc>
          <w:tcPr>
            <w:tcW w:w="1200" w:type="dxa"/>
            <w:vMerge w:val="restart"/>
            <w:shd w:val="clear" w:color="auto" w:fill="auto"/>
            <w:vAlign w:val="center"/>
          </w:tcPr>
          <w:p w14:paraId="06E19212">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数据接口及对接</w:t>
            </w:r>
          </w:p>
        </w:tc>
        <w:tc>
          <w:tcPr>
            <w:tcW w:w="2200" w:type="dxa"/>
            <w:shd w:val="clear" w:color="auto" w:fill="auto"/>
            <w:vAlign w:val="center"/>
          </w:tcPr>
          <w:p w14:paraId="6B7F7642">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国家、市对接接口</w:t>
            </w:r>
          </w:p>
        </w:tc>
        <w:tc>
          <w:tcPr>
            <w:tcW w:w="1509" w:type="dxa"/>
            <w:shd w:val="clear" w:color="auto" w:fill="auto"/>
            <w:vAlign w:val="center"/>
          </w:tcPr>
          <w:p w14:paraId="4F233589">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17BB229F">
            <w:pPr>
              <w:widowControl/>
              <w:adjustRightInd w:val="0"/>
              <w:snapToGrid w:val="0"/>
              <w:jc w:val="left"/>
              <w:rPr>
                <w:rFonts w:ascii="宋体" w:hAnsi="宋体" w:eastAsia="宋体" w:cs="Arial"/>
                <w:color w:val="auto"/>
                <w:kern w:val="0"/>
                <w:sz w:val="24"/>
              </w:rPr>
            </w:pPr>
          </w:p>
        </w:tc>
      </w:tr>
      <w:tr w14:paraId="6BBE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2E9479C3">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20</w:t>
            </w:r>
          </w:p>
        </w:tc>
        <w:tc>
          <w:tcPr>
            <w:tcW w:w="1273" w:type="dxa"/>
            <w:vMerge w:val="continue"/>
            <w:vAlign w:val="center"/>
          </w:tcPr>
          <w:p w14:paraId="6A4ABA3F">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3D697A5D">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7061020B">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省、市对接接口</w:t>
            </w:r>
          </w:p>
        </w:tc>
        <w:tc>
          <w:tcPr>
            <w:tcW w:w="1509" w:type="dxa"/>
            <w:shd w:val="clear" w:color="auto" w:fill="auto"/>
            <w:vAlign w:val="center"/>
          </w:tcPr>
          <w:p w14:paraId="2DD15621">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14E150F2">
            <w:pPr>
              <w:widowControl/>
              <w:adjustRightInd w:val="0"/>
              <w:snapToGrid w:val="0"/>
              <w:jc w:val="left"/>
              <w:rPr>
                <w:rFonts w:ascii="宋体" w:hAnsi="宋体" w:eastAsia="宋体" w:cs="Arial"/>
                <w:color w:val="auto"/>
                <w:kern w:val="0"/>
                <w:sz w:val="24"/>
              </w:rPr>
            </w:pPr>
          </w:p>
        </w:tc>
      </w:tr>
      <w:tr w14:paraId="500B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65FC8B52">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21</w:t>
            </w:r>
          </w:p>
        </w:tc>
        <w:tc>
          <w:tcPr>
            <w:tcW w:w="1273" w:type="dxa"/>
            <w:vMerge w:val="continue"/>
            <w:vAlign w:val="center"/>
          </w:tcPr>
          <w:p w14:paraId="14D585C5">
            <w:pPr>
              <w:widowControl/>
              <w:adjustRightInd w:val="0"/>
              <w:snapToGrid w:val="0"/>
              <w:jc w:val="left"/>
              <w:rPr>
                <w:rFonts w:ascii="宋体" w:hAnsi="宋体" w:eastAsia="宋体" w:cs="Arial"/>
                <w:color w:val="auto"/>
                <w:kern w:val="0"/>
                <w:sz w:val="24"/>
              </w:rPr>
            </w:pPr>
          </w:p>
        </w:tc>
        <w:tc>
          <w:tcPr>
            <w:tcW w:w="1200" w:type="dxa"/>
            <w:vMerge w:val="restart"/>
            <w:shd w:val="clear" w:color="auto" w:fill="auto"/>
            <w:vAlign w:val="center"/>
          </w:tcPr>
          <w:p w14:paraId="741925D4">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接口服务发布</w:t>
            </w:r>
          </w:p>
        </w:tc>
        <w:tc>
          <w:tcPr>
            <w:tcW w:w="2200" w:type="dxa"/>
            <w:shd w:val="clear" w:color="auto" w:fill="auto"/>
            <w:vAlign w:val="center"/>
          </w:tcPr>
          <w:p w14:paraId="1693424F">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API概览</w:t>
            </w:r>
          </w:p>
        </w:tc>
        <w:tc>
          <w:tcPr>
            <w:tcW w:w="1509" w:type="dxa"/>
            <w:shd w:val="clear" w:color="auto" w:fill="auto"/>
            <w:vAlign w:val="center"/>
          </w:tcPr>
          <w:p w14:paraId="17B0D46C">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037D254A">
            <w:pPr>
              <w:widowControl/>
              <w:adjustRightInd w:val="0"/>
              <w:snapToGrid w:val="0"/>
              <w:jc w:val="left"/>
              <w:rPr>
                <w:rFonts w:ascii="宋体" w:hAnsi="宋体" w:eastAsia="宋体" w:cs="Arial"/>
                <w:color w:val="auto"/>
                <w:kern w:val="0"/>
                <w:sz w:val="24"/>
              </w:rPr>
            </w:pPr>
          </w:p>
        </w:tc>
      </w:tr>
      <w:tr w14:paraId="0F5EA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774567F8">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22</w:t>
            </w:r>
          </w:p>
        </w:tc>
        <w:tc>
          <w:tcPr>
            <w:tcW w:w="1273" w:type="dxa"/>
            <w:vMerge w:val="continue"/>
            <w:vAlign w:val="center"/>
          </w:tcPr>
          <w:p w14:paraId="47A6AF9B">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5CFA45A9">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40EF1CBA">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API检索</w:t>
            </w:r>
          </w:p>
        </w:tc>
        <w:tc>
          <w:tcPr>
            <w:tcW w:w="1509" w:type="dxa"/>
            <w:shd w:val="clear" w:color="auto" w:fill="auto"/>
            <w:vAlign w:val="center"/>
          </w:tcPr>
          <w:p w14:paraId="1637AE50">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7C960BC0">
            <w:pPr>
              <w:widowControl/>
              <w:adjustRightInd w:val="0"/>
              <w:snapToGrid w:val="0"/>
              <w:jc w:val="left"/>
              <w:rPr>
                <w:rFonts w:ascii="宋体" w:hAnsi="宋体" w:eastAsia="宋体" w:cs="Arial"/>
                <w:color w:val="auto"/>
                <w:kern w:val="0"/>
                <w:sz w:val="24"/>
              </w:rPr>
            </w:pPr>
          </w:p>
        </w:tc>
      </w:tr>
      <w:tr w14:paraId="656D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35D2F1C3">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23</w:t>
            </w:r>
          </w:p>
        </w:tc>
        <w:tc>
          <w:tcPr>
            <w:tcW w:w="1273" w:type="dxa"/>
            <w:vMerge w:val="continue"/>
            <w:vAlign w:val="center"/>
          </w:tcPr>
          <w:p w14:paraId="2B1E0913">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2BAAFF4B">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0C9AAA2B">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API服务管理</w:t>
            </w:r>
          </w:p>
        </w:tc>
        <w:tc>
          <w:tcPr>
            <w:tcW w:w="1509" w:type="dxa"/>
            <w:shd w:val="clear" w:color="auto" w:fill="auto"/>
            <w:vAlign w:val="center"/>
          </w:tcPr>
          <w:p w14:paraId="601E1F38">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4627ECCB">
            <w:pPr>
              <w:widowControl/>
              <w:adjustRightInd w:val="0"/>
              <w:snapToGrid w:val="0"/>
              <w:jc w:val="left"/>
              <w:rPr>
                <w:rFonts w:ascii="宋体" w:hAnsi="宋体" w:eastAsia="宋体" w:cs="Arial"/>
                <w:color w:val="auto"/>
                <w:kern w:val="0"/>
                <w:sz w:val="24"/>
              </w:rPr>
            </w:pPr>
          </w:p>
        </w:tc>
      </w:tr>
      <w:tr w14:paraId="5C92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6ED276EF">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24</w:t>
            </w:r>
          </w:p>
        </w:tc>
        <w:tc>
          <w:tcPr>
            <w:tcW w:w="1273" w:type="dxa"/>
            <w:vMerge w:val="continue"/>
            <w:vAlign w:val="center"/>
          </w:tcPr>
          <w:p w14:paraId="789404EE">
            <w:pPr>
              <w:widowControl/>
              <w:adjustRightInd w:val="0"/>
              <w:snapToGrid w:val="0"/>
              <w:jc w:val="left"/>
              <w:rPr>
                <w:rFonts w:ascii="宋体" w:hAnsi="宋体" w:eastAsia="宋体" w:cs="Arial"/>
                <w:color w:val="auto"/>
                <w:kern w:val="0"/>
                <w:sz w:val="24"/>
              </w:rPr>
            </w:pPr>
          </w:p>
        </w:tc>
        <w:tc>
          <w:tcPr>
            <w:tcW w:w="1200" w:type="dxa"/>
            <w:vMerge w:val="restart"/>
            <w:shd w:val="clear" w:color="auto" w:fill="auto"/>
            <w:vAlign w:val="center"/>
          </w:tcPr>
          <w:p w14:paraId="0AC478A5">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接口服务订阅</w:t>
            </w:r>
          </w:p>
        </w:tc>
        <w:tc>
          <w:tcPr>
            <w:tcW w:w="2200" w:type="dxa"/>
            <w:shd w:val="clear" w:color="auto" w:fill="auto"/>
            <w:vAlign w:val="center"/>
          </w:tcPr>
          <w:p w14:paraId="34DA8FB4">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订阅申请</w:t>
            </w:r>
          </w:p>
        </w:tc>
        <w:tc>
          <w:tcPr>
            <w:tcW w:w="1509" w:type="dxa"/>
            <w:shd w:val="clear" w:color="auto" w:fill="auto"/>
            <w:vAlign w:val="center"/>
          </w:tcPr>
          <w:p w14:paraId="10427427">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676008C9">
            <w:pPr>
              <w:widowControl/>
              <w:adjustRightInd w:val="0"/>
              <w:snapToGrid w:val="0"/>
              <w:jc w:val="left"/>
              <w:rPr>
                <w:rFonts w:ascii="宋体" w:hAnsi="宋体" w:eastAsia="宋体" w:cs="Arial"/>
                <w:color w:val="auto"/>
                <w:kern w:val="0"/>
                <w:sz w:val="24"/>
              </w:rPr>
            </w:pPr>
          </w:p>
        </w:tc>
      </w:tr>
      <w:tr w14:paraId="50E3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66C2CBD2">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25</w:t>
            </w:r>
          </w:p>
        </w:tc>
        <w:tc>
          <w:tcPr>
            <w:tcW w:w="1273" w:type="dxa"/>
            <w:vMerge w:val="continue"/>
            <w:vAlign w:val="center"/>
          </w:tcPr>
          <w:p w14:paraId="3E49ECF4">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1564CD31">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0481D0B9">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我的订阅</w:t>
            </w:r>
          </w:p>
        </w:tc>
        <w:tc>
          <w:tcPr>
            <w:tcW w:w="1509" w:type="dxa"/>
            <w:shd w:val="clear" w:color="auto" w:fill="auto"/>
            <w:vAlign w:val="center"/>
          </w:tcPr>
          <w:p w14:paraId="5FFD1F1A">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216B967D">
            <w:pPr>
              <w:widowControl/>
              <w:adjustRightInd w:val="0"/>
              <w:snapToGrid w:val="0"/>
              <w:jc w:val="left"/>
              <w:rPr>
                <w:rFonts w:ascii="宋体" w:hAnsi="宋体" w:eastAsia="宋体" w:cs="Arial"/>
                <w:color w:val="auto"/>
                <w:kern w:val="0"/>
                <w:sz w:val="24"/>
              </w:rPr>
            </w:pPr>
          </w:p>
        </w:tc>
      </w:tr>
      <w:tr w14:paraId="3055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12B190DC">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26</w:t>
            </w:r>
          </w:p>
        </w:tc>
        <w:tc>
          <w:tcPr>
            <w:tcW w:w="1273" w:type="dxa"/>
            <w:vMerge w:val="continue"/>
            <w:vAlign w:val="center"/>
          </w:tcPr>
          <w:p w14:paraId="7B140F62">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5A721C6A">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6A9FD075">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订阅审核</w:t>
            </w:r>
          </w:p>
        </w:tc>
        <w:tc>
          <w:tcPr>
            <w:tcW w:w="1509" w:type="dxa"/>
            <w:shd w:val="clear" w:color="auto" w:fill="auto"/>
            <w:vAlign w:val="center"/>
          </w:tcPr>
          <w:p w14:paraId="2F9EE6E0">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328458A9">
            <w:pPr>
              <w:widowControl/>
              <w:adjustRightInd w:val="0"/>
              <w:snapToGrid w:val="0"/>
              <w:jc w:val="left"/>
              <w:rPr>
                <w:rFonts w:ascii="宋体" w:hAnsi="宋体" w:eastAsia="宋体" w:cs="Arial"/>
                <w:color w:val="auto"/>
                <w:kern w:val="0"/>
                <w:sz w:val="24"/>
              </w:rPr>
            </w:pPr>
          </w:p>
        </w:tc>
      </w:tr>
      <w:tr w14:paraId="1CA5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7C97CC7F">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27</w:t>
            </w:r>
          </w:p>
        </w:tc>
        <w:tc>
          <w:tcPr>
            <w:tcW w:w="1273" w:type="dxa"/>
            <w:vMerge w:val="continue"/>
            <w:vAlign w:val="center"/>
          </w:tcPr>
          <w:p w14:paraId="3231D5B1">
            <w:pPr>
              <w:widowControl/>
              <w:adjustRightInd w:val="0"/>
              <w:snapToGrid w:val="0"/>
              <w:jc w:val="left"/>
              <w:rPr>
                <w:rFonts w:ascii="宋体" w:hAnsi="宋体" w:eastAsia="宋体" w:cs="Arial"/>
                <w:color w:val="auto"/>
                <w:kern w:val="0"/>
                <w:sz w:val="24"/>
              </w:rPr>
            </w:pPr>
          </w:p>
        </w:tc>
        <w:tc>
          <w:tcPr>
            <w:tcW w:w="1200" w:type="dxa"/>
            <w:vMerge w:val="restart"/>
            <w:shd w:val="clear" w:color="auto" w:fill="auto"/>
            <w:vAlign w:val="center"/>
          </w:tcPr>
          <w:p w14:paraId="73BFD75E">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数据交换</w:t>
            </w:r>
          </w:p>
        </w:tc>
        <w:tc>
          <w:tcPr>
            <w:tcW w:w="2200" w:type="dxa"/>
            <w:shd w:val="clear" w:color="auto" w:fill="auto"/>
            <w:vAlign w:val="center"/>
          </w:tcPr>
          <w:p w14:paraId="07B0C02E">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应用申请</w:t>
            </w:r>
          </w:p>
        </w:tc>
        <w:tc>
          <w:tcPr>
            <w:tcW w:w="1509" w:type="dxa"/>
            <w:shd w:val="clear" w:color="auto" w:fill="auto"/>
            <w:vAlign w:val="center"/>
          </w:tcPr>
          <w:p w14:paraId="42292528">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3DBB5FC7">
            <w:pPr>
              <w:widowControl/>
              <w:adjustRightInd w:val="0"/>
              <w:snapToGrid w:val="0"/>
              <w:jc w:val="left"/>
              <w:rPr>
                <w:rFonts w:ascii="宋体" w:hAnsi="宋体" w:eastAsia="宋体" w:cs="Arial"/>
                <w:color w:val="auto"/>
                <w:kern w:val="0"/>
                <w:sz w:val="24"/>
              </w:rPr>
            </w:pPr>
          </w:p>
        </w:tc>
      </w:tr>
      <w:tr w14:paraId="262F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187CB709">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28</w:t>
            </w:r>
          </w:p>
        </w:tc>
        <w:tc>
          <w:tcPr>
            <w:tcW w:w="1273" w:type="dxa"/>
            <w:vMerge w:val="continue"/>
            <w:vAlign w:val="center"/>
          </w:tcPr>
          <w:p w14:paraId="0A2C126D">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054954E7">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23A8B778">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我的申请</w:t>
            </w:r>
          </w:p>
        </w:tc>
        <w:tc>
          <w:tcPr>
            <w:tcW w:w="1509" w:type="dxa"/>
            <w:shd w:val="clear" w:color="auto" w:fill="auto"/>
            <w:vAlign w:val="center"/>
          </w:tcPr>
          <w:p w14:paraId="0056050D">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2B08B41E">
            <w:pPr>
              <w:widowControl/>
              <w:adjustRightInd w:val="0"/>
              <w:snapToGrid w:val="0"/>
              <w:jc w:val="left"/>
              <w:rPr>
                <w:rFonts w:ascii="宋体" w:hAnsi="宋体" w:eastAsia="宋体" w:cs="Arial"/>
                <w:color w:val="auto"/>
                <w:kern w:val="0"/>
                <w:sz w:val="24"/>
              </w:rPr>
            </w:pPr>
          </w:p>
        </w:tc>
      </w:tr>
      <w:tr w14:paraId="40D9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1B0A8DE8">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29</w:t>
            </w:r>
          </w:p>
        </w:tc>
        <w:tc>
          <w:tcPr>
            <w:tcW w:w="1273" w:type="dxa"/>
            <w:vMerge w:val="continue"/>
            <w:vAlign w:val="center"/>
          </w:tcPr>
          <w:p w14:paraId="6383AECF">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66B97686">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1C1A1ECF">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应用审核</w:t>
            </w:r>
          </w:p>
        </w:tc>
        <w:tc>
          <w:tcPr>
            <w:tcW w:w="1509" w:type="dxa"/>
            <w:shd w:val="clear" w:color="auto" w:fill="auto"/>
            <w:vAlign w:val="center"/>
          </w:tcPr>
          <w:p w14:paraId="22C787D5">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2E129718">
            <w:pPr>
              <w:widowControl/>
              <w:adjustRightInd w:val="0"/>
              <w:snapToGrid w:val="0"/>
              <w:jc w:val="left"/>
              <w:rPr>
                <w:rFonts w:ascii="宋体" w:hAnsi="宋体" w:eastAsia="宋体" w:cs="Arial"/>
                <w:color w:val="auto"/>
                <w:kern w:val="0"/>
                <w:sz w:val="24"/>
              </w:rPr>
            </w:pPr>
          </w:p>
        </w:tc>
      </w:tr>
      <w:tr w14:paraId="36A4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56BCFF5D">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30</w:t>
            </w:r>
          </w:p>
        </w:tc>
        <w:tc>
          <w:tcPr>
            <w:tcW w:w="1273" w:type="dxa"/>
            <w:vMerge w:val="continue"/>
            <w:vAlign w:val="center"/>
          </w:tcPr>
          <w:p w14:paraId="62DAC293">
            <w:pPr>
              <w:widowControl/>
              <w:adjustRightInd w:val="0"/>
              <w:snapToGrid w:val="0"/>
              <w:jc w:val="left"/>
              <w:rPr>
                <w:rFonts w:ascii="宋体" w:hAnsi="宋体" w:eastAsia="宋体" w:cs="Arial"/>
                <w:color w:val="auto"/>
                <w:kern w:val="0"/>
                <w:sz w:val="24"/>
              </w:rPr>
            </w:pPr>
          </w:p>
        </w:tc>
        <w:tc>
          <w:tcPr>
            <w:tcW w:w="1200" w:type="dxa"/>
            <w:vMerge w:val="restart"/>
            <w:shd w:val="clear" w:color="auto" w:fill="auto"/>
            <w:vAlign w:val="center"/>
          </w:tcPr>
          <w:p w14:paraId="0CAB6A87">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接口状态监控</w:t>
            </w:r>
          </w:p>
        </w:tc>
        <w:tc>
          <w:tcPr>
            <w:tcW w:w="2200" w:type="dxa"/>
            <w:shd w:val="clear" w:color="auto" w:fill="auto"/>
            <w:vAlign w:val="center"/>
          </w:tcPr>
          <w:p w14:paraId="144FD47F">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接口调研次数监控</w:t>
            </w:r>
          </w:p>
        </w:tc>
        <w:tc>
          <w:tcPr>
            <w:tcW w:w="1509" w:type="dxa"/>
            <w:shd w:val="clear" w:color="auto" w:fill="auto"/>
            <w:vAlign w:val="center"/>
          </w:tcPr>
          <w:p w14:paraId="31479148">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6D596F00">
            <w:pPr>
              <w:widowControl/>
              <w:adjustRightInd w:val="0"/>
              <w:snapToGrid w:val="0"/>
              <w:jc w:val="left"/>
              <w:rPr>
                <w:rFonts w:ascii="宋体" w:hAnsi="宋体" w:eastAsia="宋体" w:cs="Arial"/>
                <w:color w:val="auto"/>
                <w:kern w:val="0"/>
                <w:sz w:val="24"/>
              </w:rPr>
            </w:pPr>
          </w:p>
        </w:tc>
      </w:tr>
      <w:tr w14:paraId="020B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11BE2F21">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31</w:t>
            </w:r>
          </w:p>
        </w:tc>
        <w:tc>
          <w:tcPr>
            <w:tcW w:w="1273" w:type="dxa"/>
            <w:vMerge w:val="continue"/>
            <w:vAlign w:val="center"/>
          </w:tcPr>
          <w:p w14:paraId="4A7DFF2C">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3B83CF72">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2E0AA142">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服务访问频率监控</w:t>
            </w:r>
          </w:p>
        </w:tc>
        <w:tc>
          <w:tcPr>
            <w:tcW w:w="1509" w:type="dxa"/>
            <w:shd w:val="clear" w:color="auto" w:fill="auto"/>
            <w:vAlign w:val="center"/>
          </w:tcPr>
          <w:p w14:paraId="0A90CE39">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29153DB9">
            <w:pPr>
              <w:widowControl/>
              <w:adjustRightInd w:val="0"/>
              <w:snapToGrid w:val="0"/>
              <w:jc w:val="left"/>
              <w:rPr>
                <w:rFonts w:ascii="宋体" w:hAnsi="宋体" w:eastAsia="宋体" w:cs="Arial"/>
                <w:color w:val="auto"/>
                <w:kern w:val="0"/>
                <w:sz w:val="24"/>
              </w:rPr>
            </w:pPr>
          </w:p>
        </w:tc>
      </w:tr>
      <w:tr w14:paraId="19E4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553BF312">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32</w:t>
            </w:r>
          </w:p>
        </w:tc>
        <w:tc>
          <w:tcPr>
            <w:tcW w:w="1273" w:type="dxa"/>
            <w:vMerge w:val="continue"/>
            <w:vAlign w:val="center"/>
          </w:tcPr>
          <w:p w14:paraId="0E0751A4">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660E8207">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6AAE5E00">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服务发布监控</w:t>
            </w:r>
          </w:p>
        </w:tc>
        <w:tc>
          <w:tcPr>
            <w:tcW w:w="1509" w:type="dxa"/>
            <w:shd w:val="clear" w:color="auto" w:fill="auto"/>
            <w:vAlign w:val="center"/>
          </w:tcPr>
          <w:p w14:paraId="0FEFC8B1">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6A898EF9">
            <w:pPr>
              <w:widowControl/>
              <w:adjustRightInd w:val="0"/>
              <w:snapToGrid w:val="0"/>
              <w:jc w:val="left"/>
              <w:rPr>
                <w:rFonts w:ascii="宋体" w:hAnsi="宋体" w:eastAsia="宋体" w:cs="Arial"/>
                <w:color w:val="auto"/>
                <w:kern w:val="0"/>
                <w:sz w:val="24"/>
              </w:rPr>
            </w:pPr>
          </w:p>
        </w:tc>
      </w:tr>
      <w:tr w14:paraId="5F17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04" w:type="dxa"/>
            <w:shd w:val="clear" w:color="auto" w:fill="auto"/>
            <w:vAlign w:val="center"/>
          </w:tcPr>
          <w:p w14:paraId="65F147DB">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33</w:t>
            </w:r>
          </w:p>
        </w:tc>
        <w:tc>
          <w:tcPr>
            <w:tcW w:w="1273" w:type="dxa"/>
            <w:vMerge w:val="continue"/>
            <w:vAlign w:val="center"/>
          </w:tcPr>
          <w:p w14:paraId="1BBCDF0A">
            <w:pPr>
              <w:widowControl/>
              <w:adjustRightInd w:val="0"/>
              <w:snapToGrid w:val="0"/>
              <w:jc w:val="left"/>
              <w:rPr>
                <w:rFonts w:ascii="宋体" w:hAnsi="宋体" w:eastAsia="宋体" w:cs="Arial"/>
                <w:color w:val="auto"/>
                <w:kern w:val="0"/>
                <w:sz w:val="24"/>
              </w:rPr>
            </w:pPr>
          </w:p>
        </w:tc>
        <w:tc>
          <w:tcPr>
            <w:tcW w:w="1200" w:type="dxa"/>
            <w:vMerge w:val="continue"/>
            <w:vAlign w:val="center"/>
          </w:tcPr>
          <w:p w14:paraId="3651E2C3">
            <w:pPr>
              <w:widowControl/>
              <w:adjustRightInd w:val="0"/>
              <w:snapToGrid w:val="0"/>
              <w:jc w:val="left"/>
              <w:rPr>
                <w:rFonts w:ascii="宋体" w:hAnsi="宋体" w:eastAsia="宋体" w:cs="Arial"/>
                <w:color w:val="auto"/>
                <w:kern w:val="0"/>
                <w:sz w:val="24"/>
              </w:rPr>
            </w:pPr>
          </w:p>
        </w:tc>
        <w:tc>
          <w:tcPr>
            <w:tcW w:w="2200" w:type="dxa"/>
            <w:shd w:val="clear" w:color="auto" w:fill="auto"/>
            <w:vAlign w:val="center"/>
          </w:tcPr>
          <w:p w14:paraId="4F9CDB72">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请求异常监控</w:t>
            </w:r>
          </w:p>
        </w:tc>
        <w:tc>
          <w:tcPr>
            <w:tcW w:w="1509" w:type="dxa"/>
            <w:shd w:val="clear" w:color="auto" w:fill="auto"/>
            <w:vAlign w:val="center"/>
          </w:tcPr>
          <w:p w14:paraId="4C5178DA">
            <w:pPr>
              <w:widowControl/>
              <w:adjustRightInd w:val="0"/>
              <w:snapToGrid w:val="0"/>
              <w:jc w:val="center"/>
              <w:rPr>
                <w:rFonts w:ascii="宋体" w:hAnsi="宋体" w:eastAsia="宋体" w:cs="Arial"/>
                <w:color w:val="auto"/>
                <w:kern w:val="0"/>
                <w:sz w:val="24"/>
              </w:rPr>
            </w:pPr>
            <w:r>
              <w:rPr>
                <w:rFonts w:hint="eastAsia" w:ascii="宋体" w:hAnsi="宋体" w:eastAsia="宋体" w:cs="Arial"/>
                <w:color w:val="auto"/>
                <w:kern w:val="0"/>
                <w:sz w:val="24"/>
              </w:rPr>
              <w:t>新建</w:t>
            </w:r>
          </w:p>
        </w:tc>
        <w:tc>
          <w:tcPr>
            <w:tcW w:w="1459" w:type="dxa"/>
            <w:vMerge w:val="continue"/>
            <w:vAlign w:val="center"/>
          </w:tcPr>
          <w:p w14:paraId="520C0E3E">
            <w:pPr>
              <w:widowControl/>
              <w:adjustRightInd w:val="0"/>
              <w:snapToGrid w:val="0"/>
              <w:jc w:val="left"/>
              <w:rPr>
                <w:rFonts w:ascii="宋体" w:hAnsi="宋体" w:eastAsia="宋体" w:cs="Arial"/>
                <w:color w:val="auto"/>
                <w:kern w:val="0"/>
                <w:sz w:val="24"/>
              </w:rPr>
            </w:pPr>
          </w:p>
        </w:tc>
      </w:tr>
    </w:tbl>
    <w:p w14:paraId="0643CCDE">
      <w:pPr>
        <w:rPr>
          <w:rFonts w:cs="宋体" w:asciiTheme="majorEastAsia" w:hAnsiTheme="majorEastAsia" w:eastAsiaTheme="majorEastAsia"/>
          <w:color w:val="auto"/>
          <w:sz w:val="24"/>
          <w:szCs w:val="21"/>
        </w:rPr>
      </w:pPr>
    </w:p>
    <w:p w14:paraId="0332D8B0">
      <w:pPr>
        <w:pStyle w:val="6"/>
        <w:numPr>
          <w:ilvl w:val="3"/>
          <w:numId w:val="36"/>
        </w:numPr>
        <w:spacing w:line="240" w:lineRule="auto"/>
        <w:rPr>
          <w:color w:val="auto"/>
        </w:rPr>
      </w:pPr>
      <w:r>
        <w:rPr>
          <w:color w:val="auto"/>
        </w:rPr>
        <w:t>数据标准规范</w:t>
      </w:r>
    </w:p>
    <w:p w14:paraId="6D51191A">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建立统一数据标准规范，包括业务数据标准、数据资源目录标准、数据共享交换标准等。通过</w:t>
      </w:r>
      <w:r>
        <w:rPr>
          <w:rFonts w:cs="Times New Roman" w:asciiTheme="majorEastAsia" w:hAnsiTheme="majorEastAsia" w:eastAsiaTheme="majorEastAsia"/>
          <w:color w:val="auto"/>
          <w:sz w:val="24"/>
          <w:szCs w:val="21"/>
        </w:rPr>
        <w:t>建立全面、标准、量化的数据信息台账，明确数据信息分类、信息项、信息源头、共享交换条件等数据描述，为业务应用和</w:t>
      </w:r>
      <w:r>
        <w:rPr>
          <w:rFonts w:hint="eastAsia" w:cs="Times New Roman" w:asciiTheme="majorEastAsia" w:hAnsiTheme="majorEastAsia" w:eastAsiaTheme="majorEastAsia"/>
          <w:color w:val="auto"/>
          <w:sz w:val="24"/>
          <w:szCs w:val="21"/>
        </w:rPr>
        <w:t>数据资源</w:t>
      </w:r>
      <w:r>
        <w:rPr>
          <w:rFonts w:cs="Times New Roman" w:asciiTheme="majorEastAsia" w:hAnsiTheme="majorEastAsia" w:eastAsiaTheme="majorEastAsia"/>
          <w:color w:val="auto"/>
          <w:sz w:val="24"/>
          <w:szCs w:val="21"/>
        </w:rPr>
        <w:t>共享提供数据资源清单；形成指导数据质量改善的数据治理标准规范，为</w:t>
      </w:r>
      <w:r>
        <w:rPr>
          <w:rFonts w:hint="eastAsia" w:cs="Times New Roman" w:asciiTheme="majorEastAsia" w:hAnsiTheme="majorEastAsia" w:eastAsiaTheme="majorEastAsia"/>
          <w:color w:val="auto"/>
          <w:sz w:val="24"/>
          <w:szCs w:val="21"/>
        </w:rPr>
        <w:t>城市管理相关的</w:t>
      </w:r>
      <w:r>
        <w:rPr>
          <w:rFonts w:cs="Times New Roman" w:asciiTheme="majorEastAsia" w:hAnsiTheme="majorEastAsia" w:eastAsiaTheme="majorEastAsia"/>
          <w:color w:val="auto"/>
          <w:sz w:val="24"/>
          <w:szCs w:val="21"/>
        </w:rPr>
        <w:t>数据接入、数据存储</w:t>
      </w:r>
      <w:r>
        <w:rPr>
          <w:rFonts w:hint="eastAsia" w:cs="Times New Roman" w:asciiTheme="majorEastAsia" w:hAnsiTheme="majorEastAsia" w:eastAsiaTheme="majorEastAsia"/>
          <w:color w:val="auto"/>
          <w:sz w:val="24"/>
          <w:szCs w:val="21"/>
        </w:rPr>
        <w:t>、数据处理</w:t>
      </w:r>
      <w:r>
        <w:rPr>
          <w:rFonts w:cs="Times New Roman" w:asciiTheme="majorEastAsia" w:hAnsiTheme="majorEastAsia" w:eastAsiaTheme="majorEastAsia"/>
          <w:color w:val="auto"/>
          <w:sz w:val="24"/>
          <w:szCs w:val="21"/>
        </w:rPr>
        <w:t>、数据发布、数据交换、数据应用提供强制性的技术约束，确保</w:t>
      </w:r>
      <w:r>
        <w:rPr>
          <w:rFonts w:hint="eastAsia" w:cs="Times New Roman" w:asciiTheme="majorEastAsia" w:hAnsiTheme="majorEastAsia" w:eastAsiaTheme="majorEastAsia"/>
          <w:color w:val="auto"/>
          <w:sz w:val="24"/>
          <w:szCs w:val="21"/>
        </w:rPr>
        <w:t>城市</w:t>
      </w:r>
      <w:r>
        <w:rPr>
          <w:rFonts w:cs="Times New Roman" w:asciiTheme="majorEastAsia" w:hAnsiTheme="majorEastAsia" w:eastAsiaTheme="majorEastAsia"/>
          <w:color w:val="auto"/>
          <w:sz w:val="24"/>
          <w:szCs w:val="21"/>
        </w:rPr>
        <w:t>管理的数据治理工作规范、统一、有据。</w:t>
      </w:r>
    </w:p>
    <w:p w14:paraId="2C89E37D">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数据标准规范建设包括业务数据标准、数据资源目录标准等。</w:t>
      </w:r>
    </w:p>
    <w:p w14:paraId="7F37CDA5">
      <w:pPr>
        <w:pStyle w:val="7"/>
        <w:numPr>
          <w:ilvl w:val="4"/>
          <w:numId w:val="36"/>
        </w:numPr>
        <w:spacing w:line="240" w:lineRule="auto"/>
        <w:rPr>
          <w:bCs/>
          <w:color w:val="auto"/>
        </w:rPr>
      </w:pPr>
      <w:r>
        <w:rPr>
          <w:bCs/>
          <w:color w:val="auto"/>
        </w:rPr>
        <w:t>业务数据标准</w:t>
      </w:r>
    </w:p>
    <w:p w14:paraId="76AF7878">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业务数据标准是为了消除相同属性信息因定义和描述不一致而导致信息理解和使用出现偏差，是各信息业务系统建设、业务数据交互的重要参考。数据标准管理提供一整套标准的维护、查询和落地功能，方便以最小的劳动成本管理数据标准。</w:t>
      </w:r>
    </w:p>
    <w:p w14:paraId="2F5F26B5">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数据标准管理工作需要明确专门的组织与人员。数据标准是对数据进行的统一定义，包括标准的业务属性、技术属性和管理属性三部分。所以数据标准的管理组织应该涵盖各业务部门和技术部门的相关人员，并逐条标准定义责任人。具体的角色、职责和建议的责任部门需要建设单位参与制订。</w:t>
      </w:r>
    </w:p>
    <w:p w14:paraId="74DAD5E6">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数据标准管理流程包括数据标准申请流程、数据标准制定审核流程、数据标准发布流程、数据标准推广流程和数据标准复审流程五部分，前三个流程组成数据标准制定与维护的全过程，后两个流程组成数据标准执行与验证的全过程，两大过程形成数据标准管理的闭环，实现数据标准的持续提升和落地实施模式。</w:t>
      </w:r>
    </w:p>
    <w:p w14:paraId="0B01146C">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数据标准管理平台负责维护用户统一的数据标准信息，是用户各信息业务系统建设、业务数据交互的重要参考。该系统应能够支持对基础主题数据标准、应用专题数据标准、数据基础指标口径的管理与维护，提供各项标准文件的查阅与修订功能，及时跟踪反映各项标准的执行情况。</w:t>
      </w:r>
    </w:p>
    <w:p w14:paraId="1324F7C2">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（1）标准浏览</w:t>
      </w:r>
    </w:p>
    <w:p w14:paraId="22DE1EA5">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基于标准梳理结果，对数据标准和标准落地进行全方位的信息展现，并可通过页面超链接的方式，对标准主题和公共代码之间的引用关系，以及标准到业务源系统落地情况进行灵活导航，方便用户快速地了解到标准间依赖关系、标准落地情况。</w:t>
      </w:r>
    </w:p>
    <w:p w14:paraId="5F9105FC">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（2）基础主题标准维护</w:t>
      </w:r>
    </w:p>
    <w:p w14:paraId="65260258">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系统提供对已梳理基础主题数据标准的管理维护功能，包括修改、提交、审核、发布等基础维护功能</w:t>
      </w:r>
    </w:p>
    <w:p w14:paraId="6C616047">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（3）指标标准维护</w:t>
      </w:r>
    </w:p>
    <w:p w14:paraId="17AC049F">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①</w:t>
      </w:r>
      <w:r>
        <w:rPr>
          <w:rFonts w:cs="Times New Roman" w:asciiTheme="majorEastAsia" w:hAnsiTheme="majorEastAsia" w:eastAsiaTheme="majorEastAsia"/>
          <w:color w:val="auto"/>
          <w:sz w:val="24"/>
          <w:szCs w:val="21"/>
        </w:rPr>
        <w:t>数据标准定义的维护：包含纳入指标数据标准定义范畴的数据标准项。</w:t>
      </w:r>
    </w:p>
    <w:p w14:paraId="4FA93CF8">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②</w:t>
      </w:r>
      <w:r>
        <w:rPr>
          <w:rFonts w:cs="Times New Roman" w:asciiTheme="majorEastAsia" w:hAnsiTheme="majorEastAsia" w:eastAsiaTheme="majorEastAsia"/>
          <w:color w:val="auto"/>
          <w:sz w:val="24"/>
          <w:szCs w:val="21"/>
        </w:rPr>
        <w:t>维度定义的维护：包含了“数据标准定义”中涉及的维度名称及定义描述。</w:t>
      </w:r>
    </w:p>
    <w:p w14:paraId="2980DA2A">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③</w:t>
      </w:r>
      <w:r>
        <w:rPr>
          <w:rFonts w:cs="Times New Roman" w:asciiTheme="majorEastAsia" w:hAnsiTheme="majorEastAsia" w:eastAsiaTheme="majorEastAsia"/>
          <w:color w:val="auto"/>
          <w:sz w:val="24"/>
          <w:szCs w:val="21"/>
        </w:rPr>
        <w:t>维值代码定义的维护：包含了“维度定义”中所需解释的维值名称、代码取值及描述，是对维度的进一步描述。</w:t>
      </w:r>
    </w:p>
    <w:p w14:paraId="544CD4CB">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④</w:t>
      </w:r>
      <w:r>
        <w:rPr>
          <w:rFonts w:cs="Times New Roman" w:asciiTheme="majorEastAsia" w:hAnsiTheme="majorEastAsia" w:eastAsiaTheme="majorEastAsia"/>
          <w:color w:val="auto"/>
          <w:sz w:val="24"/>
          <w:szCs w:val="21"/>
        </w:rPr>
        <w:t>公共统计规则的维护：包含了“数据标准定义”中所用到的适用统计规则。</w:t>
      </w:r>
    </w:p>
    <w:p w14:paraId="046A8757">
      <w:pPr>
        <w:pStyle w:val="7"/>
        <w:numPr>
          <w:ilvl w:val="4"/>
          <w:numId w:val="36"/>
        </w:numPr>
        <w:spacing w:line="240" w:lineRule="auto"/>
        <w:rPr>
          <w:bCs/>
          <w:color w:val="auto"/>
        </w:rPr>
      </w:pPr>
      <w:r>
        <w:rPr>
          <w:bCs/>
          <w:color w:val="auto"/>
        </w:rPr>
        <w:t>数据资源目录标准</w:t>
      </w:r>
    </w:p>
    <w:p w14:paraId="7D7EFE21">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数据资源目录管理是按照统一的数据资源目录标准规范，对数据资源进行统一管理，实现应急数据资源科学、有序、安全使用。主要包括资源分类与编目、目录注册与注销、目录更新、目录同步、目录服务和可视化展现。</w:t>
      </w:r>
    </w:p>
    <w:p w14:paraId="76F02151">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数据资源分类与编目：按照数据资源目录标准规范，对数据治理系统存储的数据资源和通过接口方式提供数据治理系统使用的数据资源进行梳理，并赋予唯一的目录标识符和编码。</w:t>
      </w:r>
    </w:p>
    <w:p w14:paraId="3AE6A23C">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数据目录注册与注销：由资源所属单位在本地数据治理系统的数据资源目录管理模块中填写数据资源目录信息，审核、审批通过后完成注册。支持资源分级分类配置，支持批量模板导入。当数据资源暂时失效时，停用相关数据资源目录。当数据资源彻底失效时，注销相关数据资源目录。当数据资源恢复使用时，重新启用相关数据资源目录。</w:t>
      </w:r>
    </w:p>
    <w:p w14:paraId="3D714EFA">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数据资源目录更新：当数据资源发生变化时，对资源目录进行更新。</w:t>
      </w:r>
    </w:p>
    <w:p w14:paraId="3605F68C">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数据资源目录同步：本地数据资源目录发生变化时，下级目录需向上级目录进行汇聚，上级目录需向下级目录分发。</w:t>
      </w:r>
    </w:p>
    <w:p w14:paraId="06F5A82E">
      <w:pPr>
        <w:spacing w:before="159" w:after="159"/>
        <w:ind w:firstLine="480" w:firstLineChars="200"/>
        <w:rPr>
          <w:rFonts w:cs="Times New Roman" w:asciiTheme="majorEastAsia" w:hAnsiTheme="majorEastAsia" w:eastAsiaTheme="majorEastAsia"/>
          <w:color w:val="auto"/>
          <w:sz w:val="24"/>
          <w:szCs w:val="22"/>
        </w:rPr>
      </w:pPr>
      <w:r>
        <w:rPr>
          <w:rFonts w:hint="eastAsia" w:cs="Times New Roman" w:asciiTheme="majorEastAsia" w:hAnsiTheme="majorEastAsia" w:eastAsiaTheme="majorEastAsia"/>
          <w:color w:val="auto"/>
          <w:sz w:val="24"/>
          <w:szCs w:val="22"/>
        </w:rPr>
        <w:t>数据资源目录服务：支持用户按照权限查看数据资源目录，支持根据数据资源目录相关属性和数据项进行数据资源的查询。支持目录注册、查询、核查和更新、同步服务接口。</w:t>
      </w:r>
    </w:p>
    <w:p w14:paraId="452CE174">
      <w:pPr>
        <w:pStyle w:val="6"/>
        <w:numPr>
          <w:ilvl w:val="3"/>
          <w:numId w:val="36"/>
        </w:numPr>
        <w:spacing w:line="240" w:lineRule="auto"/>
        <w:rPr>
          <w:color w:val="auto"/>
        </w:rPr>
      </w:pPr>
      <w:r>
        <w:rPr>
          <w:rFonts w:hint="eastAsia"/>
          <w:color w:val="auto"/>
        </w:rPr>
        <w:t>数据治理子系统</w:t>
      </w:r>
    </w:p>
    <w:p w14:paraId="626E4457">
      <w:pPr>
        <w:pStyle w:val="7"/>
        <w:numPr>
          <w:ilvl w:val="4"/>
          <w:numId w:val="36"/>
        </w:numPr>
        <w:spacing w:line="240" w:lineRule="auto"/>
        <w:rPr>
          <w:color w:val="auto"/>
        </w:rPr>
      </w:pPr>
      <w:r>
        <w:rPr>
          <w:rFonts w:hint="eastAsia"/>
          <w:bCs/>
          <w:color w:val="auto"/>
        </w:rPr>
        <w:t>数据</w:t>
      </w:r>
      <w:r>
        <w:rPr>
          <w:rFonts w:hint="eastAsia"/>
          <w:color w:val="auto"/>
        </w:rPr>
        <w:t>汇聚</w:t>
      </w:r>
    </w:p>
    <w:p w14:paraId="071088D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根据城市综合管理工作要求，汇聚城市管理基础数据、城市部件事件监管数据、城市管理行业应用数据、相关行业数据、公众诉求数据、网络舆情数据等，对各类数据进行清洗、校验、抽取、融合，实现对福州市应急管理数据体系以全市各类海量数据为基础，结合其他部门数据、行业数据和互联网数据，形成全方位获取、全网络汇聚、全维度整合的城市综合管理服务数据采集感知体系，智能处理、精细治理、分类组织的数据资源融合体系，统一调度、精准服务、安全可控的信息共享服务体系，覆盖数据接入、数据处理、数据应用、数据共享交换和数据管控等过程。</w:t>
      </w:r>
    </w:p>
    <w:p w14:paraId="5407B3FF">
      <w:pPr>
        <w:pStyle w:val="8"/>
        <w:numPr>
          <w:ilvl w:val="5"/>
          <w:numId w:val="36"/>
        </w:numPr>
        <w:spacing w:line="240" w:lineRule="auto"/>
        <w:rPr>
          <w:rFonts w:asciiTheme="majorEastAsia" w:hAnsiTheme="majorEastAsia" w:eastAsiaTheme="majorEastAsia"/>
          <w:bCs/>
          <w:color w:val="auto"/>
        </w:rPr>
      </w:pPr>
      <w:r>
        <w:rPr>
          <w:rFonts w:hint="eastAsia" w:asciiTheme="majorEastAsia" w:hAnsiTheme="majorEastAsia" w:eastAsiaTheme="majorEastAsia"/>
          <w:bCs/>
          <w:color w:val="auto"/>
        </w:rPr>
        <w:t>物理拷贝采集</w:t>
      </w:r>
    </w:p>
    <w:p w14:paraId="0A16D88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物理拷贝方式，采用传统的移动硬盘、硬盘、DVD和VCD等数据存储介质通过硬拷贝方式实现数据共享的模式。采用该模式的实现环境主要有以下几种情况：</w:t>
      </w:r>
    </w:p>
    <w:p w14:paraId="457FA18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（1）数据应用部门与应急数据层存在着网络互联互通的障碍，导致无法通过网络实现数据共享。</w:t>
      </w:r>
    </w:p>
    <w:p w14:paraId="79EB6C7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（2）数据量较大，基于网络传输模式无法满足用户要求。例如海量影像，数据量高达几百个GB，甚至是TB，采用网络方式进行数据共享不但容易造成网络阻塞，而且成本代价较大，往往采用物理拷贝模式。</w:t>
      </w:r>
    </w:p>
    <w:p w14:paraId="539FCA50">
      <w:pPr>
        <w:pStyle w:val="8"/>
        <w:numPr>
          <w:ilvl w:val="5"/>
          <w:numId w:val="36"/>
        </w:numPr>
        <w:spacing w:line="240" w:lineRule="auto"/>
        <w:rPr>
          <w:rFonts w:cs="Times New Roman" w:asciiTheme="majorEastAsia" w:hAnsiTheme="majorEastAsia" w:eastAsiaTheme="majorEastAsia"/>
          <w:color w:val="auto"/>
          <w:szCs w:val="24"/>
        </w:rPr>
      </w:pPr>
      <w:r>
        <w:rPr>
          <w:rFonts w:cs="Times New Roman" w:asciiTheme="majorEastAsia" w:hAnsiTheme="majorEastAsia" w:eastAsiaTheme="majorEastAsia"/>
          <w:color w:val="auto"/>
          <w:szCs w:val="24"/>
        </w:rPr>
        <w:t>数据上传采集</w:t>
      </w:r>
    </w:p>
    <w:p w14:paraId="65717B3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数据上传方式主要是通过平台提供的数据上传入口，上传各业务部门的相关数据，实现数据的共享。主要提供三种上传入口：</w:t>
      </w:r>
    </w:p>
    <w:p w14:paraId="43E586F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（1）通过登录数据采集模块的WEB界面，进行WEB界面直接上传相关数据。该方式适用于基层尚未建设数据填报系统的部门或者单位个人，如鼓楼区楼层信息采集员等。</w:t>
      </w:r>
    </w:p>
    <w:p w14:paraId="3F8F769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（2）通过搭建的FTP服务，各业务部门将所需要上传的资料通过FTP上传到平台中。</w:t>
      </w:r>
    </w:p>
    <w:p w14:paraId="3AAB273D">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数据上传采集的特点：通过系统对支持大附件上传；支持数据批量上传；支持数据断点续传等功能保障数据的传输速度和传输质量。</w:t>
      </w:r>
    </w:p>
    <w:p w14:paraId="21B78232">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（3）接口服务采集</w:t>
      </w:r>
    </w:p>
    <w:p w14:paraId="613EEC10">
      <w:pPr>
        <w:ind w:firstLine="480" w:firstLineChars="200"/>
        <w:rPr>
          <w:rFonts w:ascii="宋体" w:hAnsi="宋体" w:eastAsia="宋体" w:cs="Times New Roman"/>
          <w:color w:val="auto"/>
          <w:sz w:val="24"/>
        </w:rPr>
      </w:pPr>
      <w:r>
        <w:rPr>
          <w:rFonts w:hint="eastAsia" w:ascii="宋体" w:hAnsi="宋体" w:eastAsia="宋体" w:cs="Times New Roman"/>
          <w:color w:val="auto"/>
          <w:sz w:val="24"/>
        </w:rPr>
        <w:t>接口服务模式是属于一种较高层次的共享模式，各业务部门的应用系统建立与平台的接口，通过系统与系统之间的接口交互模式，实现数据的共享与调用。这种方式适用于省市级业务部门已经为下属区级部门建设信息化系统，区级部门已经通过该信息化系统实现业务运转，且该系统支持接口服务调用的情况。</w:t>
      </w:r>
    </w:p>
    <w:p w14:paraId="43F9E31C">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支持常见的接口服务有WebService、API等多种接口类型，满足平台的接口服务采集需求。</w:t>
      </w:r>
    </w:p>
    <w:p w14:paraId="1E7EA835">
      <w:pPr>
        <w:pStyle w:val="7"/>
        <w:numPr>
          <w:ilvl w:val="4"/>
          <w:numId w:val="36"/>
        </w:numPr>
        <w:spacing w:line="240" w:lineRule="auto"/>
        <w:rPr>
          <w:color w:val="auto"/>
        </w:rPr>
      </w:pPr>
      <w:r>
        <w:rPr>
          <w:rFonts w:hint="eastAsia"/>
          <w:color w:val="auto"/>
        </w:rPr>
        <w:t>数据采集</w:t>
      </w:r>
    </w:p>
    <w:p w14:paraId="35E3528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统一采集政府需要获取的政务数据，是多种数据的入口载体，按数据源可划分为局内部系统数据、局外部系统数据、物联网实时数据；按数据类型分为结构化数据、半结构化数据、非结构化数据等。核心任务是为数据共享与交换平台提供基础数据支撑服务。大数据平台需要采集各类内外部数据，形式多样，支持不同频度、不同形态的数据采集。采集方式包含网上数据填报、流方式、批量导入方式、外部数据文件导入、异构数据库导入、主动数据抽取增量追加方式、网上爬虫方式等，数据形态包括结构化数据、半结构化数据、非结构化数据。数据采集平台主要功能是实现各个采集点之间安全、可靠的数据采集。及时、自动识别并抽取前置服务器中需要对外发送的数据，交给消息传输系统进行发送。及时从消息总线上提取信息，进行解包和转换，保持到前置服务器中。能够方便、动态地改变数据采集的方式和流程。</w:t>
      </w:r>
    </w:p>
    <w:p w14:paraId="09D330BB">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数据探查与定义</w:t>
      </w:r>
    </w:p>
    <w:p w14:paraId="050EFE89">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1</w:t>
      </w:r>
      <w:r>
        <w:rPr>
          <w:rFonts w:hint="eastAsia" w:cs="宋体" w:asciiTheme="majorEastAsia" w:hAnsiTheme="majorEastAsia" w:eastAsiaTheme="majorEastAsia"/>
          <w:color w:val="auto"/>
          <w:sz w:val="24"/>
          <w:szCs w:val="21"/>
        </w:rPr>
        <w:t>数据探查</w:t>
      </w:r>
    </w:p>
    <w:p w14:paraId="2842809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数据探查是指通过对来源数据存储位置、提供方式、总量和更新情况、业务含义、字段格式语义和取值分布、数据结构、数据质量等进行多维度探查，以达到认识数据的目的，为数据定义提供依据。</w:t>
      </w:r>
    </w:p>
    <w:p w14:paraId="0B68DA54">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a)</w:t>
      </w:r>
      <w:r>
        <w:rPr>
          <w:rFonts w:hint="eastAsia" w:cs="宋体" w:asciiTheme="majorEastAsia" w:hAnsiTheme="majorEastAsia" w:eastAsiaTheme="majorEastAsia"/>
          <w:color w:val="auto"/>
          <w:sz w:val="24"/>
          <w:szCs w:val="21"/>
        </w:rPr>
        <w:t>业务探查：对来源表的业务含义进行探查，帮助更准确地理解和把握数据；</w:t>
      </w:r>
    </w:p>
    <w:p w14:paraId="4B653BCD">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b)</w:t>
      </w:r>
      <w:r>
        <w:rPr>
          <w:rFonts w:hint="eastAsia" w:cs="宋体" w:asciiTheme="majorEastAsia" w:hAnsiTheme="majorEastAsia" w:eastAsiaTheme="majorEastAsia"/>
          <w:color w:val="auto"/>
          <w:sz w:val="24"/>
          <w:szCs w:val="21"/>
        </w:rPr>
        <w:t>接入方式探查：对来源表的存储位置、提供方式进行探查，为数据定义提供依据；</w:t>
      </w:r>
    </w:p>
    <w:p w14:paraId="58A95774">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c)</w:t>
      </w:r>
      <w:r>
        <w:rPr>
          <w:rFonts w:hint="eastAsia" w:cs="宋体" w:asciiTheme="majorEastAsia" w:hAnsiTheme="majorEastAsia" w:eastAsiaTheme="majorEastAsia"/>
          <w:color w:val="auto"/>
          <w:sz w:val="24"/>
          <w:szCs w:val="21"/>
        </w:rPr>
        <w:t>字段探查：对具体字段的数据内容进行探查，识别其代表的含义和统计分布情况。主要包括</w:t>
      </w:r>
      <w:r>
        <w:rPr>
          <w:rFonts w:cs="宋体" w:asciiTheme="majorEastAsia" w:hAnsiTheme="majorEastAsia" w:eastAsiaTheme="majorEastAsia"/>
          <w:color w:val="auto"/>
          <w:sz w:val="24"/>
          <w:szCs w:val="21"/>
        </w:rPr>
        <w:t>:</w:t>
      </w:r>
    </w:p>
    <w:p w14:paraId="17A73B4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空值率探查：统计字段空值占比情况。一方面可重点关注空值率高的重要字段，另一方面可通过与历史情况比较及时发现数据质量的动态变化；</w:t>
      </w:r>
    </w:p>
    <w:p w14:paraId="4B9C3AB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值域及分布探查：对字段的值域范围以及分布情况进行探查；</w:t>
      </w:r>
    </w:p>
    <w:p w14:paraId="42244D7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命名</w:t>
      </w:r>
      <w:r>
        <w:rPr>
          <w:rFonts w:hint="eastAsia" w:cs="宋体" w:asciiTheme="majorEastAsia" w:hAnsiTheme="majorEastAsia" w:eastAsiaTheme="majorEastAsia"/>
          <w:color w:val="auto"/>
          <w:sz w:val="24"/>
          <w:szCs w:val="22"/>
        </w:rPr>
        <w:t>实体</w:t>
      </w:r>
      <w:r>
        <w:rPr>
          <w:rFonts w:hint="eastAsia" w:cs="宋体" w:asciiTheme="majorEastAsia" w:hAnsiTheme="majorEastAsia" w:eastAsiaTheme="majorEastAsia"/>
          <w:color w:val="auto"/>
          <w:sz w:val="24"/>
          <w:szCs w:val="21"/>
        </w:rPr>
        <w:t>探查：根据数据内容识别人名、地名、机构名、手机号等命名实体，帮助理解字段语义；</w:t>
      </w:r>
      <w:r>
        <w:rPr>
          <w:rFonts w:cs="宋体" w:asciiTheme="majorEastAsia" w:hAnsiTheme="majorEastAsia" w:eastAsiaTheme="majorEastAsia"/>
          <w:color w:val="auto"/>
          <w:sz w:val="24"/>
          <w:szCs w:val="21"/>
        </w:rPr>
        <w:t xml:space="preserve"> </w:t>
      </w:r>
    </w:p>
    <w:p w14:paraId="3EE77A6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数据元探查：根据字段名字及内容，探查字段的确切语义，并与标准数据元进行映射；</w:t>
      </w:r>
    </w:p>
    <w:p w14:paraId="6B254C3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类型及</w:t>
      </w:r>
      <w:r>
        <w:rPr>
          <w:rFonts w:hint="eastAsia" w:cs="宋体" w:asciiTheme="majorEastAsia" w:hAnsiTheme="majorEastAsia" w:eastAsiaTheme="majorEastAsia"/>
          <w:color w:val="auto"/>
          <w:sz w:val="24"/>
          <w:szCs w:val="22"/>
        </w:rPr>
        <w:t>格式</w:t>
      </w:r>
      <w:r>
        <w:rPr>
          <w:rFonts w:hint="eastAsia" w:cs="宋体" w:asciiTheme="majorEastAsia" w:hAnsiTheme="majorEastAsia" w:eastAsiaTheme="majorEastAsia"/>
          <w:color w:val="auto"/>
          <w:sz w:val="24"/>
          <w:szCs w:val="21"/>
        </w:rPr>
        <w:t>探查：探查字段的类型及格式是否符合规范。</w:t>
      </w:r>
    </w:p>
    <w:p w14:paraId="676F8E54">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d)</w:t>
      </w:r>
      <w:r>
        <w:rPr>
          <w:rFonts w:hint="eastAsia" w:cs="宋体" w:asciiTheme="majorEastAsia" w:hAnsiTheme="majorEastAsia" w:eastAsiaTheme="majorEastAsia"/>
          <w:color w:val="auto"/>
          <w:sz w:val="24"/>
          <w:szCs w:val="21"/>
        </w:rPr>
        <w:t>数据集探查：针对来源数据集表名、引用数据元情况，探查数据集是否是标准数据集。探查数据总量、增量及更新情况，为数据接入、处理和组织提供依据；</w:t>
      </w:r>
    </w:p>
    <w:p w14:paraId="6A24D04D">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e)</w:t>
      </w:r>
      <w:r>
        <w:rPr>
          <w:rFonts w:hint="eastAsia" w:cs="宋体" w:asciiTheme="majorEastAsia" w:hAnsiTheme="majorEastAsia" w:eastAsiaTheme="majorEastAsia"/>
          <w:color w:val="auto"/>
          <w:sz w:val="24"/>
          <w:szCs w:val="21"/>
        </w:rPr>
        <w:t>问题数据探查：探查字段中不符合规范的数据，</w:t>
      </w:r>
      <w:r>
        <w:rPr>
          <w:rFonts w:hint="eastAsia" w:ascii="宋体" w:hAnsi="宋体" w:eastAsia="宋体" w:cs="宋体"/>
          <w:color w:val="auto"/>
          <w:sz w:val="24"/>
        </w:rPr>
        <w:t>给后续数据梳理规则</w:t>
      </w:r>
      <w:r>
        <w:rPr>
          <w:rFonts w:hint="eastAsia" w:cs="宋体" w:asciiTheme="majorEastAsia" w:hAnsiTheme="majorEastAsia" w:eastAsiaTheme="majorEastAsia"/>
          <w:color w:val="auto"/>
          <w:sz w:val="24"/>
          <w:szCs w:val="21"/>
        </w:rPr>
        <w:t>的制定提供依据。</w:t>
      </w:r>
    </w:p>
    <w:p w14:paraId="33158026">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2)</w:t>
      </w:r>
      <w:r>
        <w:rPr>
          <w:rFonts w:hint="eastAsia" w:cs="宋体" w:asciiTheme="majorEastAsia" w:hAnsiTheme="majorEastAsia" w:eastAsiaTheme="majorEastAsia"/>
          <w:color w:val="auto"/>
          <w:sz w:val="24"/>
          <w:szCs w:val="21"/>
        </w:rPr>
        <w:t>数据定义</w:t>
      </w:r>
    </w:p>
    <w:p w14:paraId="6BF3C0C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数据定义是指根据数据探查结果，结合业务需求在起始阶段定义数据获取、处理、治理、组织、服务各环节的流程和方法，数据定义结果以元数据的形式描述并输出。数据定义结果动态可维护，并提供调用服务。</w:t>
      </w:r>
    </w:p>
    <w:p w14:paraId="4D11B55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数据定义的功能包括以下方面</w:t>
      </w:r>
      <w:r>
        <w:rPr>
          <w:rFonts w:cs="宋体" w:asciiTheme="majorEastAsia" w:hAnsiTheme="majorEastAsia" w:eastAsiaTheme="majorEastAsia"/>
          <w:color w:val="auto"/>
          <w:sz w:val="24"/>
          <w:szCs w:val="21"/>
        </w:rPr>
        <w:t>:</w:t>
      </w:r>
    </w:p>
    <w:p w14:paraId="59DC5D0F">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a)</w:t>
      </w:r>
      <w:r>
        <w:rPr>
          <w:rFonts w:hint="eastAsia" w:cs="宋体" w:asciiTheme="majorEastAsia" w:hAnsiTheme="majorEastAsia" w:eastAsiaTheme="majorEastAsia"/>
          <w:color w:val="auto"/>
          <w:sz w:val="24"/>
          <w:szCs w:val="21"/>
        </w:rPr>
        <w:t>数据治理定义：</w:t>
      </w:r>
    </w:p>
    <w:p w14:paraId="546084D0">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元数据定义：根据内容探查结果进行数据集推荐、数据元对标和人工确认；</w:t>
      </w:r>
    </w:p>
    <w:p w14:paraId="4F0B73D6">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分级分类定义：定义数据集、数据项、数据项关系敏感度分类，定义数据记录敏感级别的标注规则；</w:t>
      </w:r>
    </w:p>
    <w:p w14:paraId="4CEECAB4">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数据血缘定义：定义来源数据、原始库、资源库、主题库、知识库、业务库等各层数据资源、数据项间的继承关系；</w:t>
      </w:r>
    </w:p>
    <w:p w14:paraId="384806D3">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数据质量定义：定义数据全生命周期的质量监测、实时质量分析、数据质量报告等相关策略；</w:t>
      </w:r>
    </w:p>
    <w:p w14:paraId="3203777A">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数据运维定义：定义数据接入、处理、组织和服务等各项任务的运维监测、记录、输出等相关策略。</w:t>
      </w:r>
    </w:p>
    <w:p w14:paraId="6AA94026">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b)</w:t>
      </w:r>
      <w:r>
        <w:rPr>
          <w:rFonts w:hint="eastAsia" w:cs="宋体" w:asciiTheme="majorEastAsia" w:hAnsiTheme="majorEastAsia" w:eastAsiaTheme="majorEastAsia"/>
          <w:color w:val="auto"/>
          <w:sz w:val="24"/>
          <w:szCs w:val="21"/>
        </w:rPr>
        <w:t>数据处理定义：根据接入数据的特点，定义数据的抽取、转换、加载策略；定义各层数据资源间流转的提取、清洗、关联、比对、标识等处理的策略</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定义按需进行的基础统计策略</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定义按需调度的后续计算策略，以及处理后数据按原始库、资源库、主题库、知识库、业务库的分发策略；</w:t>
      </w:r>
    </w:p>
    <w:p w14:paraId="38DA5057">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c)</w:t>
      </w:r>
      <w:r>
        <w:rPr>
          <w:rFonts w:hint="eastAsia" w:cs="宋体" w:asciiTheme="majorEastAsia" w:hAnsiTheme="majorEastAsia" w:eastAsiaTheme="majorEastAsia"/>
          <w:color w:val="auto"/>
          <w:sz w:val="24"/>
          <w:szCs w:val="21"/>
        </w:rPr>
        <w:t>数据组织定义</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根据数据产生原始库、资源库、主题库、知识库、业务库的数据敏感度、数据规模（存量、增量）、数据预期使用规划、数据性质等因素，确定数据存储分区管理、数据加密、数据库技术、索引建立等策略；</w:t>
      </w:r>
    </w:p>
    <w:p w14:paraId="2C48C6EF">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d)</w:t>
      </w:r>
      <w:r>
        <w:rPr>
          <w:rFonts w:hint="eastAsia" w:cs="宋体" w:asciiTheme="majorEastAsia" w:hAnsiTheme="majorEastAsia" w:eastAsiaTheme="majorEastAsia"/>
          <w:color w:val="auto"/>
          <w:sz w:val="24"/>
          <w:szCs w:val="21"/>
        </w:rPr>
        <w:t>数据服务定义</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结合数据组织，定义数据的查询检索、比对订阅、模型分析、数据推送等服务策略及服务条件。</w:t>
      </w:r>
    </w:p>
    <w:p w14:paraId="28FD558B">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数据源对接</w:t>
      </w:r>
    </w:p>
    <w:p w14:paraId="381B289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库应用中，数据源作为数据库连接管理的标准接口，应用实例通过数据源获取到数据库的连接。应用实例通过内嵌的客户端与配置系统服务器交互。将某个数据库接入本系统中时，需要先注册其数据源信息，实现数据库的连接。对数据源的参数包括数据库</w:t>
      </w:r>
      <w:r>
        <w:rPr>
          <w:rFonts w:cs="宋体" w:asciiTheme="majorEastAsia" w:hAnsiTheme="majorEastAsia" w:eastAsiaTheme="majorEastAsia"/>
          <w:color w:val="auto"/>
          <w:sz w:val="24"/>
          <w:szCs w:val="21"/>
        </w:rPr>
        <w:t>IP</w:t>
      </w:r>
      <w:r>
        <w:rPr>
          <w:rFonts w:hint="eastAsia" w:cs="宋体" w:asciiTheme="majorEastAsia" w:hAnsiTheme="majorEastAsia" w:eastAsiaTheme="majorEastAsia"/>
          <w:color w:val="auto"/>
          <w:sz w:val="24"/>
          <w:szCs w:val="21"/>
        </w:rPr>
        <w:t>、端口、</w:t>
      </w:r>
      <w:r>
        <w:rPr>
          <w:rFonts w:cs="宋体" w:asciiTheme="majorEastAsia" w:hAnsiTheme="majorEastAsia" w:eastAsiaTheme="majorEastAsia"/>
          <w:color w:val="auto"/>
          <w:sz w:val="24"/>
          <w:szCs w:val="21"/>
        </w:rPr>
        <w:t>schema</w:t>
      </w:r>
      <w:r>
        <w:rPr>
          <w:rFonts w:hint="eastAsia" w:cs="宋体" w:asciiTheme="majorEastAsia" w:hAnsiTheme="majorEastAsia" w:eastAsiaTheme="majorEastAsia"/>
          <w:color w:val="auto"/>
          <w:sz w:val="24"/>
          <w:szCs w:val="21"/>
        </w:rPr>
        <w:t>、用户名、密码等连接参数进行配置。对于提供连接池功能的数据源，数据源的配置参数还包括最大连接数、最小连接数、空闲连接销毁时间等容量参数。</w:t>
      </w:r>
    </w:p>
    <w:p w14:paraId="0DD5B058">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数据抽取</w:t>
      </w:r>
    </w:p>
    <w:p w14:paraId="6931468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指从源系统抽取数据或从指定位置读取数据，检查数据是否与数据定义一致，不一致的停止接入，并重新进行数据的探查和定义，一致的执行进一步接入，</w:t>
      </w:r>
      <w:r>
        <w:rPr>
          <w:rFonts w:cs="宋体" w:asciiTheme="majorEastAsia" w:hAnsiTheme="majorEastAsia" w:eastAsiaTheme="majorEastAsia"/>
          <w:color w:val="auto"/>
          <w:sz w:val="24"/>
          <w:szCs w:val="21"/>
        </w:rPr>
        <w:t xml:space="preserve"> </w:t>
      </w:r>
      <w:r>
        <w:rPr>
          <w:rFonts w:hint="eastAsia" w:cs="宋体" w:asciiTheme="majorEastAsia" w:hAnsiTheme="majorEastAsia" w:eastAsiaTheme="majorEastAsia"/>
          <w:color w:val="auto"/>
          <w:sz w:val="24"/>
          <w:szCs w:val="21"/>
        </w:rPr>
        <w:t>对数据进行必要的解密、解压操作，生成作用于数据全生命周期的记录</w:t>
      </w:r>
      <w:r>
        <w:rPr>
          <w:rFonts w:cs="宋体" w:asciiTheme="majorEastAsia" w:hAnsiTheme="majorEastAsia" w:eastAsiaTheme="majorEastAsia"/>
          <w:color w:val="auto"/>
          <w:sz w:val="24"/>
          <w:szCs w:val="21"/>
        </w:rPr>
        <w:t xml:space="preserve"> ID</w:t>
      </w:r>
      <w:r>
        <w:rPr>
          <w:rFonts w:hint="eastAsia" w:cs="宋体" w:asciiTheme="majorEastAsia" w:hAnsiTheme="majorEastAsia" w:eastAsiaTheme="majorEastAsia"/>
          <w:color w:val="auto"/>
          <w:sz w:val="24"/>
          <w:szCs w:val="21"/>
        </w:rPr>
        <w:t>，并对数据进行字符集转换等，形成符合数据处理要求的格式。</w:t>
      </w:r>
    </w:p>
    <w:p w14:paraId="6625DD41">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1)</w:t>
      </w:r>
      <w:r>
        <w:rPr>
          <w:rFonts w:hint="eastAsia" w:cs="宋体" w:asciiTheme="majorEastAsia" w:hAnsiTheme="majorEastAsia" w:eastAsiaTheme="majorEastAsia"/>
          <w:color w:val="auto"/>
          <w:sz w:val="24"/>
          <w:szCs w:val="21"/>
        </w:rPr>
        <w:t>数据读取的功能</w:t>
      </w:r>
    </w:p>
    <w:p w14:paraId="5B04D099">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a)</w:t>
      </w:r>
      <w:r>
        <w:rPr>
          <w:rFonts w:hint="eastAsia" w:cs="宋体" w:asciiTheme="majorEastAsia" w:hAnsiTheme="majorEastAsia" w:eastAsiaTheme="majorEastAsia"/>
          <w:color w:val="auto"/>
          <w:sz w:val="24"/>
          <w:szCs w:val="21"/>
        </w:rPr>
        <w:t>数据接入管理：按照标准化模块方式建立可适配的多源异构数据接入模式。支持按照元数据对接入规则进行管理</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支持以插件方式对接入能力进行扩展</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实现对接入任务的调度与控制，及其运行状态的监控</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输出接入日志，用于接入环节的对账，以及接入效果评估；</w:t>
      </w:r>
    </w:p>
    <w:p w14:paraId="0A7AEA78">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b)</w:t>
      </w:r>
      <w:r>
        <w:rPr>
          <w:rFonts w:hint="eastAsia" w:cs="宋体" w:asciiTheme="majorEastAsia" w:hAnsiTheme="majorEastAsia" w:eastAsiaTheme="majorEastAsia"/>
          <w:color w:val="auto"/>
          <w:sz w:val="24"/>
          <w:szCs w:val="21"/>
        </w:rPr>
        <w:t>解压解密：支持对使用常见压缩算法的数据进行解压，支持包括</w:t>
      </w:r>
      <w:r>
        <w:rPr>
          <w:rFonts w:cs="宋体" w:asciiTheme="majorEastAsia" w:hAnsiTheme="majorEastAsia" w:eastAsiaTheme="majorEastAsia"/>
          <w:color w:val="auto"/>
          <w:sz w:val="24"/>
          <w:szCs w:val="21"/>
        </w:rPr>
        <w:t xml:space="preserve"> RAR</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ZIP</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GZIP</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LZ4</w:t>
      </w:r>
      <w:r>
        <w:rPr>
          <w:rFonts w:hint="eastAsia" w:cs="宋体" w:asciiTheme="majorEastAsia" w:hAnsiTheme="majorEastAsia" w:eastAsiaTheme="majorEastAsia"/>
          <w:color w:val="auto"/>
          <w:sz w:val="24"/>
          <w:szCs w:val="21"/>
        </w:rPr>
        <w:t>等常见的压缩格式。使用国家密码管理局检测认证的硬件密码机对加密数据进行解密，支持对称加密算法、非对称加密算法，支持特殊加密算法的插件式开发；</w:t>
      </w:r>
    </w:p>
    <w:p w14:paraId="4A02C990">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c)</w:t>
      </w:r>
      <w:r>
        <w:rPr>
          <w:rFonts w:hint="eastAsia" w:cs="宋体" w:asciiTheme="majorEastAsia" w:hAnsiTheme="majorEastAsia" w:eastAsiaTheme="majorEastAsia"/>
          <w:color w:val="auto"/>
          <w:sz w:val="24"/>
          <w:szCs w:val="21"/>
        </w:rPr>
        <w:t>记录</w:t>
      </w:r>
      <w:r>
        <w:rPr>
          <w:rFonts w:cs="宋体" w:asciiTheme="majorEastAsia" w:hAnsiTheme="majorEastAsia" w:eastAsiaTheme="majorEastAsia"/>
          <w:color w:val="auto"/>
          <w:sz w:val="24"/>
          <w:szCs w:val="21"/>
        </w:rPr>
        <w:t xml:space="preserve"> ID </w:t>
      </w:r>
      <w:r>
        <w:rPr>
          <w:rFonts w:hint="eastAsia" w:cs="宋体" w:asciiTheme="majorEastAsia" w:hAnsiTheme="majorEastAsia" w:eastAsiaTheme="majorEastAsia"/>
          <w:color w:val="auto"/>
          <w:sz w:val="24"/>
          <w:szCs w:val="21"/>
        </w:rPr>
        <w:t>生成：生成作用于数据全生命周期、全局唯一的主记录</w:t>
      </w:r>
      <w:r>
        <w:rPr>
          <w:rFonts w:cs="宋体" w:asciiTheme="majorEastAsia" w:hAnsiTheme="majorEastAsia" w:eastAsiaTheme="majorEastAsia"/>
          <w:color w:val="auto"/>
          <w:sz w:val="24"/>
          <w:szCs w:val="21"/>
        </w:rPr>
        <w:t xml:space="preserve"> ID </w:t>
      </w:r>
      <w:r>
        <w:rPr>
          <w:rFonts w:hint="eastAsia" w:cs="宋体" w:asciiTheme="majorEastAsia" w:hAnsiTheme="majorEastAsia" w:eastAsiaTheme="majorEastAsia"/>
          <w:color w:val="auto"/>
          <w:sz w:val="24"/>
          <w:szCs w:val="21"/>
        </w:rPr>
        <w:t>和附件记录</w:t>
      </w:r>
      <w:r>
        <w:rPr>
          <w:rFonts w:cs="宋体" w:asciiTheme="majorEastAsia" w:hAnsiTheme="majorEastAsia" w:eastAsiaTheme="majorEastAsia"/>
          <w:color w:val="auto"/>
          <w:sz w:val="24"/>
          <w:szCs w:val="21"/>
        </w:rPr>
        <w:t xml:space="preserve"> ID(</w:t>
      </w:r>
      <w:r>
        <w:rPr>
          <w:rFonts w:hint="eastAsia" w:cs="宋体" w:asciiTheme="majorEastAsia" w:hAnsiTheme="majorEastAsia" w:eastAsiaTheme="majorEastAsia"/>
          <w:color w:val="auto"/>
          <w:sz w:val="24"/>
          <w:szCs w:val="21"/>
        </w:rPr>
        <w:t>如果存在附件</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，并建立主记录和附件记录的关联；</w:t>
      </w:r>
    </w:p>
    <w:p w14:paraId="041C2C96">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d)</w:t>
      </w:r>
      <w:r>
        <w:rPr>
          <w:rFonts w:hint="eastAsia" w:cs="宋体" w:asciiTheme="majorEastAsia" w:hAnsiTheme="majorEastAsia" w:eastAsiaTheme="majorEastAsia"/>
          <w:color w:val="auto"/>
          <w:sz w:val="24"/>
          <w:szCs w:val="21"/>
        </w:rPr>
        <w:t>账单生成：生成用于数据处理对账的主记录清单和附件记录清单，在分发环节核账；</w:t>
      </w:r>
    </w:p>
    <w:p w14:paraId="1E70E655">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e)</w:t>
      </w:r>
      <w:r>
        <w:rPr>
          <w:rFonts w:hint="eastAsia" w:cs="宋体" w:asciiTheme="majorEastAsia" w:hAnsiTheme="majorEastAsia" w:eastAsiaTheme="majorEastAsia"/>
          <w:color w:val="auto"/>
          <w:sz w:val="24"/>
          <w:szCs w:val="21"/>
        </w:rPr>
        <w:t>其他转换工作：将数据转成符合数据处理要求的格式，如字符集转换等。</w:t>
      </w:r>
    </w:p>
    <w:p w14:paraId="5587103F">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2)</w:t>
      </w:r>
      <w:r>
        <w:rPr>
          <w:rFonts w:hint="eastAsia" w:cs="宋体" w:asciiTheme="majorEastAsia" w:hAnsiTheme="majorEastAsia" w:eastAsiaTheme="majorEastAsia"/>
          <w:color w:val="auto"/>
          <w:sz w:val="24"/>
          <w:szCs w:val="21"/>
        </w:rPr>
        <w:t>数据接入管理</w:t>
      </w:r>
    </w:p>
    <w:p w14:paraId="3D1028F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数据接入系统支持对数据的</w:t>
      </w:r>
      <w:r>
        <w:rPr>
          <w:rFonts w:cs="宋体" w:asciiTheme="majorEastAsia" w:hAnsiTheme="majorEastAsia" w:eastAsiaTheme="majorEastAsia"/>
          <w:color w:val="auto"/>
          <w:sz w:val="24"/>
          <w:szCs w:val="21"/>
        </w:rPr>
        <w:t xml:space="preserve"> DML </w:t>
      </w:r>
      <w:r>
        <w:rPr>
          <w:rFonts w:hint="eastAsia" w:cs="宋体" w:asciiTheme="majorEastAsia" w:hAnsiTheme="majorEastAsia" w:eastAsiaTheme="majorEastAsia"/>
          <w:color w:val="auto"/>
          <w:sz w:val="24"/>
          <w:szCs w:val="21"/>
        </w:rPr>
        <w:t>的抽取，抽取内容包括</w:t>
      </w:r>
      <w:r>
        <w:rPr>
          <w:rFonts w:cs="宋体" w:asciiTheme="majorEastAsia" w:hAnsiTheme="majorEastAsia" w:eastAsiaTheme="majorEastAsia"/>
          <w:color w:val="auto"/>
          <w:sz w:val="24"/>
          <w:szCs w:val="21"/>
        </w:rPr>
        <w:t xml:space="preserve"> insert</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update</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 xml:space="preserve">delete </w:t>
      </w:r>
      <w:r>
        <w:rPr>
          <w:rFonts w:hint="eastAsia" w:cs="宋体" w:asciiTheme="majorEastAsia" w:hAnsiTheme="majorEastAsia" w:eastAsiaTheme="majorEastAsia"/>
          <w:color w:val="auto"/>
          <w:sz w:val="24"/>
          <w:szCs w:val="21"/>
        </w:rPr>
        <w:t>语句的解析和内容抽取；支持对数据库</w:t>
      </w:r>
      <w:r>
        <w:rPr>
          <w:rFonts w:cs="宋体" w:asciiTheme="majorEastAsia" w:hAnsiTheme="majorEastAsia" w:eastAsiaTheme="majorEastAsia"/>
          <w:color w:val="auto"/>
          <w:sz w:val="24"/>
          <w:szCs w:val="21"/>
        </w:rPr>
        <w:t xml:space="preserve"> DDL </w:t>
      </w:r>
      <w:r>
        <w:rPr>
          <w:rFonts w:hint="eastAsia" w:cs="宋体" w:asciiTheme="majorEastAsia" w:hAnsiTheme="majorEastAsia" w:eastAsiaTheme="majorEastAsia"/>
          <w:color w:val="auto"/>
          <w:sz w:val="24"/>
          <w:szCs w:val="21"/>
        </w:rPr>
        <w:t>的抽取，抽取内容包括且不限于数据库表空间、用户、角色、视图、函数、索引、约束等，对关系型数据库的全量采集和增量采集。</w:t>
      </w:r>
    </w:p>
    <w:p w14:paraId="5A0355B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数据接入系统支持库到库、库到文件、文件到文件、文件到库的实时数据接入，包括</w:t>
      </w:r>
      <w:r>
        <w:rPr>
          <w:rFonts w:cs="宋体" w:asciiTheme="majorEastAsia" w:hAnsiTheme="majorEastAsia" w:eastAsiaTheme="majorEastAsia"/>
          <w:color w:val="auto"/>
          <w:sz w:val="24"/>
          <w:szCs w:val="21"/>
        </w:rPr>
        <w:t>MogoDB</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Hive</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HBase</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XML</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 xml:space="preserve">JSON </w:t>
      </w:r>
      <w:r>
        <w:rPr>
          <w:rFonts w:hint="eastAsia" w:cs="宋体" w:asciiTheme="majorEastAsia" w:hAnsiTheme="majorEastAsia" w:eastAsiaTheme="majorEastAsia"/>
          <w:color w:val="auto"/>
          <w:sz w:val="24"/>
          <w:szCs w:val="21"/>
        </w:rPr>
        <w:t>等，在可视化配置界面中通过拖拉建立和异构系统的映射关系。</w:t>
      </w:r>
    </w:p>
    <w:p w14:paraId="6E8BEE2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支持分布式存储，提供分布式文件共享存储、多副本功能，提供对分布式存储中的文件、文件夹进行权限控制，使得各系统只能访问授权的文件、文件夹。提供对分布式存储的可视化操作，包括对文件进行复制、粘贴、删除等。</w:t>
      </w:r>
    </w:p>
    <w:p w14:paraId="1B98041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数据接入系统支持流式处理系统，包括</w:t>
      </w:r>
      <w:r>
        <w:rPr>
          <w:rFonts w:cs="宋体" w:asciiTheme="majorEastAsia" w:hAnsiTheme="majorEastAsia" w:eastAsiaTheme="majorEastAsia"/>
          <w:color w:val="auto"/>
          <w:sz w:val="24"/>
          <w:szCs w:val="21"/>
        </w:rPr>
        <w:t xml:space="preserve"> CQ</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 xml:space="preserve">flink </w:t>
      </w:r>
      <w:r>
        <w:rPr>
          <w:rFonts w:hint="eastAsia" w:cs="宋体" w:asciiTheme="majorEastAsia" w:hAnsiTheme="majorEastAsia" w:eastAsiaTheme="majorEastAsia"/>
          <w:color w:val="auto"/>
          <w:sz w:val="24"/>
          <w:szCs w:val="21"/>
        </w:rPr>
        <w:t>等，支持</w:t>
      </w:r>
      <w:r>
        <w:rPr>
          <w:rFonts w:cs="宋体" w:asciiTheme="majorEastAsia" w:hAnsiTheme="majorEastAsia" w:eastAsiaTheme="majorEastAsia"/>
          <w:color w:val="auto"/>
          <w:sz w:val="24"/>
          <w:szCs w:val="21"/>
        </w:rPr>
        <w:t xml:space="preserve"> Flume </w:t>
      </w:r>
      <w:r>
        <w:rPr>
          <w:rFonts w:hint="eastAsia" w:cs="宋体" w:asciiTheme="majorEastAsia" w:hAnsiTheme="majorEastAsia" w:eastAsiaTheme="majorEastAsia"/>
          <w:color w:val="auto"/>
          <w:sz w:val="24"/>
          <w:szCs w:val="21"/>
        </w:rPr>
        <w:t>采集组建，支持消息中间件系统，如</w:t>
      </w:r>
      <w:r>
        <w:rPr>
          <w:rFonts w:cs="宋体" w:asciiTheme="majorEastAsia" w:hAnsiTheme="majorEastAsia" w:eastAsiaTheme="majorEastAsia"/>
          <w:color w:val="auto"/>
          <w:sz w:val="24"/>
          <w:szCs w:val="21"/>
        </w:rPr>
        <w:t xml:space="preserve"> kafka</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RabbitMQ</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 xml:space="preserve">ActiveMQ </w:t>
      </w:r>
      <w:r>
        <w:rPr>
          <w:rFonts w:hint="eastAsia" w:cs="宋体" w:asciiTheme="majorEastAsia" w:hAnsiTheme="majorEastAsia" w:eastAsiaTheme="majorEastAsia"/>
          <w:color w:val="auto"/>
          <w:sz w:val="24"/>
          <w:szCs w:val="21"/>
        </w:rPr>
        <w:t>等。支持实时流式数据接入、全量离线数据接入、周期性批量数据接入等多种数据接入方式。支持</w:t>
      </w:r>
      <w:r>
        <w:rPr>
          <w:rFonts w:cs="宋体" w:asciiTheme="majorEastAsia" w:hAnsiTheme="majorEastAsia" w:eastAsiaTheme="majorEastAsia"/>
          <w:color w:val="auto"/>
          <w:sz w:val="24"/>
          <w:szCs w:val="21"/>
        </w:rPr>
        <w:t xml:space="preserve"> push </w:t>
      </w:r>
      <w:r>
        <w:rPr>
          <w:rFonts w:hint="eastAsia" w:cs="宋体" w:asciiTheme="majorEastAsia" w:hAnsiTheme="majorEastAsia" w:eastAsiaTheme="majorEastAsia"/>
          <w:color w:val="auto"/>
          <w:sz w:val="24"/>
          <w:szCs w:val="21"/>
        </w:rPr>
        <w:t>被动接受和</w:t>
      </w:r>
      <w:r>
        <w:rPr>
          <w:rFonts w:cs="宋体" w:asciiTheme="majorEastAsia" w:hAnsiTheme="majorEastAsia" w:eastAsiaTheme="majorEastAsia"/>
          <w:color w:val="auto"/>
          <w:sz w:val="24"/>
          <w:szCs w:val="21"/>
        </w:rPr>
        <w:t xml:space="preserve"> pull </w:t>
      </w:r>
      <w:r>
        <w:rPr>
          <w:rFonts w:hint="eastAsia" w:cs="宋体" w:asciiTheme="majorEastAsia" w:hAnsiTheme="majorEastAsia" w:eastAsiaTheme="majorEastAsia"/>
          <w:color w:val="auto"/>
          <w:sz w:val="24"/>
          <w:szCs w:val="21"/>
        </w:rPr>
        <w:t>主动拉取两种方式。依据数据接入策略、传输策略对接入的结构化数据、半结构化数据、非结构化数据进行检验，并按接入输出分发策略进行输出存入原始库或分发给数据处理流程。</w:t>
      </w:r>
    </w:p>
    <w:p w14:paraId="2FFD27B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数据接入系统提供对多种文件格式的解析器，包括</w:t>
      </w:r>
      <w:r>
        <w:rPr>
          <w:rFonts w:cs="宋体" w:asciiTheme="majorEastAsia" w:hAnsiTheme="majorEastAsia" w:eastAsiaTheme="majorEastAsia"/>
          <w:color w:val="auto"/>
          <w:sz w:val="24"/>
          <w:szCs w:val="21"/>
        </w:rPr>
        <w:t xml:space="preserve"> BCP</w:t>
      </w:r>
      <w:r>
        <w:rPr>
          <w:rFonts w:hint="eastAsia" w:cs="宋体" w:asciiTheme="majorEastAsia" w:hAnsiTheme="majorEastAsia" w:eastAsiaTheme="majorEastAsia"/>
          <w:color w:val="auto"/>
          <w:sz w:val="24"/>
          <w:szCs w:val="21"/>
        </w:rPr>
        <w:t>、二进制、</w:t>
      </w:r>
      <w:r>
        <w:rPr>
          <w:rFonts w:cs="宋体" w:asciiTheme="majorEastAsia" w:hAnsiTheme="majorEastAsia" w:eastAsiaTheme="majorEastAsia"/>
          <w:color w:val="auto"/>
          <w:sz w:val="24"/>
          <w:szCs w:val="21"/>
        </w:rPr>
        <w:t>XML</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AVRO</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JSON</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 xml:space="preserve">CSV </w:t>
      </w:r>
      <w:r>
        <w:rPr>
          <w:rFonts w:hint="eastAsia" w:cs="宋体" w:asciiTheme="majorEastAsia" w:hAnsiTheme="majorEastAsia" w:eastAsiaTheme="majorEastAsia"/>
          <w:color w:val="auto"/>
          <w:sz w:val="24"/>
          <w:szCs w:val="21"/>
        </w:rPr>
        <w:t>及自定义格式</w:t>
      </w:r>
      <w:r>
        <w:rPr>
          <w:rFonts w:cs="宋体" w:asciiTheme="majorEastAsia" w:hAnsiTheme="majorEastAsia" w:eastAsiaTheme="majorEastAsia"/>
          <w:color w:val="auto"/>
          <w:sz w:val="24"/>
          <w:szCs w:val="21"/>
        </w:rPr>
        <w:t xml:space="preserve"> txt </w:t>
      </w:r>
      <w:r>
        <w:rPr>
          <w:rFonts w:hint="eastAsia" w:cs="宋体" w:asciiTheme="majorEastAsia" w:hAnsiTheme="majorEastAsia" w:eastAsiaTheme="majorEastAsia"/>
          <w:color w:val="auto"/>
          <w:sz w:val="24"/>
          <w:szCs w:val="21"/>
        </w:rPr>
        <w:t>文件，提供对</w:t>
      </w:r>
      <w:r>
        <w:rPr>
          <w:rFonts w:cs="宋体" w:asciiTheme="majorEastAsia" w:hAnsiTheme="majorEastAsia" w:eastAsiaTheme="majorEastAsia"/>
          <w:color w:val="auto"/>
          <w:sz w:val="24"/>
          <w:szCs w:val="21"/>
        </w:rPr>
        <w:t xml:space="preserve"> FTP/SFTP</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HTTP/HTTPS</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TCP/UDP</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Socket</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WebService</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 xml:space="preserve">SNMP </w:t>
      </w:r>
      <w:r>
        <w:rPr>
          <w:rFonts w:hint="eastAsia" w:cs="宋体" w:asciiTheme="majorEastAsia" w:hAnsiTheme="majorEastAsia" w:eastAsiaTheme="majorEastAsia"/>
          <w:color w:val="auto"/>
          <w:sz w:val="24"/>
          <w:szCs w:val="21"/>
        </w:rPr>
        <w:t>等标准协议的数据接收能力。</w:t>
      </w:r>
    </w:p>
    <w:p w14:paraId="59F7320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数据接入系统支持多节点文件接力传输功能，实现多节点文件传输，支持对文件、文件夹、文件夹下的指定文件，自动感知变化文件传输功能，包括：</w:t>
      </w:r>
      <w:r>
        <w:rPr>
          <w:rFonts w:cs="宋体" w:asciiTheme="majorEastAsia" w:hAnsiTheme="majorEastAsia" w:eastAsiaTheme="majorEastAsia"/>
          <w:color w:val="auto"/>
          <w:sz w:val="24"/>
          <w:szCs w:val="21"/>
        </w:rPr>
        <w:t xml:space="preserve">HTML </w:t>
      </w:r>
      <w:r>
        <w:rPr>
          <w:rFonts w:hint="eastAsia" w:cs="宋体" w:asciiTheme="majorEastAsia" w:hAnsiTheme="majorEastAsia" w:eastAsiaTheme="majorEastAsia"/>
          <w:color w:val="auto"/>
          <w:sz w:val="24"/>
          <w:szCs w:val="21"/>
        </w:rPr>
        <w:t>数据类型、</w:t>
      </w:r>
      <w:r>
        <w:rPr>
          <w:rFonts w:cs="宋体" w:asciiTheme="majorEastAsia" w:hAnsiTheme="majorEastAsia" w:eastAsiaTheme="majorEastAsia"/>
          <w:color w:val="auto"/>
          <w:sz w:val="24"/>
          <w:szCs w:val="21"/>
        </w:rPr>
        <w:t>EXCEL</w:t>
      </w:r>
      <w:r>
        <w:rPr>
          <w:rFonts w:hint="eastAsia" w:cs="宋体" w:asciiTheme="majorEastAsia" w:hAnsiTheme="majorEastAsia" w:eastAsiaTheme="majorEastAsia"/>
          <w:color w:val="auto"/>
          <w:sz w:val="24"/>
          <w:szCs w:val="21"/>
        </w:rPr>
        <w:t>表格数据类型、</w:t>
      </w:r>
      <w:r>
        <w:rPr>
          <w:rFonts w:cs="宋体" w:asciiTheme="majorEastAsia" w:hAnsiTheme="majorEastAsia" w:eastAsiaTheme="majorEastAsia"/>
          <w:color w:val="auto"/>
          <w:sz w:val="24"/>
          <w:szCs w:val="21"/>
        </w:rPr>
        <w:t xml:space="preserve">PDF </w:t>
      </w:r>
      <w:r>
        <w:rPr>
          <w:rFonts w:hint="eastAsia" w:cs="宋体" w:asciiTheme="majorEastAsia" w:hAnsiTheme="majorEastAsia" w:eastAsiaTheme="majorEastAsia"/>
          <w:color w:val="auto"/>
          <w:sz w:val="24"/>
          <w:szCs w:val="21"/>
        </w:rPr>
        <w:t>电子文件数据类型、</w:t>
      </w:r>
      <w:r>
        <w:rPr>
          <w:rFonts w:cs="宋体" w:asciiTheme="majorEastAsia" w:hAnsiTheme="majorEastAsia" w:eastAsiaTheme="majorEastAsia"/>
          <w:color w:val="auto"/>
          <w:sz w:val="24"/>
          <w:szCs w:val="21"/>
        </w:rPr>
        <w:t xml:space="preserve">WORD </w:t>
      </w:r>
      <w:r>
        <w:rPr>
          <w:rFonts w:hint="eastAsia" w:cs="宋体" w:asciiTheme="majorEastAsia" w:hAnsiTheme="majorEastAsia" w:eastAsiaTheme="majorEastAsia"/>
          <w:color w:val="auto"/>
          <w:sz w:val="24"/>
          <w:szCs w:val="21"/>
        </w:rPr>
        <w:t>文本文档数据类型、图像数据类型、音频数据类型、视频数据类型、超媒体数据类型等。提供过期文件数据接入系统中间数据缓存功能，通过</w:t>
      </w:r>
      <w:r>
        <w:rPr>
          <w:rFonts w:cs="宋体" w:asciiTheme="majorEastAsia" w:hAnsiTheme="majorEastAsia" w:eastAsiaTheme="majorEastAsia"/>
          <w:color w:val="auto"/>
          <w:sz w:val="24"/>
          <w:szCs w:val="21"/>
        </w:rPr>
        <w:t xml:space="preserve"> Redis</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 xml:space="preserve">Hazelcast </w:t>
      </w:r>
      <w:r>
        <w:rPr>
          <w:rFonts w:hint="eastAsia" w:cs="宋体" w:asciiTheme="majorEastAsia" w:hAnsiTheme="majorEastAsia" w:eastAsiaTheme="majorEastAsia"/>
          <w:color w:val="auto"/>
          <w:sz w:val="24"/>
          <w:szCs w:val="21"/>
        </w:rPr>
        <w:t>等实现分布式缓存提高数据的读取速率，保障数据的一致性。接入系统提供多通道数据传输，利用分层隔离原则，采用三种数据传输通道：通用数据传输通道、高优先级数据传输通道、高吞吐量数据传输通道。提供标准接口，针对特殊数据结构及类型做插件开发，进而支持多样化的数据来源。</w:t>
      </w:r>
    </w:p>
    <w:p w14:paraId="789F0EBB">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3)</w:t>
      </w:r>
      <w:r>
        <w:rPr>
          <w:rFonts w:hint="eastAsia" w:cs="宋体" w:asciiTheme="majorEastAsia" w:hAnsiTheme="majorEastAsia" w:eastAsiaTheme="majorEastAsia"/>
          <w:color w:val="auto"/>
          <w:sz w:val="24"/>
          <w:szCs w:val="21"/>
        </w:rPr>
        <w:t>数据接入策略配置</w:t>
      </w:r>
    </w:p>
    <w:p w14:paraId="7E75CAD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策略配置模块针对多数据源系统以及结构化数据、半结构化数据、非结构化数据的不同数据类型特点，按照抽取、同步、整合等数据处理步骤，提供一体化、可融合的数据适配解析器和数据转换功能，采用插件方式，支持二次开发，实现根据数据源情况的自适应数据解析和流程化处理。</w:t>
      </w:r>
    </w:p>
    <w:p w14:paraId="1CBAD2B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的策略配置模块支持任意种类、任意数据源、任意目标库的数据抽取传输，常用数据源、目标库类型主要有关系型数据库、列簇数据库、并行分布式数据库、内存数据库、全文索引数据库等主流数据库，支持</w:t>
      </w:r>
      <w:r>
        <w:rPr>
          <w:rFonts w:cs="宋体" w:asciiTheme="majorEastAsia" w:hAnsiTheme="majorEastAsia" w:eastAsiaTheme="majorEastAsia"/>
          <w:color w:val="auto"/>
          <w:sz w:val="24"/>
          <w:szCs w:val="21"/>
        </w:rPr>
        <w:t xml:space="preserve"> FTP</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XML</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CSV</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JSON</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EXCEL</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 xml:space="preserve">RCFILE </w:t>
      </w:r>
      <w:r>
        <w:rPr>
          <w:rFonts w:hint="eastAsia" w:cs="宋体" w:asciiTheme="majorEastAsia" w:hAnsiTheme="majorEastAsia" w:eastAsiaTheme="majorEastAsia"/>
          <w:color w:val="auto"/>
          <w:sz w:val="24"/>
          <w:szCs w:val="21"/>
        </w:rPr>
        <w:t>等常用文件类型，支持</w:t>
      </w:r>
      <w:r>
        <w:rPr>
          <w:rFonts w:cs="宋体" w:asciiTheme="majorEastAsia" w:hAnsiTheme="majorEastAsia" w:eastAsiaTheme="majorEastAsia"/>
          <w:color w:val="auto"/>
          <w:sz w:val="24"/>
          <w:szCs w:val="21"/>
        </w:rPr>
        <w:t xml:space="preserve"> kafka</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 xml:space="preserve">WebService </w:t>
      </w:r>
      <w:r>
        <w:rPr>
          <w:rFonts w:hint="eastAsia" w:cs="宋体" w:asciiTheme="majorEastAsia" w:hAnsiTheme="majorEastAsia" w:eastAsiaTheme="majorEastAsia"/>
          <w:color w:val="auto"/>
          <w:sz w:val="24"/>
          <w:szCs w:val="21"/>
        </w:rPr>
        <w:t>等消息处理类。</w:t>
      </w:r>
    </w:p>
    <w:p w14:paraId="552A6AC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的策略配置模块支持任意类型的抽取汇聚任务配置，主要包括异构数据库之间数据传输汇聚，不同类型、跨服务器的文件型数据传输，数据库和文件类、服务接口间相互传输等。策略配置模块实现基于数据源的异构数据自动解析，并能按照任务场景进行自定义配置，实现智能化、可视化、组件式数据汇聚整合任务构建。</w:t>
      </w:r>
    </w:p>
    <w:p w14:paraId="75C50FF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于数据接入周期不同需求的数据接入，策略配置模块支持多样化的数据接入周期配置。根据数据接入实际需求的不同，策略配置模块支持实时数据接入、周期数据接入、批量数据接入、增量数据接入、全量数据接入。对于实时更新的数据源，接入平台能够对数据源做实时的数据抽取，实现数据的周期性接入。对于实时性要求较低的数据源，可以通过用户自定义条件，对源数据做批量数据导出，实现用户自定义需求的批量接入。对于用户指定数据源，通过指定的导出字段或导出条件，对数据做周期性的增量导出，实现数据的增量接入。对于体量较小的数据源，通过用户配置，实现对源数据的全量数据导出，实现数据的一次性。</w:t>
      </w:r>
    </w:p>
    <w:p w14:paraId="19BC170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策略配置模块支持多样化输出配置。数据接入系统包含多样化的数据接入输出接口，可对的输出做多样化配置，这里包括本地存储系统、关系型数据库、</w:t>
      </w:r>
      <w:r>
        <w:rPr>
          <w:rFonts w:cs="宋体" w:asciiTheme="majorEastAsia" w:hAnsiTheme="majorEastAsia" w:eastAsiaTheme="majorEastAsia"/>
          <w:color w:val="auto"/>
          <w:sz w:val="24"/>
          <w:szCs w:val="21"/>
        </w:rPr>
        <w:t xml:space="preserve">nosql </w:t>
      </w:r>
      <w:r>
        <w:rPr>
          <w:rFonts w:hint="eastAsia" w:cs="宋体" w:asciiTheme="majorEastAsia" w:hAnsiTheme="majorEastAsia" w:eastAsiaTheme="majorEastAsia"/>
          <w:color w:val="auto"/>
          <w:sz w:val="24"/>
          <w:szCs w:val="21"/>
        </w:rPr>
        <w:t>数据库、图数据库、分布式文件系统、分布式缓存系统、全文存储系统、实时计算流系统、消息中间件系统，同时支持消息的订阅分发。</w:t>
      </w:r>
    </w:p>
    <w:p w14:paraId="7ADF2D0F">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4)</w:t>
      </w:r>
      <w:r>
        <w:rPr>
          <w:rFonts w:hint="eastAsia" w:cs="宋体" w:asciiTheme="majorEastAsia" w:hAnsiTheme="majorEastAsia" w:eastAsiaTheme="majorEastAsia"/>
          <w:color w:val="auto"/>
          <w:sz w:val="24"/>
          <w:szCs w:val="21"/>
        </w:rPr>
        <w:t>接入数据解密及解压</w:t>
      </w:r>
    </w:p>
    <w:p w14:paraId="6276B80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数据接入系统的解压模块支持对常见压缩算法压缩的数据的解压，支持的格式包括</w:t>
      </w:r>
      <w:r>
        <w:rPr>
          <w:rFonts w:cs="宋体" w:asciiTheme="majorEastAsia" w:hAnsiTheme="majorEastAsia" w:eastAsiaTheme="majorEastAsia"/>
          <w:color w:val="auto"/>
          <w:sz w:val="24"/>
          <w:szCs w:val="21"/>
        </w:rPr>
        <w:t>GZIP</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LZ4</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RAR</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 xml:space="preserve">ZIP </w:t>
      </w:r>
      <w:r>
        <w:rPr>
          <w:rFonts w:hint="eastAsia" w:cs="宋体" w:asciiTheme="majorEastAsia" w:hAnsiTheme="majorEastAsia" w:eastAsiaTheme="majorEastAsia"/>
          <w:color w:val="auto"/>
          <w:sz w:val="24"/>
          <w:szCs w:val="21"/>
        </w:rPr>
        <w:t>等压缩格式。</w:t>
      </w:r>
    </w:p>
    <w:p w14:paraId="31793F4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数据接入系统支持对国家密码管理局检测认证的密码机加密的数据进行解密。支持对对称加密算法、非对称加密算法加密的数据的解密。</w:t>
      </w:r>
    </w:p>
    <w:p w14:paraId="3332E8E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支持对特殊加密算法加密的数据进行定制的解密插件化功能开发。支持对特殊压缩算法压缩的数据进行定制解压缩插件化功能开发。</w:t>
      </w:r>
    </w:p>
    <w:p w14:paraId="06EC265B">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5)</w:t>
      </w:r>
      <w:r>
        <w:rPr>
          <w:rFonts w:hint="eastAsia" w:cs="宋体" w:asciiTheme="majorEastAsia" w:hAnsiTheme="majorEastAsia" w:eastAsiaTheme="majorEastAsia"/>
          <w:color w:val="auto"/>
          <w:sz w:val="24"/>
          <w:szCs w:val="21"/>
        </w:rPr>
        <w:t>接入数据断点续传</w:t>
      </w:r>
    </w:p>
    <w:p w14:paraId="643392C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支持数据传输过程中的断点续传。在数据总线传输过程中，当遇到网络故障、传输资源短缺、入原始库积压时，状态总线记录接入数据中断点及数据接入中断状态，控制总线在数据接入所需网络、存储等资源可用时，从排队任务中重新启动断点续传任务，分配数据总线资源，从数据断点处接入后续数据，不需要从头开始数据传输，从而节约数据传输时间，提高数据接入效率。在数据分发过程中，数据订阅方没能正常接收订阅的数据时，接入系统支持对失败数据做断点重发。</w:t>
      </w:r>
    </w:p>
    <w:p w14:paraId="27158823">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6)</w:t>
      </w:r>
      <w:r>
        <w:rPr>
          <w:rFonts w:hint="eastAsia" w:cs="宋体" w:asciiTheme="majorEastAsia" w:hAnsiTheme="majorEastAsia" w:eastAsiaTheme="majorEastAsia"/>
          <w:color w:val="auto"/>
          <w:sz w:val="24"/>
          <w:szCs w:val="21"/>
        </w:rPr>
        <w:t>数据接入任务管理</w:t>
      </w:r>
    </w:p>
    <w:p w14:paraId="27ED622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支持多样化的任务管理方式，实现了多种场景的任务调度机制对数据接入的任务支持多角度的任务件功能，支持异常处理、重新调度等功能，及时解决存在问题，恢复数据传输，确保按时完成数据汇聚整合任务，保证大数据中心数据资源的准确性、完整性和一致性。</w:t>
      </w:r>
    </w:p>
    <w:p w14:paraId="48E1F95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任务调度模块按照数据规模、更新频率、内容特征等数据属性特点，采用组建（插件）方式，分类实现不同场景下多元化数据抽取汇聚策略。对数据总量规模不大、增量有限的一般业务数据，采用传统数据抽取汇聚模式，实现与当前在用数据抽取工具的集成或开发类似功能。对高总量、高增长量的数据资源，采用大数据传输汇聚模式，实现任务自动切片分发、断点续传、节点管理、调度节点故障切换等功能。对视频图像、音频、文档等大文件数据，提供</w:t>
      </w:r>
      <w:r>
        <w:rPr>
          <w:rFonts w:cs="宋体" w:asciiTheme="majorEastAsia" w:hAnsiTheme="majorEastAsia" w:eastAsiaTheme="majorEastAsia"/>
          <w:color w:val="auto"/>
          <w:sz w:val="24"/>
          <w:szCs w:val="21"/>
        </w:rPr>
        <w:t xml:space="preserve"> FTP</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 xml:space="preserve">HTTP </w:t>
      </w:r>
      <w:r>
        <w:rPr>
          <w:rFonts w:hint="eastAsia" w:cs="宋体" w:asciiTheme="majorEastAsia" w:hAnsiTheme="majorEastAsia" w:eastAsiaTheme="majorEastAsia"/>
          <w:color w:val="auto"/>
          <w:sz w:val="24"/>
          <w:szCs w:val="21"/>
        </w:rPr>
        <w:t>等文件传输方式，实现断点续传、多线程并行等功能。</w:t>
      </w:r>
    </w:p>
    <w:p w14:paraId="76570CF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任务调度模块具有多样化的任务调度机制，支持各类转换程序和交换任务的灵活定制，方便用户对数据抽取汇聚任务的流程控制和动态处理。支持按年、月、周、日、小时、分钟、秒定时调度，可选指定有效时间内调度。增量情况下支持实时调度，数据近秒级同步。数据增量捕捉支持按时间戳、数据快照、日志等方式。</w:t>
      </w:r>
    </w:p>
    <w:p w14:paraId="035CD99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数据接入系统任务调度模块提供可视化配置调度策略功能，实现数据接入，文件传输等任务通过运行菜单进行调度的功能。提供事件触发调度功能，包括就绪文件触发、变化日志触发、</w:t>
      </w:r>
      <w:r>
        <w:rPr>
          <w:rFonts w:cs="宋体" w:asciiTheme="majorEastAsia" w:hAnsiTheme="majorEastAsia" w:eastAsiaTheme="majorEastAsia"/>
          <w:color w:val="auto"/>
          <w:sz w:val="24"/>
          <w:szCs w:val="21"/>
        </w:rPr>
        <w:t>http</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 xml:space="preserve">WebService </w:t>
      </w:r>
      <w:r>
        <w:rPr>
          <w:rFonts w:hint="eastAsia" w:cs="宋体" w:asciiTheme="majorEastAsia" w:hAnsiTheme="majorEastAsia" w:eastAsiaTheme="majorEastAsia"/>
          <w:color w:val="auto"/>
          <w:sz w:val="24"/>
          <w:szCs w:val="21"/>
        </w:rPr>
        <w:t>等接口触发（含</w:t>
      </w:r>
      <w:r>
        <w:rPr>
          <w:rFonts w:cs="宋体" w:asciiTheme="majorEastAsia" w:hAnsiTheme="majorEastAsia" w:eastAsiaTheme="majorEastAsia"/>
          <w:color w:val="auto"/>
          <w:sz w:val="24"/>
          <w:szCs w:val="21"/>
        </w:rPr>
        <w:t xml:space="preserve"> URL </w:t>
      </w:r>
      <w:r>
        <w:rPr>
          <w:rFonts w:hint="eastAsia" w:cs="宋体" w:asciiTheme="majorEastAsia" w:hAnsiTheme="majorEastAsia" w:eastAsiaTheme="majorEastAsia"/>
          <w:color w:val="auto"/>
          <w:sz w:val="24"/>
          <w:szCs w:val="21"/>
        </w:rPr>
        <w:t>调度），实现对满足条件的文件进行触发调度处理。提供文件分类调度功能，实现对满足条件的文件进行分类调度处理。</w:t>
      </w:r>
    </w:p>
    <w:p w14:paraId="7B8EF6A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数据接入系统任务调度模块提供流程调度组建，可视化配置任务的串行、并行等任务，实现多任务并行、串行、混合调度。提供任务代理调度功能，实现跨节点的任务之间的调度。提供操作系统的</w:t>
      </w:r>
      <w:r>
        <w:rPr>
          <w:rFonts w:cs="宋体" w:asciiTheme="majorEastAsia" w:hAnsiTheme="majorEastAsia" w:eastAsiaTheme="majorEastAsia"/>
          <w:color w:val="auto"/>
          <w:sz w:val="24"/>
          <w:szCs w:val="21"/>
        </w:rPr>
        <w:t xml:space="preserve"> shell </w:t>
      </w:r>
      <w:r>
        <w:rPr>
          <w:rFonts w:hint="eastAsia" w:cs="宋体" w:asciiTheme="majorEastAsia" w:hAnsiTheme="majorEastAsia" w:eastAsiaTheme="majorEastAsia"/>
          <w:color w:val="auto"/>
          <w:sz w:val="24"/>
          <w:szCs w:val="21"/>
        </w:rPr>
        <w:t>脚本调度功能，实现通过可视化配置任务调用</w:t>
      </w:r>
      <w:r>
        <w:rPr>
          <w:rFonts w:cs="宋体" w:asciiTheme="majorEastAsia" w:hAnsiTheme="majorEastAsia" w:eastAsiaTheme="majorEastAsia"/>
          <w:color w:val="auto"/>
          <w:sz w:val="24"/>
          <w:szCs w:val="21"/>
        </w:rPr>
        <w:t xml:space="preserve"> shell </w:t>
      </w:r>
      <w:r>
        <w:rPr>
          <w:rFonts w:hint="eastAsia" w:cs="宋体" w:asciiTheme="majorEastAsia" w:hAnsiTheme="majorEastAsia" w:eastAsiaTheme="majorEastAsia"/>
          <w:color w:val="auto"/>
          <w:sz w:val="24"/>
          <w:szCs w:val="21"/>
        </w:rPr>
        <w:t>脚本的功能，对于数据的操作系统级的</w:t>
      </w:r>
      <w:r>
        <w:rPr>
          <w:rFonts w:cs="宋体" w:asciiTheme="majorEastAsia" w:hAnsiTheme="majorEastAsia" w:eastAsiaTheme="majorEastAsia"/>
          <w:color w:val="auto"/>
          <w:sz w:val="24"/>
          <w:szCs w:val="21"/>
        </w:rPr>
        <w:t xml:space="preserve"> shell </w:t>
      </w:r>
      <w:r>
        <w:rPr>
          <w:rFonts w:hint="eastAsia" w:cs="宋体" w:asciiTheme="majorEastAsia" w:hAnsiTheme="majorEastAsia" w:eastAsiaTheme="majorEastAsia"/>
          <w:color w:val="auto"/>
          <w:sz w:val="24"/>
          <w:szCs w:val="21"/>
        </w:rPr>
        <w:t>命令调用，</w:t>
      </w:r>
      <w:r>
        <w:rPr>
          <w:rFonts w:cs="宋体" w:asciiTheme="majorEastAsia" w:hAnsiTheme="majorEastAsia" w:eastAsiaTheme="majorEastAsia"/>
          <w:color w:val="auto"/>
          <w:sz w:val="24"/>
          <w:szCs w:val="21"/>
        </w:rPr>
        <w:t xml:space="preserve">shell </w:t>
      </w:r>
      <w:r>
        <w:rPr>
          <w:rFonts w:hint="eastAsia" w:cs="宋体" w:asciiTheme="majorEastAsia" w:hAnsiTheme="majorEastAsia" w:eastAsiaTheme="majorEastAsia"/>
          <w:color w:val="auto"/>
          <w:sz w:val="24"/>
          <w:szCs w:val="21"/>
        </w:rPr>
        <w:t>脚本支持变量。提供</w:t>
      </w:r>
      <w:r>
        <w:rPr>
          <w:rFonts w:cs="宋体" w:asciiTheme="majorEastAsia" w:hAnsiTheme="majorEastAsia" w:eastAsiaTheme="majorEastAsia"/>
          <w:color w:val="auto"/>
          <w:sz w:val="24"/>
          <w:szCs w:val="21"/>
        </w:rPr>
        <w:t xml:space="preserve"> SQL </w:t>
      </w:r>
      <w:r>
        <w:rPr>
          <w:rFonts w:hint="eastAsia" w:cs="宋体" w:asciiTheme="majorEastAsia" w:hAnsiTheme="majorEastAsia" w:eastAsiaTheme="majorEastAsia"/>
          <w:color w:val="auto"/>
          <w:sz w:val="24"/>
          <w:szCs w:val="21"/>
        </w:rPr>
        <w:t>调度功能，通过可视化配置任务实现对统一的标准</w:t>
      </w:r>
      <w:r>
        <w:rPr>
          <w:rFonts w:cs="宋体" w:asciiTheme="majorEastAsia" w:hAnsiTheme="majorEastAsia" w:eastAsiaTheme="majorEastAsia"/>
          <w:color w:val="auto"/>
          <w:sz w:val="24"/>
          <w:szCs w:val="21"/>
        </w:rPr>
        <w:t xml:space="preserve"> SQL </w:t>
      </w:r>
      <w:r>
        <w:rPr>
          <w:rFonts w:hint="eastAsia" w:cs="宋体" w:asciiTheme="majorEastAsia" w:hAnsiTheme="majorEastAsia" w:eastAsiaTheme="majorEastAsia"/>
          <w:color w:val="auto"/>
          <w:sz w:val="24"/>
          <w:szCs w:val="21"/>
        </w:rPr>
        <w:t>语句、存储过程、</w:t>
      </w:r>
      <w:r>
        <w:rPr>
          <w:rFonts w:cs="宋体" w:asciiTheme="majorEastAsia" w:hAnsiTheme="majorEastAsia" w:eastAsiaTheme="majorEastAsia"/>
          <w:color w:val="auto"/>
          <w:sz w:val="24"/>
          <w:szCs w:val="21"/>
        </w:rPr>
        <w:t xml:space="preserve">SQL </w:t>
      </w:r>
      <w:r>
        <w:rPr>
          <w:rFonts w:hint="eastAsia" w:cs="宋体" w:asciiTheme="majorEastAsia" w:hAnsiTheme="majorEastAsia" w:eastAsiaTheme="majorEastAsia"/>
          <w:color w:val="auto"/>
          <w:sz w:val="24"/>
          <w:szCs w:val="21"/>
        </w:rPr>
        <w:t>函数的调度功能。提供前后处理调度功能，通过可视化界面配置前后处理调度实现多个任务之间联动运行的功能，被调用的处理为任务、二次开发的处理类（统计接入数据行数）。</w:t>
      </w:r>
    </w:p>
    <w:p w14:paraId="4EB60B9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任务监控模块提供面向工具自身及所配置数据传输任务的监测器，监控调度节点运行状态及任务调度情况，监控执行节点运行状态及数据接入任务执行情况，及时采集各类监控对象的运行状态和重要性能数据，实现专用工具自身运行状态及相关数据接入任务的实时监控，实现异常情况的自动报警提醒。</w:t>
      </w:r>
    </w:p>
    <w:p w14:paraId="3A0E0BE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任务监控模块监控所有控制、执行、管理状态（正常、异常、运行、等待、终止、完成等），能够通过预设的运行异常指标，实现多种渠道的事件报警和提醒功能；任务监控模块常态化监控传输过程中的最小数据单元，建立数据接入更新时效监测机制。基于接入阈值分析源头数据接入传输是否正常，数据增量是否符合常态，及时发现并协调解决相关异常问题。任务监控模块同时监控自身的运行状态，为后期开展工具问题的日志分析、故障诊断、系统优化提供数据支持。</w:t>
      </w:r>
    </w:p>
    <w:p w14:paraId="1147B4C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数据接入系统任务监控模块支持实时数据中断监控，实时监控接入数据的接入状态，如果中断时间超过预设阈值，则</w:t>
      </w:r>
      <w:r>
        <w:rPr>
          <w:rFonts w:cs="宋体" w:asciiTheme="majorEastAsia" w:hAnsiTheme="majorEastAsia" w:eastAsiaTheme="majorEastAsia"/>
          <w:color w:val="auto"/>
          <w:sz w:val="24"/>
          <w:szCs w:val="21"/>
        </w:rPr>
        <w:t xml:space="preserve"> ALM </w:t>
      </w:r>
      <w:r>
        <w:rPr>
          <w:rFonts w:hint="eastAsia" w:cs="宋体" w:asciiTheme="majorEastAsia" w:hAnsiTheme="majorEastAsia" w:eastAsiaTheme="majorEastAsia"/>
          <w:color w:val="auto"/>
          <w:sz w:val="24"/>
          <w:szCs w:val="21"/>
        </w:rPr>
        <w:t>处理。另外也支持服务器运行状态监控，包括</w:t>
      </w:r>
      <w:r>
        <w:rPr>
          <w:rFonts w:cs="宋体" w:asciiTheme="majorEastAsia" w:hAnsiTheme="majorEastAsia" w:eastAsiaTheme="majorEastAsia"/>
          <w:color w:val="auto"/>
          <w:sz w:val="24"/>
          <w:szCs w:val="21"/>
        </w:rPr>
        <w:t xml:space="preserve"> JVM</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task</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CPU</w:t>
      </w:r>
      <w:r>
        <w:rPr>
          <w:rFonts w:hint="eastAsia" w:cs="宋体" w:asciiTheme="majorEastAsia" w:hAnsiTheme="majorEastAsia" w:eastAsiaTheme="majorEastAsia"/>
          <w:color w:val="auto"/>
          <w:sz w:val="24"/>
          <w:szCs w:val="21"/>
        </w:rPr>
        <w:t>、内存、节点、主题、活跃分区、离线分区、请求度量指标等系统状态，定时监控服务器的运行情况，如果服务器运行出现异常，则</w:t>
      </w:r>
      <w:r>
        <w:rPr>
          <w:rFonts w:cs="宋体" w:asciiTheme="majorEastAsia" w:hAnsiTheme="majorEastAsia" w:eastAsiaTheme="majorEastAsia"/>
          <w:color w:val="auto"/>
          <w:sz w:val="24"/>
          <w:szCs w:val="21"/>
        </w:rPr>
        <w:t xml:space="preserve"> ALM </w:t>
      </w:r>
      <w:r>
        <w:rPr>
          <w:rFonts w:hint="eastAsia" w:cs="宋体" w:asciiTheme="majorEastAsia" w:hAnsiTheme="majorEastAsia" w:eastAsiaTheme="majorEastAsia"/>
          <w:color w:val="auto"/>
          <w:sz w:val="24"/>
          <w:szCs w:val="21"/>
        </w:rPr>
        <w:t>处理。</w:t>
      </w:r>
    </w:p>
    <w:p w14:paraId="06B3295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系统任务监控模块支持数据传输任务执行全过程和数据传输工具自身运行情况的日志实时采集，以及各个功能插件的运行日志的实时记录。数据传输日志，主要包含传输任务执行起始时间、结束时间、执行时长、传输总记录数、错误记录数、数据源、目标库、数据对象、数据要素类型等内容。当输入源为文件类型时，数据传输日志包含采集文件名称、大小、读取记录数、处理状态、处理时间等内容。当输入源为数据库时，数据传输日志包含数据来源、操作时间、接入条数、执行时间等内容。任务监控对接运维系统，向运维系统报送任务监控状态。</w:t>
      </w:r>
    </w:p>
    <w:p w14:paraId="56765CD2">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实时</w:t>
      </w:r>
      <w:r>
        <w:rPr>
          <w:rFonts w:cs="Times New Roman" w:asciiTheme="majorEastAsia" w:hAnsiTheme="majorEastAsia" w:eastAsiaTheme="majorEastAsia"/>
          <w:color w:val="auto"/>
          <w:szCs w:val="24"/>
        </w:rPr>
        <w:t>ETL</w:t>
      </w:r>
      <w:r>
        <w:rPr>
          <w:rFonts w:hint="eastAsia" w:cs="Times New Roman" w:asciiTheme="majorEastAsia" w:hAnsiTheme="majorEastAsia" w:eastAsiaTheme="majorEastAsia"/>
          <w:color w:val="auto"/>
          <w:szCs w:val="24"/>
        </w:rPr>
        <w:t>作业管理</w:t>
      </w:r>
    </w:p>
    <w:p w14:paraId="34CDD64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数据采集抽取是从不同的网络、不同的操作平台、不同的数据库和数据格式、不同的应用中采集和抽取数据的过程。</w:t>
      </w:r>
    </w:p>
    <w:p w14:paraId="0679086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采集由采集控制中心通过采集控制组件完成对流的定义和监控。流程定义和监控只在控制中心执行，不具备流程管理能力。数据采集与整合支持基于消息和文件的数据传输，支持不同的数据结构和不同的文件类型，支持</w:t>
      </w:r>
      <w:r>
        <w:rPr>
          <w:rFonts w:cs="宋体" w:asciiTheme="majorEastAsia" w:hAnsiTheme="majorEastAsia" w:eastAsiaTheme="majorEastAsia"/>
          <w:color w:val="auto"/>
          <w:sz w:val="24"/>
          <w:szCs w:val="21"/>
        </w:rPr>
        <w:t>XML</w:t>
      </w:r>
      <w:r>
        <w:rPr>
          <w:rFonts w:hint="eastAsia" w:cs="宋体" w:asciiTheme="majorEastAsia" w:hAnsiTheme="majorEastAsia" w:eastAsiaTheme="majorEastAsia"/>
          <w:color w:val="auto"/>
          <w:sz w:val="24"/>
          <w:szCs w:val="21"/>
        </w:rPr>
        <w:t>或其他自定义的消息采集格式。能够监控当前数据传输任务的执行情况，并能在需要时检查数据采集的历史记录信息。可以通过使用工具检查流程的运行状态，并可以控制流程的执行，如重启或终止。在各部门间数据采集和整合的基础上，根据业务需要，对于来自不同部门的基础信息进行差异比对，根据比对结果，找到部门间数据库差异和问题，并及时反馈给各部门，更好地为各部门的业务工作服务。</w:t>
      </w:r>
    </w:p>
    <w:p w14:paraId="6335D7E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采集抽取的工作原理为，默认情况下提供通用的抽取功能，支持从不同数据源中抽取数据，抽取到的数据支持生成数据文件或流向管道，为后续数据处理提供输入数据；可选择抽取方式进行配置，假设为批量抽取则需要指明相应数据采集数据源描述信息，如果设置为单次抽取则需要提供抽取数据特征规则数据，数据采集开始前将获取到相应的配置规则再结合不同数据源特征开启相应的数据采集作业。数据采集处理结束或失败时，都需要向在</w:t>
      </w:r>
      <w:r>
        <w:rPr>
          <w:rFonts w:cs="宋体" w:asciiTheme="majorEastAsia" w:hAnsiTheme="majorEastAsia" w:eastAsiaTheme="majorEastAsia"/>
          <w:color w:val="auto"/>
          <w:sz w:val="24"/>
          <w:szCs w:val="21"/>
        </w:rPr>
        <w:t>ETL</w:t>
      </w:r>
      <w:r>
        <w:rPr>
          <w:rFonts w:hint="eastAsia" w:cs="宋体" w:asciiTheme="majorEastAsia" w:hAnsiTheme="majorEastAsia" w:eastAsiaTheme="majorEastAsia"/>
          <w:color w:val="auto"/>
          <w:sz w:val="24"/>
          <w:szCs w:val="21"/>
        </w:rPr>
        <w:t>系统相应的数据库日志表中记录操作日志，为后续数据稽核与问题排查提供详细信息。在抽取实现过程中支持提供</w:t>
      </w:r>
      <w:r>
        <w:rPr>
          <w:rFonts w:cs="宋体" w:asciiTheme="majorEastAsia" w:hAnsiTheme="majorEastAsia" w:eastAsiaTheme="majorEastAsia"/>
          <w:color w:val="auto"/>
          <w:sz w:val="24"/>
          <w:szCs w:val="21"/>
        </w:rPr>
        <w:t>SQL</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HQL</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SHELL</w:t>
      </w:r>
      <w:r>
        <w:rPr>
          <w:rFonts w:hint="eastAsia" w:cs="宋体" w:asciiTheme="majorEastAsia" w:hAnsiTheme="majorEastAsia" w:eastAsiaTheme="majorEastAsia"/>
          <w:color w:val="auto"/>
          <w:sz w:val="24"/>
          <w:szCs w:val="21"/>
        </w:rPr>
        <w:t>等不同类别的行为定义脚本，数据采集执行组件将根据定义行为脚本类型调起相应的脚本执行来获取到数据。</w:t>
      </w:r>
    </w:p>
    <w:p w14:paraId="7C2AB7E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抽取需要结合业务需求确定抽取的字段，形成一张公共需求表头，并且每个数据库字段也应与这些需求字段形成一一映射关系。这样通过数据抽取所得到的数据都具有统一、规整的字段内容，为后续的数据转换和加载提供基础。数据抽取并不仅仅是根据业务确定公共需求字段，更涉及到从不同类型的数据库（</w:t>
      </w:r>
      <w:r>
        <w:rPr>
          <w:rFonts w:cs="宋体" w:asciiTheme="majorEastAsia" w:hAnsiTheme="majorEastAsia" w:eastAsiaTheme="majorEastAsia"/>
          <w:color w:val="auto"/>
          <w:sz w:val="24"/>
          <w:szCs w:val="21"/>
        </w:rPr>
        <w:t>Oracle</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Mysql</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DB2</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Vertica</w:t>
      </w:r>
      <w:r>
        <w:rPr>
          <w:rFonts w:hint="eastAsia" w:cs="宋体" w:asciiTheme="majorEastAsia" w:hAnsiTheme="majorEastAsia" w:eastAsiaTheme="majorEastAsia"/>
          <w:color w:val="auto"/>
          <w:sz w:val="24"/>
          <w:szCs w:val="21"/>
        </w:rPr>
        <w:t>等）、不同类型的文件系统（</w:t>
      </w:r>
      <w:r>
        <w:rPr>
          <w:rFonts w:cs="宋体" w:asciiTheme="majorEastAsia" w:hAnsiTheme="majorEastAsia" w:eastAsiaTheme="majorEastAsia"/>
          <w:color w:val="auto"/>
          <w:sz w:val="24"/>
          <w:szCs w:val="21"/>
        </w:rPr>
        <w:t>Linux</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Windows</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HDFS</w:t>
      </w:r>
      <w:r>
        <w:rPr>
          <w:rFonts w:hint="eastAsia" w:cs="宋体" w:asciiTheme="majorEastAsia" w:hAnsiTheme="majorEastAsia" w:eastAsiaTheme="majorEastAsia"/>
          <w:color w:val="auto"/>
          <w:sz w:val="24"/>
          <w:szCs w:val="21"/>
        </w:rPr>
        <w:t>）、以何种方式（数据库抽取、文件传输、流式）、何种频率（分钟、小时、天、周、月）、何种抽取方式（全量抽取、增量抽取）获取数据。</w:t>
      </w:r>
    </w:p>
    <w:p w14:paraId="32497AFF">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1)</w:t>
      </w:r>
      <w:r>
        <w:rPr>
          <w:rFonts w:hint="eastAsia" w:cs="宋体" w:asciiTheme="majorEastAsia" w:hAnsiTheme="majorEastAsia" w:eastAsiaTheme="majorEastAsia"/>
          <w:color w:val="auto"/>
          <w:sz w:val="24"/>
          <w:szCs w:val="21"/>
        </w:rPr>
        <w:t>抽取方式</w:t>
      </w:r>
    </w:p>
    <w:p w14:paraId="4AED937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全量抽取：将数据源中的表或视图的数据原封不动的从数据库中抽取出来，并转换成自己的</w:t>
      </w:r>
      <w:r>
        <w:rPr>
          <w:rFonts w:cs="宋体" w:asciiTheme="majorEastAsia" w:hAnsiTheme="majorEastAsia" w:eastAsiaTheme="majorEastAsia"/>
          <w:color w:val="auto"/>
          <w:sz w:val="24"/>
          <w:szCs w:val="21"/>
        </w:rPr>
        <w:t>ETL</w:t>
      </w:r>
      <w:r>
        <w:rPr>
          <w:rFonts w:hint="eastAsia" w:cs="宋体" w:asciiTheme="majorEastAsia" w:hAnsiTheme="majorEastAsia" w:eastAsiaTheme="majorEastAsia"/>
          <w:color w:val="auto"/>
          <w:sz w:val="24"/>
          <w:szCs w:val="21"/>
        </w:rPr>
        <w:t>工具可以识别的格式。</w:t>
      </w:r>
    </w:p>
    <w:p w14:paraId="5D8C426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增量抽取：只抽取自上次抽取以来数据库中要抽取的表中新增或修改的数据。</w:t>
      </w:r>
    </w:p>
    <w:p w14:paraId="7DCB58F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按条件抽取：只抽取满足指定规则的数据。可支持按条件规则从一个数据源抽取到多个目标数据源。</w:t>
      </w:r>
    </w:p>
    <w:p w14:paraId="32A876B4">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2)</w:t>
      </w:r>
      <w:r>
        <w:rPr>
          <w:rFonts w:hint="eastAsia" w:cs="宋体" w:asciiTheme="majorEastAsia" w:hAnsiTheme="majorEastAsia" w:eastAsiaTheme="majorEastAsia"/>
          <w:color w:val="auto"/>
          <w:sz w:val="24"/>
          <w:szCs w:val="21"/>
        </w:rPr>
        <w:t>不同类别数据抽取</w:t>
      </w:r>
    </w:p>
    <w:p w14:paraId="3C2AC8F2">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非结构化数据提取</w:t>
      </w:r>
    </w:p>
    <w:p w14:paraId="07C8F44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非结构化数据的种类和来源比较复杂，对这些数据的提取处理操作也会因不同数据种类的不同使用不同的实现技术。非结构化数据包含索引格式的办公文档、文本、图片、</w:t>
      </w:r>
      <w:r>
        <w:rPr>
          <w:rFonts w:cs="宋体" w:asciiTheme="majorEastAsia" w:hAnsiTheme="majorEastAsia" w:eastAsiaTheme="majorEastAsia"/>
          <w:color w:val="auto"/>
          <w:sz w:val="24"/>
          <w:szCs w:val="21"/>
        </w:rPr>
        <w:t>XML</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HTML</w:t>
      </w:r>
      <w:r>
        <w:rPr>
          <w:rFonts w:hint="eastAsia" w:cs="宋体" w:asciiTheme="majorEastAsia" w:hAnsiTheme="majorEastAsia" w:eastAsiaTheme="majorEastAsia"/>
          <w:color w:val="auto"/>
          <w:sz w:val="24"/>
          <w:szCs w:val="21"/>
        </w:rPr>
        <w:t>、各类报表、图像、音频文件和视频文件，在集群中提取生物特征数据，提取身份、行为、轨迹、关系、位置等信息，提取后形成的结构化数据保存在关系型存储中，利于数据长期存储和使用。原始数据保存在列式存储中。</w:t>
      </w:r>
    </w:p>
    <w:p w14:paraId="68DED63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遵从数据标准，数据提取模块从策略和配置管理中心获取不同数据类型相应的提取策略和规则，加载基于文本语义的分析提取模块、图像检测提取模块、语音识别提取模块、视频转换提取模块等，进行相应类型非结构化数据的提取处理。</w:t>
      </w:r>
    </w:p>
    <w:p w14:paraId="3C637CB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非结构数据提取方式如采用先进的计算机视觉和语音识别等技术。从业务角度讲，提取信息主要如下：</w:t>
      </w:r>
    </w:p>
    <w:p w14:paraId="715598E2">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支持从文本中提取身份证号、手机号。</w:t>
      </w:r>
    </w:p>
    <w:p w14:paraId="1B68AF64">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全文数据结构化提取主要是从文本数据中提取姓名、身份证号、手机号、银行卡号、车牌号等信息。</w:t>
      </w:r>
    </w:p>
    <w:p w14:paraId="5D319BD8">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多媒体信息提取主要是从土拍你、语音、视频等多媒体数据提取车牌、文字、人脸、声纹、图片等信息。</w:t>
      </w:r>
    </w:p>
    <w:p w14:paraId="2265F9AB">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生物特征信息提取主要是从音频、视频、终端应用等数据中提取声纹特征、体貌特征、指纹特征等信息。</w:t>
      </w:r>
    </w:p>
    <w:p w14:paraId="6CAF1A63">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文本信息提取</w:t>
      </w:r>
    </w:p>
    <w:p w14:paraId="287C5EE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文本信息提取是指根据文档的主题、内容或属性，按照一定的准则对文本分类并进行内容提取。此外，结合文本翻译技术与信息检索技术，可实现跨语言的检索能力。最终进行关键词的提取，为后续线索比对做准备。通过自然语言处理技术，可以进行命名实体识别，进行分词和词性标注，分析词义和文本的相似度，分析文本内容的感情倾向。</w:t>
      </w:r>
    </w:p>
    <w:p w14:paraId="2A0C6E05">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图像信息提取</w:t>
      </w:r>
    </w:p>
    <w:p w14:paraId="5E8EEF8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图像识别技术，提取某些表征图像内容的特征，考虑到图像编辑的多样化，相似图像检测选择具有良好的尺度和亮度不变性，同时对仿射形变，视角改变和噪声等也有一定的特征点来进行特征提取。可提取人像特征、车牌信息、场景位置等信息。通过图像识别，还可以实现图片中的文字信息，提取文字内容和内容关键字。</w:t>
      </w:r>
    </w:p>
    <w:p w14:paraId="57A7B8CC">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音频信息提取</w:t>
      </w:r>
    </w:p>
    <w:p w14:paraId="5350C54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语音识别过程中，对互联网音频（包含视频中的音频）进行场景分割，判断为音乐、噪音、语音等，并提取其中的纯语音用于声纹识别、语种识别等处理。针对实际应用中的互联网场景类型，包含能量四门限算法、基于规则的噪声判断算法及基于模型分析器判决等步骤。</w:t>
      </w:r>
    </w:p>
    <w:p w14:paraId="2249353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这三个步骤的复杂度依次提升，分别针对不同的音频场景类型进行检出，最终实现不同的音频场景分割并检测出其中的纯语音片段。在预处理的同时还可以识别出说话人的性别，即男声还是女声。同时支持多种音频格式进行统一格式转换，以及提取视频中的音频数据，主要为声纹信息、说话人性别、语种等信息。</w:t>
      </w:r>
    </w:p>
    <w:p w14:paraId="7D8B388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声纹识别引擎通过将说话人语音，进行声纹注册，在海量语音中，提取说话人语音，形成声纹特征，并最终识别出说话人身份信息。</w:t>
      </w:r>
    </w:p>
    <w:p w14:paraId="503499D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语音转写技术是实现将语音转换为文字的关键步骤，也是近年来进步最快的技术之一。</w:t>
      </w:r>
    </w:p>
    <w:p w14:paraId="13D9937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目前，基于深度神经网络（</w:t>
      </w:r>
      <w:r>
        <w:rPr>
          <w:rFonts w:cs="宋体" w:asciiTheme="majorEastAsia" w:hAnsiTheme="majorEastAsia" w:eastAsiaTheme="majorEastAsia"/>
          <w:color w:val="auto"/>
          <w:sz w:val="24"/>
          <w:szCs w:val="21"/>
        </w:rPr>
        <w:t>DNN</w:t>
      </w:r>
      <w:r>
        <w:rPr>
          <w:rFonts w:hint="eastAsia" w:cs="宋体" w:asciiTheme="majorEastAsia" w:hAnsiTheme="majorEastAsia" w:eastAsiaTheme="majorEastAsia"/>
          <w:color w:val="auto"/>
          <w:sz w:val="24"/>
          <w:szCs w:val="21"/>
        </w:rPr>
        <w:t>）声学建模的识别系统构建已经成为大词汇量连续语音识别的主流技术方案。本项目将在现有语音识别技术及数据的积累基础上，针对语音识别技术进行大力研发，通过全方位的深度神经网络技术框架完善、超大规模语言模型的快速更新技术、支持个性化词典及超大规模语言模型的解码器技术，以及配套的海量多语种语音和语言数据资源库构建，最终完成覆盖中英等多语种的语音内容识别系统。</w:t>
      </w:r>
    </w:p>
    <w:p w14:paraId="0B0EF77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语音转写技术能快速提取音频说话内容，提取音频关键字。</w:t>
      </w:r>
    </w:p>
    <w:p w14:paraId="40CB86E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声纹识别：声纹是一个人的重要特征，不随人所说的语言种类而变化。因为，通过声纹来判断同一目标具有很强的应用意义。声纹识别服务提供一个统一的对说话人声纹特征的提取服务，通过该服务可以快速提取声纹特征，并完善声纹特征数据库。</w:t>
      </w:r>
    </w:p>
    <w:p w14:paraId="069339C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语音识别：语音识别技术中，对语音进行分析的最有效手段就是将其转换为文字，再应用各种成熟的文本挖掘技术对其进行分析。因此，语音挖掘的中重要工作方向就是努力实现语音的文字内容转写，为后继的分析提供重要支持。通过语音识别技术的语音转文本技术，</w:t>
      </w:r>
    </w:p>
    <w:p w14:paraId="422012C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实现音频说话内容的提取，进而实现音频内容中的关键词提取。</w:t>
      </w:r>
    </w:p>
    <w:p w14:paraId="641DCCF4">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视频信息提取</w:t>
      </w:r>
    </w:p>
    <w:p w14:paraId="6694E8D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监控视频是典型的流式数据，数据量大、时间长。视频的查看和分析需要耗费大量的人力、物力和计算资源。因此，对于分析的视频，每时每刻出现了什么人车物，发生的事件，以及伴生的多模态信息数据，都需要进行结构化，然后在此基础上做视频摘要，以方便事后的取阅、查询和检索。</w:t>
      </w:r>
    </w:p>
    <w:p w14:paraId="73E53A1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视频信息提取主要通过关键帧抽取技术，依赖图像识别和语音识别技术进行有效信息提取。</w:t>
      </w:r>
    </w:p>
    <w:p w14:paraId="37BA523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首先从视频文件或监控视频流中提取视频帧，再对不同场景的图像进行分析。例如识别视频中的人脸信息，判断其中是否存在人脸，如果有人脸则确定其位置。对人脸图像的大小、灰度及姿态作归一化校正，校正人脸在尺度、光照和旋转等方面的变化。人脸中的关键点如眼睛、鼻子、嘴巴等位置，然后提取这些特征点区域的特征向量。</w:t>
      </w:r>
    </w:p>
    <w:p w14:paraId="0FA37FC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在视频分析中，语音识别技术也是很重要的技术手段，通过语音转文本技术，实现内容和关键词提取。通过语音识别的声纹识别技术，提取说话人的性别，大致年龄和声纹特征等信息。</w:t>
      </w:r>
    </w:p>
    <w:p w14:paraId="3900A80B">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任务模版及标签</w:t>
      </w:r>
    </w:p>
    <w:p w14:paraId="2ADDCB6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系统以指标数据为核心，可以满足用户对本系统本行业关注数据信息的“实时”总体掌控。通过多种的采集手段与灵活的采集配置实现快捷、高效的数据的采集。在现在业务系统之上通过整合现有信息分类指标，采集渠道及应用环境和数据的采集口径方面的差异，可集成灵活的报表与指标的绑定，其次通过数据采集引擎，方案配置，采集辅助功能提供自上而下，自里而外的信息采集手段，完成指标数据的多级采集。</w:t>
      </w:r>
    </w:p>
    <w:p w14:paraId="16F84350">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任务调度与监控</w:t>
      </w:r>
    </w:p>
    <w:p w14:paraId="08699DC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任务调度监控可以统一管理生产数据，保证业务数据的一致性；通过统一从各个系统收集生产数据，再向各个系统提供完整生产数据的形式，实现生产制造信息流的衔接与集成；可避免或减少手工采集操作带来的偏差，提高信息系统的自动化程度；通过开放接口来统一提供各类生产数据，方便其它系统的使用，避免重复开发，通过统一调度指挥能过节省大量的人力物力。</w:t>
      </w:r>
    </w:p>
    <w:p w14:paraId="16FE0DAE">
      <w:pPr>
        <w:pStyle w:val="7"/>
        <w:numPr>
          <w:ilvl w:val="4"/>
          <w:numId w:val="36"/>
        </w:numPr>
        <w:spacing w:line="240" w:lineRule="auto"/>
        <w:rPr>
          <w:color w:val="auto"/>
        </w:rPr>
      </w:pPr>
      <w:r>
        <w:rPr>
          <w:rFonts w:hint="eastAsia"/>
          <w:color w:val="auto"/>
        </w:rPr>
        <w:t>数据治理</w:t>
      </w:r>
    </w:p>
    <w:p w14:paraId="1735ECE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数据治理是指将数据作为组织资产而展开的一系列的具体化工作，是对数据的全生命周期管理。数据治理从组织架构、管理制度、操作规范、</w:t>
      </w:r>
      <w:r>
        <w:rPr>
          <w:rFonts w:cs="宋体" w:asciiTheme="majorEastAsia" w:hAnsiTheme="majorEastAsia" w:eastAsiaTheme="majorEastAsia"/>
          <w:color w:val="auto"/>
          <w:sz w:val="24"/>
          <w:szCs w:val="21"/>
        </w:rPr>
        <w:t>IT</w:t>
      </w:r>
      <w:r>
        <w:rPr>
          <w:rFonts w:hint="eastAsia" w:cs="宋体" w:asciiTheme="majorEastAsia" w:hAnsiTheme="majorEastAsia" w:eastAsiaTheme="majorEastAsia"/>
          <w:color w:val="auto"/>
          <w:sz w:val="24"/>
          <w:szCs w:val="21"/>
        </w:rPr>
        <w:t>应用技术、绩效考核支持等多个维度对组织的数据模型、数据架构、数据质量、数据安全、数据生命周期等各方面进行全面的梳理、建设以及持续改进。</w:t>
      </w:r>
    </w:p>
    <w:p w14:paraId="0D2A44A0">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数据清洗</w:t>
      </w:r>
    </w:p>
    <w:p w14:paraId="1D1B8EE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清洗模块根据规则配置文件通过建立数据检验规则，调用规则引擎检查数据源、发现数据过程可能的错误（问题数据），按规则对问题数据进行修复，对无法修复的问题数据系统生成报告进行处理，以保证数据的正确性，避免数据错误造成分析偏差和错误扩散。</w:t>
      </w:r>
    </w:p>
    <w:p w14:paraId="7538313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数据清洗的任务是过滤那些不符合要求的数据，将过滤的结果直观展示给相应的主管部门，主管部门确认是否过滤掉或者修正之后再进行抽取。</w:t>
      </w:r>
    </w:p>
    <w:p w14:paraId="146A515B">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1)</w:t>
      </w:r>
      <w:r>
        <w:rPr>
          <w:rFonts w:hint="eastAsia" w:cs="宋体" w:asciiTheme="majorEastAsia" w:hAnsiTheme="majorEastAsia" w:eastAsiaTheme="majorEastAsia"/>
          <w:color w:val="auto"/>
          <w:sz w:val="24"/>
          <w:szCs w:val="21"/>
        </w:rPr>
        <w:t>数据清洗标准</w:t>
      </w:r>
    </w:p>
    <w:p w14:paraId="3771492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不符合要求的数据主要有以下几类：</w:t>
      </w:r>
    </w:p>
    <w:p w14:paraId="3240E61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缺失的数据：主要是一些数据的信息缺失，如物品名称、物品代号、业务系统中数据不能匹配等。在系统中用户可以自动逸过滤规则，把这一类数据过滤出来，输出到文本文件或</w:t>
      </w:r>
      <w:r>
        <w:rPr>
          <w:rFonts w:cs="宋体" w:asciiTheme="majorEastAsia" w:hAnsiTheme="majorEastAsia" w:eastAsiaTheme="majorEastAsia"/>
          <w:color w:val="auto"/>
          <w:sz w:val="24"/>
          <w:szCs w:val="21"/>
        </w:rPr>
        <w:t xml:space="preserve"> Excel </w:t>
      </w:r>
      <w:r>
        <w:rPr>
          <w:rFonts w:hint="eastAsia" w:cs="宋体" w:asciiTheme="majorEastAsia" w:hAnsiTheme="majorEastAsia" w:eastAsiaTheme="majorEastAsia"/>
          <w:color w:val="auto"/>
          <w:sz w:val="24"/>
          <w:szCs w:val="21"/>
        </w:rPr>
        <w:t>等格式文件提交给业务用户，业务用户在人工对数据修改核对后，再写入数据仓库，如果修改的规则是固定的，也可以由系统按照规则自动添加、修改数据。</w:t>
      </w:r>
    </w:p>
    <w:p w14:paraId="650437C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错误的数据：错误的数据生产的原因是业务系统不够健全，或人为误操作，在接收输入后没有进行判断直接写入后台数据库造成的，这一类数据也要进行分类，不同的分类采取不同的处理方式，包括人工处理和自动处理，处理之后再更改数据库里的数据。</w:t>
      </w:r>
    </w:p>
    <w:p w14:paraId="08CABB8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重复的数据：系统可以按照规则将重复数据导出来，让用户确认并回写到数据库。</w:t>
      </w:r>
    </w:p>
    <w:p w14:paraId="722DF1B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数据清洗是一个和业务用户反复沟通的过程，不可能在很短的时间内完成，只能不断的发现问题，可能解决问题。对于是否过滤，是否修正一般要求用户确认，对于过滤掉的数据要写入文本文件、</w:t>
      </w:r>
      <w:r>
        <w:rPr>
          <w:rFonts w:cs="宋体" w:asciiTheme="majorEastAsia" w:hAnsiTheme="majorEastAsia" w:eastAsiaTheme="majorEastAsia"/>
          <w:color w:val="auto"/>
          <w:sz w:val="24"/>
          <w:szCs w:val="21"/>
        </w:rPr>
        <w:t xml:space="preserve">Excel </w:t>
      </w:r>
      <w:r>
        <w:rPr>
          <w:rFonts w:hint="eastAsia" w:cs="宋体" w:asciiTheme="majorEastAsia" w:hAnsiTheme="majorEastAsia" w:eastAsiaTheme="majorEastAsia"/>
          <w:color w:val="auto"/>
          <w:sz w:val="24"/>
          <w:szCs w:val="21"/>
        </w:rPr>
        <w:t>文件、数据库表。数据清洗需要注意的是对于每个过程规则都要认证进行验证，并要用户确认。</w:t>
      </w:r>
    </w:p>
    <w:p w14:paraId="0A393F45">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2)</w:t>
      </w:r>
      <w:r>
        <w:rPr>
          <w:rFonts w:hint="eastAsia" w:cs="宋体" w:asciiTheme="majorEastAsia" w:hAnsiTheme="majorEastAsia" w:eastAsiaTheme="majorEastAsia"/>
          <w:color w:val="auto"/>
          <w:sz w:val="24"/>
          <w:szCs w:val="21"/>
        </w:rPr>
        <w:t>非结构化数据清洗</w:t>
      </w:r>
    </w:p>
    <w:p w14:paraId="3F6B193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非结构化数据主要为文本、</w:t>
      </w:r>
      <w:r>
        <w:rPr>
          <w:rFonts w:cs="宋体" w:asciiTheme="majorEastAsia" w:hAnsiTheme="majorEastAsia" w:eastAsiaTheme="majorEastAsia"/>
          <w:color w:val="auto"/>
          <w:sz w:val="24"/>
          <w:szCs w:val="21"/>
        </w:rPr>
        <w:t>XML</w:t>
      </w:r>
      <w:r>
        <w:rPr>
          <w:rFonts w:hint="eastAsia" w:cs="宋体" w:asciiTheme="majorEastAsia" w:hAnsiTheme="majorEastAsia" w:eastAsiaTheme="majorEastAsia"/>
          <w:color w:val="auto"/>
          <w:sz w:val="24"/>
          <w:szCs w:val="21"/>
        </w:rPr>
        <w:t>、图片和视频数据。对于非结构化数据，主要通过同一时间窗口比对去重、</w:t>
      </w:r>
      <w:r>
        <w:rPr>
          <w:rFonts w:cs="宋体" w:asciiTheme="majorEastAsia" w:hAnsiTheme="majorEastAsia" w:eastAsiaTheme="majorEastAsia"/>
          <w:color w:val="auto"/>
          <w:sz w:val="24"/>
          <w:szCs w:val="21"/>
        </w:rPr>
        <w:t xml:space="preserve">MD5 </w:t>
      </w:r>
      <w:r>
        <w:rPr>
          <w:rFonts w:hint="eastAsia" w:cs="宋体" w:asciiTheme="majorEastAsia" w:hAnsiTheme="majorEastAsia" w:eastAsiaTheme="majorEastAsia"/>
          <w:color w:val="auto"/>
          <w:sz w:val="24"/>
          <w:szCs w:val="21"/>
        </w:rPr>
        <w:t>值比对去重、人工智能等技术方法去重。</w:t>
      </w:r>
    </w:p>
    <w:p w14:paraId="7F63705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文本数据的清洗，主要基于自然语言处理技术，通过分词、语料标注、字典构建、关键词识别等技术，根据相应的非结构化数据特点进行数据建模，利用机器学习和数据挖掘的方法进行文件去重。</w:t>
      </w:r>
    </w:p>
    <w:p w14:paraId="479D24E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图片数据可以通过以图找图技术，进行图片去重。根据相似图像检测技术以通过提取某些表征图像内容的特征，与数据库中目标图片特征进行匹配判断，从而判别出该图像是否为目标图像的拷贝或近似。考虑到图像编辑的多样化，相似图像检测选择具有良好的尺度和亮度不变性，同时对仿射形变、视角改变和噪声等也有一定的特征点来进行建库。通过比较查询图像与参考图像的特征点相似性，判断出查询图像是否为相似图像。该技术能够有效的处理复制、编辑等操作引擎的图像内容的变化，具有较好的检测准确率。图片检测技术提供图像清晰度识别，适用于各类图库产品，提升整体图像质量。通过图像模糊、失焦、噪点、锯齿以及马赛克等维度进行检测，对无价值的图像数据实现去重。</w:t>
      </w:r>
    </w:p>
    <w:p w14:paraId="1BB1085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针对音频数据，除了</w:t>
      </w:r>
      <w:r>
        <w:rPr>
          <w:rFonts w:cs="宋体" w:asciiTheme="majorEastAsia" w:hAnsiTheme="majorEastAsia" w:eastAsiaTheme="majorEastAsia"/>
          <w:color w:val="auto"/>
          <w:sz w:val="24"/>
          <w:szCs w:val="21"/>
        </w:rPr>
        <w:t xml:space="preserve"> MD5 </w:t>
      </w:r>
      <w:r>
        <w:rPr>
          <w:rFonts w:hint="eastAsia" w:cs="宋体" w:asciiTheme="majorEastAsia" w:hAnsiTheme="majorEastAsia" w:eastAsiaTheme="majorEastAsia"/>
          <w:color w:val="auto"/>
          <w:sz w:val="24"/>
          <w:szCs w:val="21"/>
        </w:rPr>
        <w:t>值进行校验去重之外，还可以通过对音频样本进行分析，可以在一个音频集合中发现与音频样本相同的内容。这里相同的内容是指在不同的音视频文件中，与样本内容片段一致的部分，实现音频数据的去重。视频文件可以通过关键帧抽取，通过以图找图、语音识别、</w:t>
      </w:r>
      <w:r>
        <w:rPr>
          <w:rFonts w:cs="宋体" w:asciiTheme="majorEastAsia" w:hAnsiTheme="majorEastAsia" w:eastAsiaTheme="majorEastAsia"/>
          <w:color w:val="auto"/>
          <w:sz w:val="24"/>
          <w:szCs w:val="21"/>
        </w:rPr>
        <w:t xml:space="preserve">MD5 </w:t>
      </w:r>
      <w:r>
        <w:rPr>
          <w:rFonts w:hint="eastAsia" w:cs="宋体" w:asciiTheme="majorEastAsia" w:hAnsiTheme="majorEastAsia" w:eastAsiaTheme="majorEastAsia"/>
          <w:color w:val="auto"/>
          <w:sz w:val="24"/>
          <w:szCs w:val="21"/>
        </w:rPr>
        <w:t>值校验等技术，实现视频的去重。</w:t>
      </w:r>
    </w:p>
    <w:p w14:paraId="47FA2AD4">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3)</w:t>
      </w:r>
      <w:r>
        <w:rPr>
          <w:rFonts w:hint="eastAsia" w:cs="宋体" w:asciiTheme="majorEastAsia" w:hAnsiTheme="majorEastAsia" w:eastAsiaTheme="majorEastAsia"/>
          <w:color w:val="auto"/>
          <w:sz w:val="24"/>
          <w:szCs w:val="21"/>
        </w:rPr>
        <w:t>结构化数据清洗</w:t>
      </w:r>
    </w:p>
    <w:p w14:paraId="453E857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遵从数据标准，根据业务规划对冗余数据进行过滤，根据不同的去重规则和方法对数据进行去重判定，去除重复冗余数据。通过定义过滤规则，使用流式</w:t>
      </w:r>
      <w:r>
        <w:rPr>
          <w:rFonts w:cs="宋体" w:asciiTheme="majorEastAsia" w:hAnsiTheme="majorEastAsia" w:eastAsiaTheme="majorEastAsia"/>
          <w:color w:val="auto"/>
          <w:sz w:val="24"/>
          <w:szCs w:val="21"/>
        </w:rPr>
        <w:t xml:space="preserve"> SQL </w:t>
      </w:r>
      <w:r>
        <w:rPr>
          <w:rFonts w:hint="eastAsia" w:cs="宋体" w:asciiTheme="majorEastAsia" w:hAnsiTheme="majorEastAsia" w:eastAsiaTheme="majorEastAsia"/>
          <w:color w:val="auto"/>
          <w:sz w:val="24"/>
          <w:szCs w:val="21"/>
        </w:rPr>
        <w:t>和表达式，按条件对数据进行重新组合和二次加工。数据清洗可以区分为冗余信息过滤、敏感信息过滤、数据去重和格式清洗等内容。通过对数据进行清洗，提高数据的使用价值。数据清洗在具体实现上可分为全量清洗、增量清洗，根据实时性需要可以区分为实时清洗、非实时清洗。清洗过程又可以细分为过滤、去重、检验、格转。</w:t>
      </w:r>
    </w:p>
    <w:p w14:paraId="1116A843">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数据比对</w:t>
      </w:r>
    </w:p>
    <w:p w14:paraId="727F75C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数据比对主要完成统一融汇处理系统在运作过程中，按照数据相关规范，对这些数据进行比对。将不符合标准的数据反馈给相应的相关部门、相关人员或者相关系统的工作。该部分应包含标准审核模块、异常数据反馈模块等。</w:t>
      </w:r>
    </w:p>
    <w:p w14:paraId="7948F2ED">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数据校验</w:t>
      </w:r>
    </w:p>
    <w:p w14:paraId="0B2D380A">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数据校验具备将分散的、异构数据源中的数据如关系数据、非关系数据、数据文件、FTP等抽取到临时中间层后进行解析、转换、校验、过滤、清洗、反馈，最后加载到平台上，也可以将基础平台的数据传输到关系型、非关系型等系统，具备以文件的方式批量输出的能力，同时提供数据的质量稽查。</w:t>
      </w:r>
    </w:p>
    <w:p w14:paraId="6CEB748E">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数据关联整合</w:t>
      </w:r>
    </w:p>
    <w:p w14:paraId="46DDBF4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采用多种方式实现数据的关联整合，构建数据仓库。数据汇集、同步可以基于数据同步工具以及数据抽取工具，实现数据从源头业务库向数据中心关联整合。社会数据通过安全便捷接入平台以及部门间信息共享与服务平台实现安全获取。数据关联整合可以根据需要基于存储过程或ETL工具实现。</w:t>
      </w:r>
    </w:p>
    <w:p w14:paraId="5F11F01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ETL集中调度监控系统的建设，实现多种类型ETL作业集中调度和统一监控管理。从而避免了日常运维过程需要登录多种ETL工具，人工巡检ETL运行情况的繁琐过程，大大提高ETL运维效率，提高数据关联整合可靠性。通过有效数据关联合并，形成标准数据体系，提高基础数据库数据质量，促进部门自身数据质量的提升。</w:t>
      </w:r>
    </w:p>
    <w:p w14:paraId="6CD58E44">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数据转换</w:t>
      </w:r>
    </w:p>
    <w:p w14:paraId="137A5F7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将从源数据源获取的数据按照业务需求，转换成目标数据源要求的形式，并对错误、不一致的数据进行清洗和加工，保证后续分析结果的准确性。数据转换一般包括两类：第一类：数据名称及格式的统一，即数据粒度转换、商务规则计算以及统一的命名、数据格式、计量单位等；第二类：数据仓库中存在源数据库中可能不存在的数据，因此需要进行字段的组合、分割或计算。</w:t>
      </w:r>
    </w:p>
    <w:p w14:paraId="28460E32">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1)</w:t>
      </w:r>
      <w:r>
        <w:rPr>
          <w:rFonts w:hint="eastAsia" w:cs="宋体" w:asciiTheme="majorEastAsia" w:hAnsiTheme="majorEastAsia" w:eastAsiaTheme="majorEastAsia"/>
          <w:color w:val="auto"/>
          <w:sz w:val="24"/>
          <w:szCs w:val="21"/>
        </w:rPr>
        <w:t>转换规则配置</w:t>
      </w:r>
    </w:p>
    <w:p w14:paraId="2BD15C1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提供数据转换规则配置，以图形化的界面来实现灵活的数据处理规则配置，主要提供的数据转换规则设置包括：对数据进行计算、合并、拆分的规则配置、对空值替换规则的配置、对数据格式化规则的配置等。</w:t>
      </w:r>
    </w:p>
    <w:p w14:paraId="1CFCCCC2">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2)</w:t>
      </w:r>
      <w:r>
        <w:rPr>
          <w:rFonts w:hint="eastAsia" w:cs="宋体" w:asciiTheme="majorEastAsia" w:hAnsiTheme="majorEastAsia" w:eastAsiaTheme="majorEastAsia"/>
          <w:color w:val="auto"/>
          <w:sz w:val="24"/>
          <w:szCs w:val="21"/>
        </w:rPr>
        <w:t>处理过程记录</w:t>
      </w:r>
    </w:p>
    <w:p w14:paraId="06555D4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提供数据处理过程记录功能，支持对数据处理过程的日志进行记录，记录的信息有：元数据记录、转换后数据记录、运用的转换规则、转换的时间等内容。</w:t>
      </w:r>
    </w:p>
    <w:p w14:paraId="6F344F47">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3)</w:t>
      </w:r>
      <w:r>
        <w:rPr>
          <w:rFonts w:hint="eastAsia" w:cs="宋体" w:asciiTheme="majorEastAsia" w:hAnsiTheme="majorEastAsia" w:eastAsiaTheme="majorEastAsia"/>
          <w:color w:val="auto"/>
          <w:sz w:val="24"/>
          <w:szCs w:val="21"/>
        </w:rPr>
        <w:t>数据转换组件</w:t>
      </w:r>
    </w:p>
    <w:p w14:paraId="475BCC1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提供丰富的数据转换处理组件，支持任意合理的数据格式转换、统一编码映射、多字段混合运算、数据粒度的转换、数据去重处理、各种字符集的转换等。</w:t>
      </w:r>
    </w:p>
    <w:p w14:paraId="302A333B">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4)</w:t>
      </w:r>
      <w:r>
        <w:rPr>
          <w:rFonts w:hint="eastAsia" w:cs="宋体" w:asciiTheme="majorEastAsia" w:hAnsiTheme="majorEastAsia" w:eastAsiaTheme="majorEastAsia"/>
          <w:color w:val="auto"/>
          <w:sz w:val="24"/>
          <w:szCs w:val="21"/>
        </w:rPr>
        <w:t>硬编码数据转换</w:t>
      </w:r>
    </w:p>
    <w:p w14:paraId="2CD744B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依托于插件方式来实现硬编码数据转换，采用将不同的数据转换过程通过硬编码的形式封装为相应的处理插件置入到数据处理工作流程。</w:t>
      </w:r>
    </w:p>
    <w:p w14:paraId="5029BF96">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5)</w:t>
      </w:r>
      <w:r>
        <w:rPr>
          <w:rFonts w:hint="eastAsia" w:cs="宋体" w:asciiTheme="majorEastAsia" w:hAnsiTheme="majorEastAsia" w:eastAsiaTheme="majorEastAsia"/>
          <w:color w:val="auto"/>
          <w:sz w:val="24"/>
          <w:szCs w:val="21"/>
        </w:rPr>
        <w:t>库外数据转换</w:t>
      </w:r>
    </w:p>
    <w:p w14:paraId="7DD3269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基于库外计算进行数据转换操作，需要借助</w:t>
      </w:r>
      <w:r>
        <w:rPr>
          <w:rFonts w:cs="宋体" w:asciiTheme="majorEastAsia" w:hAnsiTheme="majorEastAsia" w:eastAsiaTheme="majorEastAsia"/>
          <w:color w:val="auto"/>
          <w:sz w:val="24"/>
          <w:szCs w:val="21"/>
        </w:rPr>
        <w:t>Hadoop</w:t>
      </w:r>
      <w:r>
        <w:rPr>
          <w:rFonts w:hint="eastAsia" w:cs="宋体" w:asciiTheme="majorEastAsia" w:hAnsiTheme="majorEastAsia" w:eastAsiaTheme="majorEastAsia"/>
          <w:color w:val="auto"/>
          <w:sz w:val="24"/>
          <w:szCs w:val="21"/>
        </w:rPr>
        <w:t>、流式计算引擎等海量数据计算处理平台来完成，借助并行计算处理能力来满足复杂数据转换来进行。</w:t>
      </w:r>
    </w:p>
    <w:p w14:paraId="76B58560">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6)</w:t>
      </w:r>
      <w:r>
        <w:rPr>
          <w:rFonts w:hint="eastAsia" w:cs="宋体" w:asciiTheme="majorEastAsia" w:hAnsiTheme="majorEastAsia" w:eastAsiaTheme="majorEastAsia"/>
          <w:color w:val="auto"/>
          <w:sz w:val="24"/>
          <w:szCs w:val="21"/>
        </w:rPr>
        <w:t>数据格式转换</w:t>
      </w:r>
    </w:p>
    <w:p w14:paraId="731545E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指根据数据标准进行格式统一，把非标数据转换成标准格式数据进行输出。针对不同业务系统中的同类数据按照统一规则进行转换，如数据字典、地址门牌、单位部门、手机、电话格式、时间格式、年龄段等数据的标准格式转换。</w:t>
      </w:r>
    </w:p>
    <w:p w14:paraId="5577DDF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身份证号格式转换：第一代身份证号码一共</w:t>
      </w:r>
      <w:r>
        <w:rPr>
          <w:rFonts w:cs="宋体" w:asciiTheme="majorEastAsia" w:hAnsiTheme="majorEastAsia" w:eastAsiaTheme="majorEastAsia"/>
          <w:color w:val="auto"/>
          <w:sz w:val="24"/>
          <w:szCs w:val="21"/>
        </w:rPr>
        <w:t xml:space="preserve"> 15 </w:t>
      </w:r>
      <w:r>
        <w:rPr>
          <w:rFonts w:hint="eastAsia" w:cs="宋体" w:asciiTheme="majorEastAsia" w:hAnsiTheme="majorEastAsia" w:eastAsiaTheme="majorEastAsia"/>
          <w:color w:val="auto"/>
          <w:sz w:val="24"/>
          <w:szCs w:val="21"/>
        </w:rPr>
        <w:t>位数字，第二代身份证号码一共</w:t>
      </w:r>
      <w:r>
        <w:rPr>
          <w:rFonts w:cs="宋体" w:asciiTheme="majorEastAsia" w:hAnsiTheme="majorEastAsia" w:eastAsiaTheme="majorEastAsia"/>
          <w:color w:val="auto"/>
          <w:sz w:val="24"/>
          <w:szCs w:val="21"/>
        </w:rPr>
        <w:t xml:space="preserve"> 18 </w:t>
      </w:r>
      <w:r>
        <w:rPr>
          <w:rFonts w:hint="eastAsia" w:cs="宋体" w:asciiTheme="majorEastAsia" w:hAnsiTheme="majorEastAsia" w:eastAsiaTheme="majorEastAsia"/>
          <w:color w:val="auto"/>
          <w:sz w:val="24"/>
          <w:szCs w:val="21"/>
        </w:rPr>
        <w:t>位数字，第一代身份证号码比第二代身份证号码少了出生年份的前两位、第二代身份证号码最后一位校验码。对于接入数据包含第一代身份证号码的字段值，根据身份证编码规则对第一代身份证号码转换为第二代身份证号码。</w:t>
      </w:r>
    </w:p>
    <w:p w14:paraId="503A5F3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手机号格式转换：手机号码的格式转换主要对手机号码的编码字符集、包含的异常字符（如换行、空格、制表符等）进行转换、替换，实现手机号的格式转换。</w:t>
      </w:r>
    </w:p>
    <w:p w14:paraId="63223E4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固定电话号码格转换：对于包含国际区号、国内区号的固定电话号码，接入平台对固定电话转换位统一的固定电话标识格式，同时对数据中的异常字符做替换处理等。</w:t>
      </w:r>
    </w:p>
    <w:p w14:paraId="2B2B0F1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时间日期格式转换：接入数据的时间格式分为很多种，比如有“年月日”、“年月日时分秒”、</w:t>
      </w:r>
      <w:r>
        <w:rPr>
          <w:rFonts w:cs="宋体" w:asciiTheme="majorEastAsia" w:hAnsiTheme="majorEastAsia" w:eastAsiaTheme="majorEastAsia"/>
          <w:color w:val="auto"/>
          <w:sz w:val="24"/>
          <w:szCs w:val="21"/>
        </w:rPr>
        <w:t xml:space="preserve"> </w:t>
      </w:r>
      <w:r>
        <w:rPr>
          <w:rFonts w:hint="eastAsia" w:cs="宋体" w:asciiTheme="majorEastAsia" w:hAnsiTheme="majorEastAsia" w:eastAsiaTheme="majorEastAsia"/>
          <w:color w:val="auto"/>
          <w:sz w:val="24"/>
          <w:szCs w:val="21"/>
        </w:rPr>
        <w:t>“年月日时分秒毫秒”、“时间戳”、“年</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月</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日</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年</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月</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日</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等不同的时间格式。对于接入数据中不同的时间格式，接入平台将日期和时间数据转换为同一的日期和时间格式。</w:t>
      </w:r>
    </w:p>
    <w:p w14:paraId="1DF3B18B">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 xml:space="preserve">IP </w:t>
      </w:r>
      <w:r>
        <w:rPr>
          <w:rFonts w:hint="eastAsia" w:cs="宋体" w:asciiTheme="majorEastAsia" w:hAnsiTheme="majorEastAsia" w:eastAsiaTheme="majorEastAsia"/>
          <w:color w:val="auto"/>
          <w:sz w:val="24"/>
          <w:szCs w:val="21"/>
        </w:rPr>
        <w:t>地址格式转换：除了对</w:t>
      </w:r>
      <w:r>
        <w:rPr>
          <w:rFonts w:cs="宋体" w:asciiTheme="majorEastAsia" w:hAnsiTheme="majorEastAsia" w:eastAsiaTheme="majorEastAsia"/>
          <w:color w:val="auto"/>
          <w:sz w:val="24"/>
          <w:szCs w:val="21"/>
        </w:rPr>
        <w:t xml:space="preserve"> IP </w:t>
      </w:r>
      <w:r>
        <w:rPr>
          <w:rFonts w:hint="eastAsia" w:cs="宋体" w:asciiTheme="majorEastAsia" w:hAnsiTheme="majorEastAsia" w:eastAsiaTheme="majorEastAsia"/>
          <w:color w:val="auto"/>
          <w:sz w:val="24"/>
          <w:szCs w:val="21"/>
        </w:rPr>
        <w:t>地址中的异常字符的处理以外，根据配置规则需求，将</w:t>
      </w:r>
      <w:r>
        <w:rPr>
          <w:rFonts w:cs="宋体" w:asciiTheme="majorEastAsia" w:hAnsiTheme="majorEastAsia" w:eastAsiaTheme="majorEastAsia"/>
          <w:color w:val="auto"/>
          <w:sz w:val="24"/>
          <w:szCs w:val="21"/>
        </w:rPr>
        <w:t xml:space="preserve"> IP</w:t>
      </w:r>
      <w:r>
        <w:rPr>
          <w:rFonts w:hint="eastAsia" w:cs="宋体" w:asciiTheme="majorEastAsia" w:hAnsiTheme="majorEastAsia" w:eastAsiaTheme="majorEastAsia"/>
          <w:color w:val="auto"/>
          <w:sz w:val="24"/>
          <w:szCs w:val="21"/>
        </w:rPr>
        <w:t>地址转换为</w:t>
      </w:r>
      <w:r>
        <w:rPr>
          <w:rFonts w:cs="宋体" w:asciiTheme="majorEastAsia" w:hAnsiTheme="majorEastAsia" w:eastAsiaTheme="majorEastAsia"/>
          <w:color w:val="auto"/>
          <w:sz w:val="24"/>
          <w:szCs w:val="21"/>
        </w:rPr>
        <w:t xml:space="preserve"> 16 </w:t>
      </w:r>
      <w:r>
        <w:rPr>
          <w:rFonts w:hint="eastAsia" w:cs="宋体" w:asciiTheme="majorEastAsia" w:hAnsiTheme="majorEastAsia" w:eastAsiaTheme="majorEastAsia"/>
          <w:color w:val="auto"/>
          <w:sz w:val="24"/>
          <w:szCs w:val="21"/>
        </w:rPr>
        <w:t>进制数据的统一接入格式。</w:t>
      </w:r>
    </w:p>
    <w:p w14:paraId="2C94D83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字符串灵活多样转换：对接入数据中包含字符串的字段，支持灵活多样的数据转换，这里包括不限于对接入数据字符串的逻辑替换。根据字符串起始终止位置对字符串做截取。根据配置的正则表达式规则对字符串做转换。支持对字段的字符串进行重新组合，例如：组合成</w:t>
      </w:r>
      <w:r>
        <w:rPr>
          <w:rFonts w:cs="宋体" w:asciiTheme="majorEastAsia" w:hAnsiTheme="majorEastAsia" w:eastAsiaTheme="majorEastAsia"/>
          <w:color w:val="auto"/>
          <w:sz w:val="24"/>
          <w:szCs w:val="21"/>
        </w:rPr>
        <w:t xml:space="preserve"> JSON </w:t>
      </w:r>
      <w:r>
        <w:rPr>
          <w:rFonts w:hint="eastAsia" w:cs="宋体" w:asciiTheme="majorEastAsia" w:hAnsiTheme="majorEastAsia" w:eastAsiaTheme="majorEastAsia"/>
          <w:color w:val="auto"/>
          <w:sz w:val="24"/>
          <w:szCs w:val="21"/>
        </w:rPr>
        <w:t>串，组合后</w:t>
      </w:r>
      <w:r>
        <w:rPr>
          <w:rFonts w:cs="宋体" w:asciiTheme="majorEastAsia" w:hAnsiTheme="majorEastAsia" w:eastAsiaTheme="majorEastAsia"/>
          <w:color w:val="auto"/>
          <w:sz w:val="24"/>
          <w:szCs w:val="21"/>
        </w:rPr>
        <w:t xml:space="preserve"> MD5 </w:t>
      </w:r>
      <w:r>
        <w:rPr>
          <w:rFonts w:hint="eastAsia" w:cs="宋体" w:asciiTheme="majorEastAsia" w:hAnsiTheme="majorEastAsia" w:eastAsiaTheme="majorEastAsia"/>
          <w:color w:val="auto"/>
          <w:sz w:val="24"/>
          <w:szCs w:val="21"/>
        </w:rPr>
        <w:t>加密，将选中字段进行简单的合并等。</w:t>
      </w:r>
    </w:p>
    <w:p w14:paraId="1252CA3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字母大小写转换：对包含字母的接入数据，对其做统一的大小写转换，实现格式的统一化。</w:t>
      </w:r>
    </w:p>
    <w:p w14:paraId="1F6DD66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全半角转换：对接入数据做全半角数据转换，对于全角的数据做半角转换，对数据做格式统一化处理。</w:t>
      </w:r>
    </w:p>
    <w:p w14:paraId="4DB723C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度量衡单位格式转换：接入数据中有时会存在带有度量衡单位的数据，例如“</w:t>
      </w:r>
      <w:r>
        <w:rPr>
          <w:rFonts w:cs="宋体" w:asciiTheme="majorEastAsia" w:hAnsiTheme="majorEastAsia" w:eastAsiaTheme="majorEastAsia"/>
          <w:color w:val="auto"/>
          <w:sz w:val="24"/>
          <w:szCs w:val="21"/>
        </w:rPr>
        <w:t>2.5kg”</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“1637</w:t>
      </w:r>
      <w:r>
        <w:rPr>
          <w:rFonts w:hint="eastAsia" w:cs="宋体" w:asciiTheme="majorEastAsia" w:hAnsiTheme="majorEastAsia" w:eastAsiaTheme="majorEastAsia"/>
          <w:color w:val="auto"/>
          <w:sz w:val="24"/>
          <w:szCs w:val="21"/>
        </w:rPr>
        <w:t>双</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 xml:space="preserve">“3 </w:t>
      </w:r>
      <w:r>
        <w:rPr>
          <w:rFonts w:hint="eastAsia" w:cs="宋体" w:asciiTheme="majorEastAsia" w:hAnsiTheme="majorEastAsia" w:eastAsiaTheme="majorEastAsia"/>
          <w:color w:val="auto"/>
          <w:sz w:val="24"/>
          <w:szCs w:val="21"/>
        </w:rPr>
        <w:t>米”等。对于此类数据，结合对应定义的字段单位类型，将其转换为统一的数据单位。</w:t>
      </w:r>
    </w:p>
    <w:p w14:paraId="74220F9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地址门牌格式转换：对于地址门牌数据的不同格式的数据，例如“</w:t>
      </w:r>
      <w:r>
        <w:rPr>
          <w:rFonts w:cs="宋体" w:asciiTheme="majorEastAsia" w:hAnsiTheme="majorEastAsia" w:eastAsiaTheme="majorEastAsia"/>
          <w:color w:val="auto"/>
          <w:sz w:val="24"/>
          <w:szCs w:val="21"/>
        </w:rPr>
        <w:t xml:space="preserve">2 </w:t>
      </w:r>
      <w:r>
        <w:rPr>
          <w:rFonts w:hint="eastAsia" w:cs="宋体" w:asciiTheme="majorEastAsia" w:hAnsiTheme="majorEastAsia" w:eastAsiaTheme="majorEastAsia"/>
          <w:color w:val="auto"/>
          <w:sz w:val="24"/>
          <w:szCs w:val="21"/>
        </w:rPr>
        <w:t>幢</w:t>
      </w:r>
      <w:r>
        <w:rPr>
          <w:rFonts w:cs="宋体" w:asciiTheme="majorEastAsia" w:hAnsiTheme="majorEastAsia" w:eastAsiaTheme="majorEastAsia"/>
          <w:color w:val="auto"/>
          <w:sz w:val="24"/>
          <w:szCs w:val="21"/>
        </w:rPr>
        <w:t xml:space="preserve"> 1 </w:t>
      </w:r>
      <w:r>
        <w:rPr>
          <w:rFonts w:hint="eastAsia" w:cs="宋体" w:asciiTheme="majorEastAsia" w:hAnsiTheme="majorEastAsia" w:eastAsiaTheme="majorEastAsia"/>
          <w:color w:val="auto"/>
          <w:sz w:val="24"/>
          <w:szCs w:val="21"/>
        </w:rPr>
        <w:t>单元</w:t>
      </w:r>
      <w:r>
        <w:rPr>
          <w:rFonts w:cs="宋体" w:asciiTheme="majorEastAsia" w:hAnsiTheme="majorEastAsia" w:eastAsiaTheme="majorEastAsia"/>
          <w:color w:val="auto"/>
          <w:sz w:val="24"/>
          <w:szCs w:val="21"/>
        </w:rPr>
        <w:t xml:space="preserve"> 2-2”</w:t>
      </w:r>
      <w:r>
        <w:rPr>
          <w:rFonts w:hint="eastAsia" w:cs="宋体" w:asciiTheme="majorEastAsia" w:hAnsiTheme="majorEastAsia" w:eastAsiaTheme="majorEastAsia"/>
          <w:color w:val="auto"/>
          <w:sz w:val="24"/>
          <w:szCs w:val="21"/>
        </w:rPr>
        <w:t>根据统一规范转换为</w:t>
      </w:r>
      <w:r>
        <w:rPr>
          <w:rFonts w:cs="宋体" w:asciiTheme="majorEastAsia" w:hAnsiTheme="majorEastAsia" w:eastAsiaTheme="majorEastAsia"/>
          <w:color w:val="auto"/>
          <w:sz w:val="24"/>
          <w:szCs w:val="21"/>
        </w:rPr>
        <w:t xml:space="preserve">“2 </w:t>
      </w:r>
      <w:r>
        <w:rPr>
          <w:rFonts w:hint="eastAsia" w:cs="宋体" w:asciiTheme="majorEastAsia" w:hAnsiTheme="majorEastAsia" w:eastAsiaTheme="majorEastAsia"/>
          <w:color w:val="auto"/>
          <w:sz w:val="24"/>
          <w:szCs w:val="21"/>
        </w:rPr>
        <w:t>幢</w:t>
      </w:r>
      <w:r>
        <w:rPr>
          <w:rFonts w:cs="宋体" w:asciiTheme="majorEastAsia" w:hAnsiTheme="majorEastAsia" w:eastAsiaTheme="majorEastAsia"/>
          <w:color w:val="auto"/>
          <w:sz w:val="24"/>
          <w:szCs w:val="21"/>
        </w:rPr>
        <w:t xml:space="preserve"> 1 </w:t>
      </w:r>
      <w:r>
        <w:rPr>
          <w:rFonts w:hint="eastAsia" w:cs="宋体" w:asciiTheme="majorEastAsia" w:hAnsiTheme="majorEastAsia" w:eastAsiaTheme="majorEastAsia"/>
          <w:color w:val="auto"/>
          <w:sz w:val="24"/>
          <w:szCs w:val="21"/>
        </w:rPr>
        <w:t>单元</w:t>
      </w:r>
      <w:r>
        <w:rPr>
          <w:rFonts w:cs="宋体" w:asciiTheme="majorEastAsia" w:hAnsiTheme="majorEastAsia" w:eastAsiaTheme="majorEastAsia"/>
          <w:color w:val="auto"/>
          <w:sz w:val="24"/>
          <w:szCs w:val="21"/>
        </w:rPr>
        <w:t xml:space="preserve"> 02-02”</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“2-1-2-2”</w:t>
      </w:r>
      <w:r>
        <w:rPr>
          <w:rFonts w:hint="eastAsia" w:cs="宋体" w:asciiTheme="majorEastAsia" w:hAnsiTheme="majorEastAsia" w:eastAsiaTheme="majorEastAsia"/>
          <w:color w:val="auto"/>
          <w:sz w:val="24"/>
          <w:szCs w:val="21"/>
        </w:rPr>
        <w:t>转换为</w:t>
      </w:r>
      <w:r>
        <w:rPr>
          <w:rFonts w:cs="宋体" w:asciiTheme="majorEastAsia" w:hAnsiTheme="majorEastAsia" w:eastAsiaTheme="majorEastAsia"/>
          <w:color w:val="auto"/>
          <w:sz w:val="24"/>
          <w:szCs w:val="21"/>
        </w:rPr>
        <w:t xml:space="preserve">“2 </w:t>
      </w:r>
      <w:r>
        <w:rPr>
          <w:rFonts w:hint="eastAsia" w:cs="宋体" w:asciiTheme="majorEastAsia" w:hAnsiTheme="majorEastAsia" w:eastAsiaTheme="majorEastAsia"/>
          <w:color w:val="auto"/>
          <w:sz w:val="24"/>
          <w:szCs w:val="21"/>
        </w:rPr>
        <w:t>幢</w:t>
      </w:r>
      <w:r>
        <w:rPr>
          <w:rFonts w:cs="宋体" w:asciiTheme="majorEastAsia" w:hAnsiTheme="majorEastAsia" w:eastAsiaTheme="majorEastAsia"/>
          <w:color w:val="auto"/>
          <w:sz w:val="24"/>
          <w:szCs w:val="21"/>
        </w:rPr>
        <w:t xml:space="preserve"> 1 </w:t>
      </w:r>
      <w:r>
        <w:rPr>
          <w:rFonts w:hint="eastAsia" w:cs="宋体" w:asciiTheme="majorEastAsia" w:hAnsiTheme="majorEastAsia" w:eastAsiaTheme="majorEastAsia"/>
          <w:color w:val="auto"/>
          <w:sz w:val="24"/>
          <w:szCs w:val="21"/>
        </w:rPr>
        <w:t>单元</w:t>
      </w:r>
      <w:r>
        <w:rPr>
          <w:rFonts w:cs="宋体" w:asciiTheme="majorEastAsia" w:hAnsiTheme="majorEastAsia" w:eastAsiaTheme="majorEastAsia"/>
          <w:color w:val="auto"/>
          <w:sz w:val="24"/>
          <w:szCs w:val="21"/>
        </w:rPr>
        <w:t xml:space="preserve"> 02-02”</w:t>
      </w:r>
      <w:r>
        <w:rPr>
          <w:rFonts w:hint="eastAsia" w:cs="宋体" w:asciiTheme="majorEastAsia" w:hAnsiTheme="majorEastAsia" w:eastAsiaTheme="majorEastAsia"/>
          <w:color w:val="auto"/>
          <w:sz w:val="24"/>
          <w:szCs w:val="21"/>
        </w:rPr>
        <w:t>等，将地址门牌转换为统一的数据格式。</w:t>
      </w:r>
    </w:p>
    <w:p w14:paraId="414DC3F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代码转换：例如“</w:t>
      </w:r>
      <w:r>
        <w:rPr>
          <w:rFonts w:cs="宋体" w:asciiTheme="majorEastAsia" w:hAnsiTheme="majorEastAsia" w:eastAsiaTheme="majorEastAsia"/>
          <w:color w:val="auto"/>
          <w:sz w:val="24"/>
          <w:szCs w:val="21"/>
        </w:rPr>
        <w:t>1”</w:t>
      </w:r>
      <w:r>
        <w:rPr>
          <w:rFonts w:hint="eastAsia" w:cs="宋体" w:asciiTheme="majorEastAsia" w:hAnsiTheme="majorEastAsia" w:eastAsiaTheme="majorEastAsia"/>
          <w:color w:val="auto"/>
          <w:sz w:val="24"/>
          <w:szCs w:val="21"/>
        </w:rPr>
        <w:t>代表女性，</w:t>
      </w:r>
      <w:r>
        <w:rPr>
          <w:rFonts w:cs="宋体" w:asciiTheme="majorEastAsia" w:hAnsiTheme="majorEastAsia" w:eastAsiaTheme="majorEastAsia"/>
          <w:color w:val="auto"/>
          <w:sz w:val="24"/>
          <w:szCs w:val="21"/>
        </w:rPr>
        <w:t>“2”</w:t>
      </w:r>
      <w:r>
        <w:rPr>
          <w:rFonts w:hint="eastAsia" w:cs="宋体" w:asciiTheme="majorEastAsia" w:hAnsiTheme="majorEastAsia" w:eastAsiaTheme="majorEastAsia"/>
          <w:color w:val="auto"/>
          <w:sz w:val="24"/>
          <w:szCs w:val="21"/>
        </w:rPr>
        <w:t>代表男性，字典表包含了性别代码和性别的映射关系。</w:t>
      </w:r>
    </w:p>
    <w:p w14:paraId="5F8FCF5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数据接入平台通过字典表，对接入数据的性别字段做性别数据值转换，最终生成统一的数据格式。</w:t>
      </w:r>
    </w:p>
    <w:p w14:paraId="2ED6D130">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数据装载</w:t>
      </w:r>
    </w:p>
    <w:p w14:paraId="0DA02BD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数据装载主要工作是将经过清洗后的干净的数据集按照物理数据模型定义的表结构装入目标数据仓库的数据表中，支持</w:t>
      </w:r>
      <w:r>
        <w:rPr>
          <w:rFonts w:cs="宋体" w:asciiTheme="majorEastAsia" w:hAnsiTheme="majorEastAsia" w:eastAsiaTheme="majorEastAsia"/>
          <w:color w:val="auto"/>
          <w:sz w:val="24"/>
          <w:szCs w:val="21"/>
        </w:rPr>
        <w:t>SQL</w:t>
      </w:r>
      <w:r>
        <w:rPr>
          <w:rFonts w:hint="eastAsia" w:cs="宋体" w:asciiTheme="majorEastAsia" w:hAnsiTheme="majorEastAsia" w:eastAsiaTheme="majorEastAsia"/>
          <w:color w:val="auto"/>
          <w:sz w:val="24"/>
          <w:szCs w:val="21"/>
        </w:rPr>
        <w:t>装载和批量装载，并允许人工干预，以及提供强大的错误报告、系统日志、数据备份与恢复功能。整个操作过程往往要跨网络、跨操作平台。进行数据加载处理会同步进行加载数据的完整性的检查校验工作，以确保加载的所有的记录数据质量合规。</w:t>
      </w:r>
    </w:p>
    <w:p w14:paraId="52A74FB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装载过程要支持分布式加载，按照集群的负载均衡原则，由集群的多个节点并行加载，提升加载性能；按不同加载方式支持增量加载、全量加载，支持实时流加载和批量加载，加载数据主要进入传统关系型数据库、</w:t>
      </w:r>
      <w:r>
        <w:rPr>
          <w:rFonts w:cs="宋体" w:asciiTheme="majorEastAsia" w:hAnsiTheme="majorEastAsia" w:eastAsiaTheme="majorEastAsia"/>
          <w:color w:val="auto"/>
          <w:sz w:val="24"/>
          <w:szCs w:val="21"/>
        </w:rPr>
        <w:t>Hadoop</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MPP</w:t>
      </w:r>
      <w:r>
        <w:rPr>
          <w:rFonts w:hint="eastAsia" w:cs="宋体" w:asciiTheme="majorEastAsia" w:hAnsiTheme="majorEastAsia" w:eastAsiaTheme="majorEastAsia"/>
          <w:color w:val="auto"/>
          <w:sz w:val="24"/>
          <w:szCs w:val="21"/>
        </w:rPr>
        <w:t>及流处理平台进行后续分析与运算。</w:t>
      </w:r>
    </w:p>
    <w:p w14:paraId="333711E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对于不同的数据库加载、不同的方式加载，在数据加载过程的工作原理基本相同，仅在实现层面针对不同数据库或者方式进行个性化控件处理，总体数据加载工作原理如下：</w:t>
      </w:r>
    </w:p>
    <w:p w14:paraId="2FFF58C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默认情况下提供基础通用的加载控件，支持将数据源加载到不同的数据库中，加载的数据支持接口、文件加载策略或流式策略；</w:t>
      </w:r>
    </w:p>
    <w:p w14:paraId="58B8330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加载方式支持批量与实时方式，批量加载方式则采用落地加载策略，并且需要结合运用不同平台的加载工具，实时加载与实时采集必须配套使用，二者之间共享内存实现同步数据交换，通过引入插件机制来屏敝不同数据源差异性。</w:t>
      </w:r>
    </w:p>
    <w:p w14:paraId="267F26A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支持加载时事务提交的参数配置，允许设定数据文件相关输入路径与加载文件匹配规则等信息，由数据装载完成发现文件、文件获取、加载数据、数据校验等操作流程后完成数据入库操作。</w:t>
      </w:r>
    </w:p>
    <w:p w14:paraId="3E89F1A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在加载实现过程中支持提供</w:t>
      </w:r>
      <w:r>
        <w:rPr>
          <w:rFonts w:cs="宋体" w:asciiTheme="majorEastAsia" w:hAnsiTheme="majorEastAsia" w:eastAsiaTheme="majorEastAsia"/>
          <w:color w:val="auto"/>
          <w:sz w:val="24"/>
          <w:szCs w:val="21"/>
        </w:rPr>
        <w:t>SQL</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HQL</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SPARK SQL</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MPP SQL</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SHELL</w:t>
      </w:r>
      <w:r>
        <w:rPr>
          <w:rFonts w:hint="eastAsia" w:cs="宋体" w:asciiTheme="majorEastAsia" w:hAnsiTheme="majorEastAsia" w:eastAsiaTheme="majorEastAsia"/>
          <w:color w:val="auto"/>
          <w:sz w:val="24"/>
          <w:szCs w:val="21"/>
        </w:rPr>
        <w:t>等不同类别的行为定义脚本，数据加载执行组件将根据定义行为脚本类型调起相应的脚本执行来加载到数据。</w:t>
      </w:r>
    </w:p>
    <w:p w14:paraId="0800065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数据加载结束或失败时，都需要向在</w:t>
      </w:r>
      <w:r>
        <w:rPr>
          <w:rFonts w:cs="宋体" w:asciiTheme="majorEastAsia" w:hAnsiTheme="majorEastAsia" w:eastAsiaTheme="majorEastAsia"/>
          <w:color w:val="auto"/>
          <w:sz w:val="24"/>
          <w:szCs w:val="21"/>
        </w:rPr>
        <w:t>ETL</w:t>
      </w:r>
      <w:r>
        <w:rPr>
          <w:rFonts w:hint="eastAsia" w:cs="宋体" w:asciiTheme="majorEastAsia" w:hAnsiTheme="majorEastAsia" w:eastAsiaTheme="majorEastAsia"/>
          <w:color w:val="auto"/>
          <w:sz w:val="24"/>
          <w:szCs w:val="21"/>
        </w:rPr>
        <w:t>系统相应的数据库日志表中记录操作日志，为后续数据稽核与问题排查提供详细信息。</w:t>
      </w:r>
    </w:p>
    <w:p w14:paraId="407F629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在加载触发模式上支持自动加载与手工执行的二大类型。支持数据自动加载的设计与执行，当数据加载出错时，应提供操作界面以人工干预的方式来重新启动数据的接收和加载。</w:t>
      </w:r>
    </w:p>
    <w:p w14:paraId="426FBA6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在加载数据库类别上支持</w:t>
      </w:r>
      <w:r>
        <w:rPr>
          <w:rFonts w:cs="宋体" w:asciiTheme="majorEastAsia" w:hAnsiTheme="majorEastAsia" w:eastAsiaTheme="majorEastAsia"/>
          <w:color w:val="auto"/>
          <w:sz w:val="24"/>
          <w:szCs w:val="21"/>
        </w:rPr>
        <w:t>DB2</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Oracle</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Teradata</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Greenplum</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Aster</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gbase</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HDFS</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HBase</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Vertica</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MySQL</w:t>
      </w:r>
      <w:r>
        <w:rPr>
          <w:rFonts w:hint="eastAsia" w:cs="宋体" w:asciiTheme="majorEastAsia" w:hAnsiTheme="majorEastAsia" w:eastAsiaTheme="majorEastAsia"/>
          <w:color w:val="auto"/>
          <w:sz w:val="24"/>
          <w:szCs w:val="21"/>
        </w:rPr>
        <w:t>等多种数据库。</w:t>
      </w:r>
    </w:p>
    <w:p w14:paraId="71879D8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在实际操作中，平台数据加载需要结合使用的数据库系统（</w:t>
      </w:r>
      <w:r>
        <w:rPr>
          <w:rFonts w:cs="宋体" w:asciiTheme="majorEastAsia" w:hAnsiTheme="majorEastAsia" w:eastAsiaTheme="majorEastAsia"/>
          <w:color w:val="auto"/>
          <w:sz w:val="24"/>
          <w:szCs w:val="21"/>
        </w:rPr>
        <w:t>Oracle</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Mysql</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Spark</w:t>
      </w: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Impala</w:t>
      </w:r>
      <w:r>
        <w:rPr>
          <w:rFonts w:hint="eastAsia" w:cs="宋体" w:asciiTheme="majorEastAsia" w:hAnsiTheme="majorEastAsia" w:eastAsiaTheme="majorEastAsia"/>
          <w:color w:val="auto"/>
          <w:sz w:val="24"/>
          <w:szCs w:val="21"/>
        </w:rPr>
        <w:t>等），确定最优的数据加载方案，节约</w:t>
      </w:r>
      <w:r>
        <w:rPr>
          <w:rFonts w:cs="宋体" w:asciiTheme="majorEastAsia" w:hAnsiTheme="majorEastAsia" w:eastAsiaTheme="majorEastAsia"/>
          <w:color w:val="auto"/>
          <w:sz w:val="24"/>
          <w:szCs w:val="21"/>
        </w:rPr>
        <w:t>CPU</w:t>
      </w:r>
      <w:r>
        <w:rPr>
          <w:rFonts w:hint="eastAsia" w:cs="宋体" w:asciiTheme="majorEastAsia" w:hAnsiTheme="majorEastAsia" w:eastAsiaTheme="majorEastAsia"/>
          <w:color w:val="auto"/>
          <w:sz w:val="24"/>
          <w:szCs w:val="21"/>
        </w:rPr>
        <w:t>、硬盘</w:t>
      </w:r>
      <w:r>
        <w:rPr>
          <w:rFonts w:cs="宋体" w:asciiTheme="majorEastAsia" w:hAnsiTheme="majorEastAsia" w:eastAsiaTheme="majorEastAsia"/>
          <w:color w:val="auto"/>
          <w:sz w:val="24"/>
          <w:szCs w:val="21"/>
        </w:rPr>
        <w:t>IO</w:t>
      </w:r>
      <w:r>
        <w:rPr>
          <w:rFonts w:hint="eastAsia" w:cs="宋体" w:asciiTheme="majorEastAsia" w:hAnsiTheme="majorEastAsia" w:eastAsiaTheme="majorEastAsia"/>
          <w:color w:val="auto"/>
          <w:sz w:val="24"/>
          <w:szCs w:val="21"/>
        </w:rPr>
        <w:t>和网络传输资源。</w:t>
      </w:r>
    </w:p>
    <w:p w14:paraId="219A7246">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数据整合</w:t>
      </w:r>
    </w:p>
    <w:p w14:paraId="786E1E30">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1)</w:t>
      </w:r>
      <w:r>
        <w:rPr>
          <w:rFonts w:hint="eastAsia" w:cs="宋体" w:asciiTheme="majorEastAsia" w:hAnsiTheme="majorEastAsia" w:eastAsiaTheme="majorEastAsia"/>
          <w:color w:val="auto"/>
          <w:sz w:val="24"/>
          <w:szCs w:val="21"/>
        </w:rPr>
        <w:t>数据比对</w:t>
      </w:r>
    </w:p>
    <w:p w14:paraId="4D8CD75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通过数据比对建立单位、人口、证照、事件等信息的关联，最终合成统一、完整、准确的政务数据库，消除部门间不匹配的数据，确保各类信息在不同部门数据的一致性。</w:t>
      </w:r>
    </w:p>
    <w:p w14:paraId="6990C97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在数据处理过程中，数据的比对通常作为数据的查重、筛选和补充，将输入数据与已有数据进行比对关联，结构化数据主要通过数据库查询、关键字索引实现比对，非结构化数据图像、声纹、指纹等，常见的数据比对包括人像比对、声纹比对、指纹比对、虹膜比对等。</w:t>
      </w:r>
    </w:p>
    <w:p w14:paraId="1087FD0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比对除了在各种应用场景作为数据查询与识别的方式，在数据管理方面，将比对之后的数据进行存储、建模、标识管理，不仅可以完善数据关系、丰富数据资源库，还可以优化比对引擎，与数据应用形成良好的循环。常见的比对方式如下：</w:t>
      </w:r>
    </w:p>
    <w:p w14:paraId="249CF90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结构化数据比对：通过对数据库系统的</w:t>
      </w:r>
      <w:r>
        <w:rPr>
          <w:rFonts w:cs="宋体" w:asciiTheme="majorEastAsia" w:hAnsiTheme="majorEastAsia" w:eastAsiaTheme="majorEastAsia"/>
          <w:color w:val="auto"/>
          <w:sz w:val="24"/>
          <w:szCs w:val="21"/>
        </w:rPr>
        <w:t xml:space="preserve"> SQL </w:t>
      </w:r>
      <w:r>
        <w:rPr>
          <w:rFonts w:hint="eastAsia" w:cs="宋体" w:asciiTheme="majorEastAsia" w:hAnsiTheme="majorEastAsia" w:eastAsiaTheme="majorEastAsia"/>
          <w:color w:val="auto"/>
          <w:sz w:val="24"/>
          <w:szCs w:val="21"/>
        </w:rPr>
        <w:t>查询，来实现精确数据的比对查询，在海量日志数据中命中发现线索相关信息。</w:t>
      </w:r>
    </w:p>
    <w:p w14:paraId="1FB0824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非结构化数据比对：在海量非结构化数据中，通过</w:t>
      </w:r>
      <w:r>
        <w:rPr>
          <w:rFonts w:cs="宋体" w:asciiTheme="majorEastAsia" w:hAnsiTheme="majorEastAsia" w:eastAsiaTheme="majorEastAsia"/>
          <w:color w:val="auto"/>
          <w:sz w:val="24"/>
          <w:szCs w:val="21"/>
        </w:rPr>
        <w:t xml:space="preserve"> AI </w:t>
      </w:r>
      <w:r>
        <w:rPr>
          <w:rFonts w:hint="eastAsia" w:cs="宋体" w:asciiTheme="majorEastAsia" w:hAnsiTheme="majorEastAsia" w:eastAsiaTheme="majorEastAsia"/>
          <w:color w:val="auto"/>
          <w:sz w:val="24"/>
          <w:szCs w:val="21"/>
        </w:rPr>
        <w:t>等相关技术，提取发现数据，命中发现的相关信息。</w:t>
      </w:r>
    </w:p>
    <w:p w14:paraId="20FEC79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结构化和非结构化融合比对：规则中同时支持对结构化和非结构化信息的比对，实时发现海量数据和海量全文中的相关信息。</w:t>
      </w:r>
    </w:p>
    <w:p w14:paraId="3F58343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按照数据比对的方式，数据比对又分为如下比对：</w:t>
      </w:r>
    </w:p>
    <w:p w14:paraId="1B7EC73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关键词比对：通过对关键词及关键词组合的比对，在海量全文数据库中命中发现关键词相关信息。</w:t>
      </w:r>
    </w:p>
    <w:p w14:paraId="095711A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二进制比对：通过对二进制文件（如文档文件、图片文件、音视频文件等）的比对，在数据中命中发现二进制文件相关信息。</w:t>
      </w:r>
    </w:p>
    <w:p w14:paraId="6830C3F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图片比对：通过对图片的分析比对和模型计算，可以检测例如区域密度、悬挂条幅、火焰检测、爆炸现场等。</w:t>
      </w:r>
    </w:p>
    <w:p w14:paraId="2E69F34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人脸比对：通过提取图片的人脸特征值，并与人脸数据库中的人脸特征库进行比较，从而确定人物身份。</w:t>
      </w:r>
    </w:p>
    <w:p w14:paraId="7DFADAF2">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2)</w:t>
      </w:r>
      <w:r>
        <w:rPr>
          <w:rFonts w:hint="eastAsia" w:cs="宋体" w:asciiTheme="majorEastAsia" w:hAnsiTheme="majorEastAsia" w:eastAsiaTheme="majorEastAsia"/>
          <w:color w:val="auto"/>
          <w:sz w:val="24"/>
          <w:szCs w:val="21"/>
        </w:rPr>
        <w:t>跨系统数据整合</w:t>
      </w:r>
    </w:p>
    <w:p w14:paraId="5292269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数据集成</w:t>
      </w:r>
      <w:r>
        <w:rPr>
          <w:rFonts w:cs="宋体" w:asciiTheme="majorEastAsia" w:hAnsiTheme="majorEastAsia" w:eastAsiaTheme="majorEastAsia"/>
          <w:color w:val="auto"/>
          <w:sz w:val="24"/>
          <w:szCs w:val="21"/>
        </w:rPr>
        <w:t>ETL</w:t>
      </w:r>
      <w:r>
        <w:rPr>
          <w:rFonts w:hint="eastAsia" w:cs="宋体" w:asciiTheme="majorEastAsia" w:hAnsiTheme="majorEastAsia" w:eastAsiaTheme="majorEastAsia"/>
          <w:color w:val="auto"/>
          <w:sz w:val="24"/>
          <w:szCs w:val="21"/>
        </w:rPr>
        <w:t>通过转换流程、任务流程这两种流程配合，可以完成不同系统间的复杂的数据整合工作。</w:t>
      </w:r>
    </w:p>
    <w:p w14:paraId="20DC8985">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转换流程</w:t>
      </w:r>
    </w:p>
    <w:p w14:paraId="6B3065E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转换流程负责完成数据集成过程中的数据抽取、转换、加载工作，转换流程由多个转换组件编排而成。转换组件是转换流程的最小处理单元，每个转换组件完成一个特殊的数据处理任务，多个转换组件组成一个转换流程。正是因为数据集成</w:t>
      </w:r>
      <w:r>
        <w:rPr>
          <w:rFonts w:cs="宋体" w:asciiTheme="majorEastAsia" w:hAnsiTheme="majorEastAsia" w:eastAsiaTheme="majorEastAsia"/>
          <w:color w:val="auto"/>
          <w:sz w:val="24"/>
          <w:szCs w:val="21"/>
        </w:rPr>
        <w:t>ETL</w:t>
      </w:r>
      <w:r>
        <w:rPr>
          <w:rFonts w:hint="eastAsia" w:cs="宋体" w:asciiTheme="majorEastAsia" w:hAnsiTheme="majorEastAsia" w:eastAsiaTheme="majorEastAsia"/>
          <w:color w:val="auto"/>
          <w:sz w:val="24"/>
          <w:szCs w:val="21"/>
        </w:rPr>
        <w:t>有丰富的转换组件，使得数据集成</w:t>
      </w:r>
      <w:r>
        <w:rPr>
          <w:rFonts w:cs="宋体" w:asciiTheme="majorEastAsia" w:hAnsiTheme="majorEastAsia" w:eastAsiaTheme="majorEastAsia"/>
          <w:color w:val="auto"/>
          <w:sz w:val="24"/>
          <w:szCs w:val="21"/>
        </w:rPr>
        <w:t>ETL</w:t>
      </w:r>
      <w:r>
        <w:rPr>
          <w:rFonts w:hint="eastAsia" w:cs="宋体" w:asciiTheme="majorEastAsia" w:hAnsiTheme="majorEastAsia" w:eastAsiaTheme="majorEastAsia"/>
          <w:color w:val="auto"/>
          <w:sz w:val="24"/>
          <w:szCs w:val="21"/>
        </w:rPr>
        <w:t>具备高水准的数据加工处理能力。</w:t>
      </w:r>
    </w:p>
    <w:p w14:paraId="38D2634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数据集成</w:t>
      </w:r>
      <w:r>
        <w:rPr>
          <w:rFonts w:cs="宋体" w:asciiTheme="majorEastAsia" w:hAnsiTheme="majorEastAsia" w:eastAsiaTheme="majorEastAsia"/>
          <w:color w:val="auto"/>
          <w:sz w:val="24"/>
          <w:szCs w:val="21"/>
        </w:rPr>
        <w:t>ETL</w:t>
      </w:r>
      <w:r>
        <w:rPr>
          <w:rFonts w:hint="eastAsia" w:cs="宋体" w:asciiTheme="majorEastAsia" w:hAnsiTheme="majorEastAsia" w:eastAsiaTheme="majorEastAsia"/>
          <w:color w:val="auto"/>
          <w:sz w:val="24"/>
          <w:szCs w:val="21"/>
        </w:rPr>
        <w:t>提供的转换组件如下图所示：</w:t>
      </w:r>
    </w:p>
    <w:p w14:paraId="440E16D7">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drawing>
          <wp:inline distT="0" distB="0" distL="0" distR="0">
            <wp:extent cx="3801110" cy="1856105"/>
            <wp:effectExtent l="0" t="0" r="8890" b="1079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3801110" cy="1856105"/>
                    </a:xfrm>
                    <a:prstGeom prst="rect">
                      <a:avLst/>
                    </a:prstGeom>
                    <a:noFill/>
                    <a:ln>
                      <a:noFill/>
                    </a:ln>
                  </pic:spPr>
                </pic:pic>
              </a:graphicData>
            </a:graphic>
          </wp:inline>
        </w:drawing>
      </w:r>
    </w:p>
    <w:p w14:paraId="3ABDA280">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数据集成ETL示意图</w:t>
      </w:r>
    </w:p>
    <w:p w14:paraId="43CC72A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下图给出了一个转换流程的示例，它是将不同的转换组件编排在一起，完成了增量数据获取、数据内容判断、过滤、错误数据处理等一系列的数据加工过程。</w:t>
      </w:r>
    </w:p>
    <w:p w14:paraId="4CEC56D1">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drawing>
          <wp:inline distT="0" distB="0" distL="0" distR="0">
            <wp:extent cx="4380865" cy="2218055"/>
            <wp:effectExtent l="0" t="0" r="635" b="1079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4380865" cy="2218055"/>
                    </a:xfrm>
                    <a:prstGeom prst="rect">
                      <a:avLst/>
                    </a:prstGeom>
                    <a:noFill/>
                    <a:ln>
                      <a:noFill/>
                    </a:ln>
                  </pic:spPr>
                </pic:pic>
              </a:graphicData>
            </a:graphic>
          </wp:inline>
        </w:drawing>
      </w:r>
    </w:p>
    <w:p w14:paraId="3F0F8624">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数据转换示意图</w:t>
      </w:r>
    </w:p>
    <w:p w14:paraId="68A9200D">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任务流程</w:t>
      </w:r>
    </w:p>
    <w:p w14:paraId="6AB44E7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任务流程负责整个数据集成过程的调度和管理，如定时执行、周期执行、告警等。任务流程一般由转换流程组成，从这一点上讲，也可以把任务流程看作转换流程的调度者，可以对多个转换流程和其他任务流程（子流程）进行流程编排。当然，任务流程也可以由多个任务组件编排而成。任务组件就是任务流程的最小处理单元，如开始组件负责启动任务流程，可以设定任务流程的执行方式，如一次性任务，定时启动的任务，循环性的任务等。</w:t>
      </w:r>
    </w:p>
    <w:p w14:paraId="0340547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数据集成</w:t>
      </w:r>
      <w:r>
        <w:rPr>
          <w:rFonts w:cs="宋体" w:asciiTheme="majorEastAsia" w:hAnsiTheme="majorEastAsia" w:eastAsiaTheme="majorEastAsia"/>
          <w:color w:val="auto"/>
          <w:sz w:val="24"/>
          <w:szCs w:val="21"/>
        </w:rPr>
        <w:t>ETL</w:t>
      </w:r>
      <w:r>
        <w:rPr>
          <w:rFonts w:hint="eastAsia" w:cs="宋体" w:asciiTheme="majorEastAsia" w:hAnsiTheme="majorEastAsia" w:eastAsiaTheme="majorEastAsia"/>
          <w:color w:val="auto"/>
          <w:sz w:val="24"/>
          <w:szCs w:val="21"/>
        </w:rPr>
        <w:t>提供的任务组件如下图所示：</w:t>
      </w:r>
    </w:p>
    <w:p w14:paraId="347D97E2">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drawing>
          <wp:inline distT="0" distB="0" distL="0" distR="0">
            <wp:extent cx="3801110" cy="1856105"/>
            <wp:effectExtent l="0" t="0" r="8890" b="1079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3801110" cy="1856105"/>
                    </a:xfrm>
                    <a:prstGeom prst="rect">
                      <a:avLst/>
                    </a:prstGeom>
                    <a:noFill/>
                    <a:ln>
                      <a:noFill/>
                    </a:ln>
                  </pic:spPr>
                </pic:pic>
              </a:graphicData>
            </a:graphic>
          </wp:inline>
        </w:drawing>
      </w:r>
    </w:p>
    <w:p w14:paraId="7F71F18B">
      <w:pPr>
        <w:ind w:firstLine="480" w:firstLineChars="200"/>
        <w:jc w:val="center"/>
        <w:rPr>
          <w:rFonts w:ascii="Times New Roman" w:hAnsi="Times New Roman" w:eastAsia="宋体" w:cs="Times New Roman"/>
          <w:color w:val="auto"/>
          <w:sz w:val="24"/>
          <w:szCs w:val="21"/>
        </w:rPr>
      </w:pPr>
      <w:r>
        <w:rPr>
          <w:rFonts w:hint="eastAsia" w:cs="宋体" w:asciiTheme="majorEastAsia" w:hAnsiTheme="majorEastAsia" w:eastAsiaTheme="majorEastAsia"/>
          <w:color w:val="auto"/>
          <w:sz w:val="24"/>
          <w:szCs w:val="21"/>
        </w:rPr>
        <w:t>ETL任务组件</w:t>
      </w:r>
      <w:r>
        <w:rPr>
          <w:rFonts w:hint="eastAsia" w:ascii="Times New Roman" w:hAnsi="Times New Roman" w:eastAsia="宋体" w:cs="Times New Roman"/>
          <w:color w:val="auto"/>
          <w:sz w:val="24"/>
          <w:szCs w:val="21"/>
        </w:rPr>
        <w:t>示意图</w:t>
      </w:r>
    </w:p>
    <w:p w14:paraId="5146A04B">
      <w:pPr>
        <w:ind w:firstLine="480" w:firstLineChars="200"/>
        <w:jc w:val="center"/>
        <w:rPr>
          <w:rFonts w:cs="宋体" w:asciiTheme="majorEastAsia" w:hAnsiTheme="majorEastAsia" w:eastAsiaTheme="majorEastAsia"/>
          <w:color w:val="auto"/>
          <w:sz w:val="24"/>
          <w:szCs w:val="21"/>
        </w:rPr>
      </w:pPr>
    </w:p>
    <w:p w14:paraId="1B94628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下图给出了一个任务流程示例，它定义了一个任务的启动方式，然后要查看文件目录是否存在文件，如果不为空，调度转换流程完成相应的数据加工工作，如果出错，可以通过邮件任务组件发邮件通知维护人员，如果正常就调用其他任务流程的过程。</w:t>
      </w:r>
    </w:p>
    <w:p w14:paraId="0EB18AAF">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drawing>
          <wp:inline distT="0" distB="0" distL="0" distR="0">
            <wp:extent cx="3705225" cy="1494155"/>
            <wp:effectExtent l="0" t="0" r="9525" b="1079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3705225" cy="1494155"/>
                    </a:xfrm>
                    <a:prstGeom prst="rect">
                      <a:avLst/>
                    </a:prstGeom>
                    <a:noFill/>
                    <a:ln>
                      <a:noFill/>
                    </a:ln>
                  </pic:spPr>
                </pic:pic>
              </a:graphicData>
            </a:graphic>
          </wp:inline>
        </w:drawing>
      </w:r>
    </w:p>
    <w:p w14:paraId="4541183A">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r>
        <w:rPr>
          <w:rFonts w:hint="eastAsia" w:cs="宋体" w:asciiTheme="majorEastAsia" w:hAnsiTheme="majorEastAsia" w:eastAsiaTheme="majorEastAsia"/>
          <w:color w:val="auto"/>
          <w:sz w:val="24"/>
          <w:szCs w:val="21"/>
        </w:rPr>
        <w:t>任务流程示例</w:t>
      </w:r>
      <w:r>
        <w:rPr>
          <w:rFonts w:hint="eastAsia" w:ascii="Times New Roman" w:hAnsi="Times New Roman" w:eastAsia="宋体" w:cs="Times New Roman"/>
          <w:color w:val="auto"/>
          <w:sz w:val="24"/>
          <w:szCs w:val="21"/>
        </w:rPr>
        <w:t>示意图</w:t>
      </w:r>
    </w:p>
    <w:p w14:paraId="1500C4FC">
      <w:pPr>
        <w:ind w:firstLine="480" w:firstLineChars="200"/>
        <w:jc w:val="center"/>
        <w:rPr>
          <w:rFonts w:cs="宋体" w:asciiTheme="majorEastAsia" w:hAnsiTheme="majorEastAsia" w:eastAsiaTheme="majorEastAsia"/>
          <w:color w:val="auto"/>
          <w:sz w:val="24"/>
          <w:szCs w:val="21"/>
        </w:rPr>
      </w:pPr>
    </w:p>
    <w:p w14:paraId="3C6434BF">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数据标识管理</w:t>
      </w:r>
    </w:p>
    <w:p w14:paraId="72DBDAD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标识是对数据、数据集进行某一特征、特征的识别和认定。对数据进行标识化可以增加数据维度，拓展数据的属性，提供建立与数据之上的抽象。标识流程主要是围绕标识建立一套包括标识的定义、执行、流程管理以及可视化等功能的系统。</w:t>
      </w:r>
    </w:p>
    <w:p w14:paraId="634CA0E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标识支持离线和在线标识。其中离线标识由离线处理引擎完成，采用离线批处理的方式进行规则处理，生成并保存标签值。离线处理引擎支持结构化和非结构化数据的处理模式。在线标识是由实时处理引擎实现，引擎结构流数据或消息数据，对数据进行实时规则处理，生成并保存标签值。实时规则处理模式支持对数据源自身的规则处理，以数据源与大数据平台其他数据源进行关联分析的规则处理方式。</w:t>
      </w:r>
    </w:p>
    <w:p w14:paraId="05F8FD7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标识依托标识规则和知识库，对输入数据进行比对分析、逻辑计算，输出打上敏感级别语言、区域、位置、涉黄、涉暴、涉恐等标识的数据，为上层应用提供支持。数据标识分为通用标识和业务标识，通用标识是数据自身所蕴含的特定含义的显性化，通常由数据的自身定义或由处理关联、比对结果等来确定。业务标识是根据不同的知识库形成具有明确业务含义的标识，对数据进行业务标识，支撑各种资源库、主题库的形成及模型分析。</w:t>
      </w:r>
    </w:p>
    <w:p w14:paraId="0DC8C44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在对各种数据进行标识的过程中，需要预先从策略和配置中心获取标识部分的策略和规则。</w:t>
      </w:r>
    </w:p>
    <w:p w14:paraId="188E218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通过对用户信息的分析、提炼形成高度精炼的自定义特征标识定义：基于标识定义并结合资源目录、规则库、模型库、算法库等应用需求，在数据处理过程中同步对数据进行标识。</w:t>
      </w:r>
    </w:p>
    <w:p w14:paraId="3067EE2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根据地理、业务、安全等级和数据的敏感等级等对数据进行标识。通过人工智能（语音识别、图像识别）和文本识别技术（</w:t>
      </w:r>
      <w:r>
        <w:rPr>
          <w:rFonts w:cs="宋体" w:asciiTheme="majorEastAsia" w:hAnsiTheme="majorEastAsia" w:eastAsiaTheme="majorEastAsia"/>
          <w:color w:val="auto"/>
          <w:sz w:val="24"/>
          <w:szCs w:val="21"/>
        </w:rPr>
        <w:t>NLP</w:t>
      </w:r>
      <w:r>
        <w:rPr>
          <w:rFonts w:hint="eastAsia" w:cs="宋体" w:asciiTheme="majorEastAsia" w:hAnsiTheme="majorEastAsia" w:eastAsiaTheme="majorEastAsia"/>
          <w:color w:val="auto"/>
          <w:sz w:val="24"/>
          <w:szCs w:val="21"/>
        </w:rPr>
        <w:t>）对文本、图片和媒体文件进行标识。</w:t>
      </w:r>
    </w:p>
    <w:p w14:paraId="0CCA4DB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此外，系统提供各部门原始数据的查询、修改、版本更新等功能，系统对数据的每一个过程都记录轨迹，保证数据变动后可追溯。另外对不同的用户、不同的业务条线，系统提供多维度的信息查询方式，进行自定义组合查询，并按照某些规则（如企业类型、行业、所在区域等）进行数据抽取，为不同的用户定制数据查询界面。</w:t>
      </w:r>
    </w:p>
    <w:p w14:paraId="47EAD9D3">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数据资源目录管理</w:t>
      </w:r>
    </w:p>
    <w:p w14:paraId="02B34E25">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1)</w:t>
      </w:r>
      <w:r>
        <w:rPr>
          <w:rFonts w:hint="eastAsia" w:cs="宋体" w:asciiTheme="majorEastAsia" w:hAnsiTheme="majorEastAsia" w:eastAsiaTheme="majorEastAsia"/>
          <w:color w:val="auto"/>
          <w:sz w:val="24"/>
          <w:szCs w:val="21"/>
        </w:rPr>
        <w:t>目录编制系统</w:t>
      </w:r>
    </w:p>
    <w:p w14:paraId="58EBF51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目录编制是整个系统的核心，为提高系统的扩展性，实现对城市综合管理服务平台据中心需要采集的资源目录从编制、审核、发布全过程管理，包括目录资源名称、目录编码、目录类型、资源标识符、元数据标识符、关键字说明、服务类型、数据类型、数据权限、资源提供部门等信息，同时可以对数据库、表、字段进行配置，包括字段的名称、类型、长度等，实现对数据库动态管理。</w:t>
      </w:r>
    </w:p>
    <w:p w14:paraId="46A8F14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资源目录梳理编制的规范应参考国家发布的《政务信息资源目录编制指南（试行）》。</w:t>
      </w:r>
    </w:p>
    <w:p w14:paraId="3625B846">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2)</w:t>
      </w:r>
      <w:r>
        <w:rPr>
          <w:rFonts w:hint="eastAsia" w:cs="宋体" w:asciiTheme="majorEastAsia" w:hAnsiTheme="majorEastAsia" w:eastAsiaTheme="majorEastAsia"/>
          <w:color w:val="auto"/>
          <w:sz w:val="24"/>
          <w:szCs w:val="21"/>
        </w:rPr>
        <w:t>目录管理系统</w:t>
      </w:r>
    </w:p>
    <w:p w14:paraId="59C5E32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对已发布的目录信息进行维护管理，包括对目录删除、停用、更新、重组、备份、恢复等功能，包括管理部门对已发布的目录提供多维度的目录查询、列表查询等功能。</w:t>
      </w:r>
    </w:p>
    <w:p w14:paraId="4CF94A8B">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3)</w:t>
      </w:r>
      <w:r>
        <w:rPr>
          <w:rFonts w:hint="eastAsia" w:cs="宋体" w:asciiTheme="majorEastAsia" w:hAnsiTheme="majorEastAsia" w:eastAsiaTheme="majorEastAsia"/>
          <w:color w:val="auto"/>
          <w:sz w:val="24"/>
          <w:szCs w:val="21"/>
        </w:rPr>
        <w:t>目录服务系统</w:t>
      </w:r>
    </w:p>
    <w:p w14:paraId="0C461CE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基于服务门户对数据资源目录进行发布，向用户提供相关行业部门数据资源目录查询、目录定位服务，包括对目录类别、目录项、目录文字等审核发布，形成可查询显示的目录内容和访问地址。</w:t>
      </w:r>
    </w:p>
    <w:p w14:paraId="4AC42302">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4)</w:t>
      </w:r>
      <w:r>
        <w:rPr>
          <w:rFonts w:hint="eastAsia" w:cs="宋体" w:asciiTheme="majorEastAsia" w:hAnsiTheme="majorEastAsia" w:eastAsiaTheme="majorEastAsia"/>
          <w:color w:val="auto"/>
          <w:sz w:val="24"/>
          <w:szCs w:val="21"/>
        </w:rPr>
        <w:t>接口管理系统</w:t>
      </w:r>
    </w:p>
    <w:p w14:paraId="6C91CF8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提供目录上传接口和目录同步接口，一方面实现和市大数据局局数据资源目录上报、维护，一方面实现和数据交换指标的元数据同步。</w:t>
      </w:r>
    </w:p>
    <w:p w14:paraId="70BF8B51">
      <w:pPr>
        <w:pStyle w:val="8"/>
        <w:numPr>
          <w:ilvl w:val="5"/>
          <w:numId w:val="36"/>
        </w:numPr>
        <w:spacing w:line="240" w:lineRule="auto"/>
        <w:rPr>
          <w:rFonts w:cs="Times New Roman" w:asciiTheme="majorEastAsia" w:hAnsiTheme="majorEastAsia" w:eastAsiaTheme="majorEastAsia"/>
          <w:color w:val="auto"/>
          <w:szCs w:val="24"/>
        </w:rPr>
      </w:pPr>
      <w:r>
        <w:rPr>
          <w:rFonts w:hint="eastAsia" w:cs="Times New Roman" w:asciiTheme="majorEastAsia" w:hAnsiTheme="majorEastAsia" w:eastAsiaTheme="majorEastAsia"/>
          <w:color w:val="auto"/>
          <w:szCs w:val="24"/>
        </w:rPr>
        <w:t>数据质量管理</w:t>
      </w:r>
    </w:p>
    <w:p w14:paraId="19F8988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开发数据质量校验系统，校验和跟踪各个业务系统数据质量问题、提供数据质量提升，最终提高业务数据质量。通过项目建设，提高数据质量检查的有效性，为多个业务系统的数据质量保驾护航。</w:t>
      </w:r>
    </w:p>
    <w:p w14:paraId="313B36E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制定、实施数据质量检验，暴露各系统数据质量问题。持续监控各系统数据质量波动情况及数据质量规则占比分析，定期生成各系统关键数据质量报告，掌握系统数据质量状况。结合系统提供的清洗组件以及数据质量问题处理流程为各系统数据质量提升提供有效支撑。</w:t>
      </w:r>
    </w:p>
    <w:p w14:paraId="1A54D9BB">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1)</w:t>
      </w:r>
      <w:r>
        <w:rPr>
          <w:rFonts w:hint="eastAsia" w:cs="宋体" w:asciiTheme="majorEastAsia" w:hAnsiTheme="majorEastAsia" w:eastAsiaTheme="majorEastAsia"/>
          <w:color w:val="auto"/>
          <w:sz w:val="24"/>
          <w:szCs w:val="21"/>
        </w:rPr>
        <w:t>数据库配置</w:t>
      </w:r>
    </w:p>
    <w:p w14:paraId="419B6B3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具备建立数据采集库信息和校验后的数据存储库信息的功能；</w:t>
      </w:r>
    </w:p>
    <w:p w14:paraId="06A4A45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处理对象：数据库数据；</w:t>
      </w:r>
    </w:p>
    <w:p w14:paraId="3BDF08C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具备的功能：新增、修改，删除参与数据采集、数据校验存储的一个数据库的信息（包括数据源名称，数据库类型，数据库驱动类名，连接</w:t>
      </w:r>
      <w:r>
        <w:rPr>
          <w:rFonts w:cs="宋体" w:asciiTheme="majorEastAsia" w:hAnsiTheme="majorEastAsia" w:eastAsiaTheme="majorEastAsia"/>
          <w:color w:val="auto"/>
          <w:sz w:val="24"/>
          <w:szCs w:val="21"/>
        </w:rPr>
        <w:t>URL</w:t>
      </w:r>
      <w:r>
        <w:rPr>
          <w:rFonts w:hint="eastAsia" w:cs="宋体" w:asciiTheme="majorEastAsia" w:hAnsiTheme="majorEastAsia" w:eastAsiaTheme="majorEastAsia"/>
          <w:color w:val="auto"/>
          <w:sz w:val="24"/>
          <w:szCs w:val="21"/>
        </w:rPr>
        <w:t>，用户名，密码等信息），以供数据</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文件采集；</w:t>
      </w:r>
    </w:p>
    <w:p w14:paraId="23363539">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2)</w:t>
      </w:r>
      <w:r>
        <w:rPr>
          <w:rFonts w:hint="eastAsia" w:cs="宋体" w:asciiTheme="majorEastAsia" w:hAnsiTheme="majorEastAsia" w:eastAsiaTheme="majorEastAsia"/>
          <w:color w:val="auto"/>
          <w:sz w:val="24"/>
          <w:szCs w:val="21"/>
        </w:rPr>
        <w:t>质量规则配置</w:t>
      </w:r>
    </w:p>
    <w:p w14:paraId="77BE65D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制定统一的数据质量校验体系，统一数据质量度量、数据质量逻辑处理、执行的规范化步骤，可提升整体数据质量。对不满足要求的数据，可快速分析出数据的问题并闭环处理。</w:t>
      </w:r>
    </w:p>
    <w:p w14:paraId="1162526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数据质量校验规则是为源系统中存在的数据质量问题建立标准数据规范，从而得到有效的、可用的数据；</w:t>
      </w:r>
    </w:p>
    <w:p w14:paraId="3B30ACA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处理对象：数据质量校验部门管理员、系统维护人员。</w:t>
      </w:r>
    </w:p>
    <w:p w14:paraId="68C6B8E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具备的功能：支持选择需要建立规则的数据元名称，为数据元建立唯一的标识和规则名称；支持选择所属质量类别，为数据元建立通用规则；通用规则包括：完整性校验、一致性校验、数据正确性校验、准确性校验（是否允许为空、数据长度）；支持可按照不同目录下信息类的数据项，根据业务逻辑要求，进行条件配置；</w:t>
      </w:r>
    </w:p>
    <w:p w14:paraId="13874999">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3)</w:t>
      </w:r>
      <w:r>
        <w:rPr>
          <w:rFonts w:hint="eastAsia" w:cs="宋体" w:asciiTheme="majorEastAsia" w:hAnsiTheme="majorEastAsia" w:eastAsiaTheme="majorEastAsia"/>
          <w:color w:val="auto"/>
          <w:sz w:val="24"/>
          <w:szCs w:val="21"/>
        </w:rPr>
        <w:t>数据规则库</w:t>
      </w:r>
    </w:p>
    <w:p w14:paraId="3118E45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对已建立并启用的规则进行统一管理，可查看目录所对应的数据项的规则条件；</w:t>
      </w:r>
    </w:p>
    <w:p w14:paraId="7C388826">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4)</w:t>
      </w:r>
      <w:r>
        <w:rPr>
          <w:rFonts w:hint="eastAsia" w:cs="宋体" w:asciiTheme="majorEastAsia" w:hAnsiTheme="majorEastAsia" w:eastAsiaTheme="majorEastAsia"/>
          <w:color w:val="auto"/>
          <w:sz w:val="24"/>
          <w:szCs w:val="21"/>
        </w:rPr>
        <w:t>数据映射关系配置</w:t>
      </w:r>
    </w:p>
    <w:p w14:paraId="7B6580D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数据映射关系配置主要是通过</w:t>
      </w:r>
      <w:r>
        <w:rPr>
          <w:rFonts w:cs="宋体" w:asciiTheme="majorEastAsia" w:hAnsiTheme="majorEastAsia" w:eastAsiaTheme="majorEastAsia"/>
          <w:color w:val="auto"/>
          <w:sz w:val="24"/>
          <w:szCs w:val="21"/>
        </w:rPr>
        <w:t>web</w:t>
      </w:r>
      <w:r>
        <w:rPr>
          <w:rFonts w:hint="eastAsia" w:cs="宋体" w:asciiTheme="majorEastAsia" w:hAnsiTheme="majorEastAsia" w:eastAsiaTheme="majorEastAsia"/>
          <w:color w:val="auto"/>
          <w:sz w:val="24"/>
          <w:szCs w:val="21"/>
        </w:rPr>
        <w:t>界面快速建立信息项所对应的源表和目标表之间的映射关系；</w:t>
      </w:r>
    </w:p>
    <w:p w14:paraId="1056CF6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处理对象：数据质量校验部门管理员、系统维护人员。</w:t>
      </w:r>
    </w:p>
    <w:p w14:paraId="3DE8776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具备的功能：</w:t>
      </w:r>
    </w:p>
    <w:p w14:paraId="626405F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数据映射关系配置支持可按（业务名称、匹配状态、创建时间）进行多维度查询；</w:t>
      </w:r>
    </w:p>
    <w:p w14:paraId="55CD04F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支持新增、启用、停用、删除</w:t>
      </w:r>
      <w:r>
        <w:rPr>
          <w:rFonts w:cs="宋体" w:asciiTheme="majorEastAsia" w:hAnsiTheme="majorEastAsia" w:eastAsiaTheme="majorEastAsia"/>
          <w:color w:val="auto"/>
          <w:sz w:val="24"/>
          <w:szCs w:val="21"/>
        </w:rPr>
        <w:t>4</w:t>
      </w:r>
      <w:r>
        <w:rPr>
          <w:rFonts w:hint="eastAsia" w:cs="宋体" w:asciiTheme="majorEastAsia" w:hAnsiTheme="majorEastAsia" w:eastAsiaTheme="majorEastAsia"/>
          <w:color w:val="auto"/>
          <w:sz w:val="24"/>
          <w:szCs w:val="21"/>
        </w:rPr>
        <w:t>个功能的操作模式；</w:t>
      </w:r>
    </w:p>
    <w:p w14:paraId="50FF8B9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支持系统可自动带出业务名称的（业务字段）、业务所对应的源数据表和字段；</w:t>
      </w:r>
    </w:p>
    <w:p w14:paraId="54BBBBB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支持可新增所要建立映射关系的目标表以及目标字段；</w:t>
      </w:r>
    </w:p>
    <w:p w14:paraId="20945B33">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5)</w:t>
      </w:r>
      <w:r>
        <w:rPr>
          <w:rFonts w:hint="eastAsia" w:cs="宋体" w:asciiTheme="majorEastAsia" w:hAnsiTheme="majorEastAsia" w:eastAsiaTheme="majorEastAsia"/>
          <w:color w:val="auto"/>
          <w:sz w:val="24"/>
          <w:szCs w:val="21"/>
        </w:rPr>
        <w:t>任务调度</w:t>
      </w:r>
    </w:p>
    <w:p w14:paraId="1D45627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通过制定的规则、基础数据、数据映射关系，创建需要执行的数据校验任务；</w:t>
      </w:r>
    </w:p>
    <w:p w14:paraId="3CED2AB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处理对象：数据质量校验部门管理员；</w:t>
      </w:r>
    </w:p>
    <w:p w14:paraId="0ED4FF6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具备的功能：</w:t>
      </w:r>
    </w:p>
    <w:p w14:paraId="43C5115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任务管理支持可按（任务名称、任务目录、状态）进行多维度查询；</w:t>
      </w:r>
    </w:p>
    <w:p w14:paraId="4742CBD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任务管理支持可根据设置的频率、动作（执行中、暂停）进行任务执行；</w:t>
      </w:r>
    </w:p>
    <w:p w14:paraId="3EE87703">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6)</w:t>
      </w:r>
      <w:r>
        <w:rPr>
          <w:rFonts w:hint="eastAsia" w:cs="宋体" w:asciiTheme="majorEastAsia" w:hAnsiTheme="majorEastAsia" w:eastAsiaTheme="majorEastAsia"/>
          <w:color w:val="auto"/>
          <w:sz w:val="24"/>
          <w:szCs w:val="21"/>
        </w:rPr>
        <w:t>数据质量监控</w:t>
      </w:r>
    </w:p>
    <w:p w14:paraId="4FB65A6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数据的质量问题需要长期、逐步完善的过程，定期的质量监控是及时发现新问题、防止老问题死灰复燃及对阶段性质量改进工作评估总结的有效措施。</w:t>
      </w:r>
    </w:p>
    <w:p w14:paraId="3FE1274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通过已定义的数据规则、重复性、关联比对等多种方式定期检查数据一致性、正确性、关联性、重复性、完整性等多个方面的问题，形成完整量化的质量报告。</w:t>
      </w:r>
    </w:p>
    <w:p w14:paraId="4F50122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系统基于自研发数据集成产品，从数据准备、稽查执行、报告形成完整自动化流程，大量节省人力成本的投入。</w:t>
      </w:r>
    </w:p>
    <w:p w14:paraId="7587EFA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对已建立的数据校验任务，进行实时的、有效的过程化监控管理，让系统分析人员能够快速分析校验任务的执行状态、执行成功、执行失败情况；</w:t>
      </w:r>
    </w:p>
    <w:p w14:paraId="4B198AE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处理对象：数据质量校验部门管理员、系统分析人员；</w:t>
      </w:r>
    </w:p>
    <w:p w14:paraId="539B7F8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具备的功能：</w:t>
      </w:r>
    </w:p>
    <w:p w14:paraId="189175E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任务监控管理支持可按（任务名称、任务执行状态）进行查询；</w:t>
      </w:r>
    </w:p>
    <w:p w14:paraId="4F5EA3A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可实时查询每个任务的执行开始时间、执行状态（执行中、暂停中）、执行总数、执行成功数、执行失败数；</w:t>
      </w:r>
    </w:p>
    <w:p w14:paraId="4308310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任务监控只查询最新一次的任务状态；</w:t>
      </w:r>
    </w:p>
    <w:p w14:paraId="21707AAE">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7)</w:t>
      </w:r>
      <w:r>
        <w:rPr>
          <w:rFonts w:hint="eastAsia" w:cs="宋体" w:asciiTheme="majorEastAsia" w:hAnsiTheme="majorEastAsia" w:eastAsiaTheme="majorEastAsia"/>
          <w:color w:val="auto"/>
          <w:sz w:val="24"/>
          <w:szCs w:val="21"/>
        </w:rPr>
        <w:t>数据质量分析</w:t>
      </w:r>
    </w:p>
    <w:p w14:paraId="2FE1404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系统实现多维度的数据质量分析，根据不同的数据库进行分析，每个库都支持分类、分区域、分时间等条件的质量分析，并通过图表进行展示。用户也可以自定义统计分析规则，生成数据分析报表。并可通过图形、图标界面，快速定位问题产生的原因以及历史趋势，为数据管理人员解决数据质量问题提供辅助；</w:t>
      </w:r>
    </w:p>
    <w:p w14:paraId="6182993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处理对象：数据质量校验部门管理员、系统分析人员、管理人员；</w:t>
      </w:r>
    </w:p>
    <w:p w14:paraId="1780158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具备的功能</w:t>
      </w:r>
    </w:p>
    <w:p w14:paraId="559A30F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能够根据查询条件，多维度的查询想到分析的数据；</w:t>
      </w:r>
    </w:p>
    <w:p w14:paraId="6C04274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能够通过系统数据，输出数据质量报告；</w:t>
      </w:r>
    </w:p>
    <w:p w14:paraId="2B75461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实时分析数据质量趋势；</w:t>
      </w:r>
    </w:p>
    <w:p w14:paraId="00DE5EF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实时分析数据质量占比（成功数、失败数）；</w:t>
      </w:r>
    </w:p>
    <w:p w14:paraId="68AAFF4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可根据使用习惯，按照（柱状图、趋势图、原型图等）多种查询模式；</w:t>
      </w:r>
    </w:p>
    <w:p w14:paraId="49ACFFDA">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8)</w:t>
      </w:r>
      <w:r>
        <w:rPr>
          <w:rFonts w:hint="eastAsia" w:cs="宋体" w:asciiTheme="majorEastAsia" w:hAnsiTheme="majorEastAsia" w:eastAsiaTheme="majorEastAsia"/>
          <w:color w:val="auto"/>
          <w:sz w:val="24"/>
          <w:szCs w:val="21"/>
        </w:rPr>
        <w:t>数据质量提升</w:t>
      </w:r>
    </w:p>
    <w:p w14:paraId="3BF635E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各信息系统中存在的数据均为独立的业务链数据，数据中存在大量信息缺失、冲突、重复、不完整等问题。除了通过加强数据标准规范执行，加大监管力度等措施外，提供数据提升产品通过多种技术手段增强、合并、转换，结合半人工参与的方式，形成统一、优质的大数据中心标准数据库。</w:t>
      </w:r>
    </w:p>
    <w:p w14:paraId="7482F913">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质量问题告警</w:t>
      </w:r>
    </w:p>
    <w:p w14:paraId="749D2F0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质量问题告警是系统为了确保系统对数据的质量、处理时效性的提醒、通知过程；告警通知：</w:t>
      </w:r>
    </w:p>
    <w:p w14:paraId="47256D7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处理对象：数据质量校验部门管理员、系统分析人员；</w:t>
      </w:r>
    </w:p>
    <w:p w14:paraId="4308F8C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具备的功能</w:t>
      </w:r>
    </w:p>
    <w:p w14:paraId="6668B31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质量问题告警可查看每个校验任务的（告警名称、告警等级、告警状态）；</w:t>
      </w:r>
    </w:p>
    <w:p w14:paraId="0E2032E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支持对校验任务创建（告警类别，告警条件），并可对创建的告警配置进行操作（修改、停用、删除）。</w:t>
      </w:r>
    </w:p>
    <w:p w14:paraId="28008957">
      <w:pPr>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问题数据治理</w:t>
      </w:r>
    </w:p>
    <w:p w14:paraId="2654E44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根据建立的规范的校验问题的处理流程，通过流程的处理流程对系统中未处理、已处理的数据质量问题进行统一管理；</w:t>
      </w:r>
    </w:p>
    <w:p w14:paraId="22918D4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处理对象：数据质量校验部门管理员。</w:t>
      </w:r>
    </w:p>
    <w:p w14:paraId="14E68C3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具备的功能：</w:t>
      </w:r>
    </w:p>
    <w:p w14:paraId="28C40D6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问题数据治理管理支持可按（执行任务所属的部门、任务</w:t>
      </w:r>
      <w:r>
        <w:rPr>
          <w:rFonts w:cs="宋体" w:asciiTheme="majorEastAsia" w:hAnsiTheme="majorEastAsia" w:eastAsiaTheme="majorEastAsia"/>
          <w:color w:val="auto"/>
          <w:sz w:val="24"/>
          <w:szCs w:val="21"/>
        </w:rPr>
        <w:t>ID</w:t>
      </w:r>
      <w:r>
        <w:rPr>
          <w:rFonts w:hint="eastAsia" w:cs="宋体" w:asciiTheme="majorEastAsia" w:hAnsiTheme="majorEastAsia" w:eastAsiaTheme="majorEastAsia"/>
          <w:color w:val="auto"/>
          <w:sz w:val="24"/>
          <w:szCs w:val="21"/>
        </w:rPr>
        <w:t>、任务处理状态、处理时间）进行多维度查询；</w:t>
      </w:r>
    </w:p>
    <w:p w14:paraId="7BFD414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可查看每个任务所对应的数据项的错误个数、错误信息；</w:t>
      </w:r>
    </w:p>
    <w:p w14:paraId="70AF446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可通过历史记录查看该任务的处理情况；</w:t>
      </w:r>
    </w:p>
    <w:p w14:paraId="6AF2337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可对问题任务进行闭环操作；</w:t>
      </w:r>
    </w:p>
    <w:p w14:paraId="583C65E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对校验完成的数据进行统一管理和存储，可查看、导出、删除结构化和非结构化数据。</w:t>
      </w:r>
    </w:p>
    <w:p w14:paraId="2C627CF7">
      <w:pPr>
        <w:pStyle w:val="6"/>
        <w:numPr>
          <w:ilvl w:val="3"/>
          <w:numId w:val="36"/>
        </w:numPr>
        <w:spacing w:line="240" w:lineRule="auto"/>
        <w:rPr>
          <w:color w:val="auto"/>
        </w:rPr>
      </w:pPr>
      <w:r>
        <w:rPr>
          <w:color w:val="auto"/>
        </w:rPr>
        <w:t>数据</w:t>
      </w:r>
      <w:r>
        <w:rPr>
          <w:rFonts w:hint="eastAsia"/>
          <w:color w:val="auto"/>
        </w:rPr>
        <w:t>交换子</w:t>
      </w:r>
      <w:r>
        <w:rPr>
          <w:color w:val="auto"/>
        </w:rPr>
        <w:t>系统</w:t>
      </w:r>
    </w:p>
    <w:p w14:paraId="27F3C64A">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数据交换系统实现向国家平台、省级平台推送应急管理相关数据，包括</w:t>
      </w:r>
      <w:r>
        <w:rPr>
          <w:rFonts w:cs="Times New Roman" w:asciiTheme="majorEastAsia" w:hAnsiTheme="majorEastAsia" w:eastAsiaTheme="majorEastAsia"/>
          <w:color w:val="auto"/>
          <w:sz w:val="24"/>
          <w:szCs w:val="21"/>
        </w:rPr>
        <w:t>接口服务发布、接口服务订阅、数据交换和</w:t>
      </w:r>
      <w:r>
        <w:rPr>
          <w:rFonts w:hint="eastAsia" w:cs="Times New Roman" w:asciiTheme="majorEastAsia" w:hAnsiTheme="majorEastAsia" w:eastAsiaTheme="majorEastAsia"/>
          <w:color w:val="auto"/>
          <w:sz w:val="24"/>
          <w:szCs w:val="21"/>
        </w:rPr>
        <w:t>接口</w:t>
      </w:r>
      <w:r>
        <w:rPr>
          <w:rFonts w:cs="Times New Roman" w:asciiTheme="majorEastAsia" w:hAnsiTheme="majorEastAsia" w:eastAsiaTheme="majorEastAsia"/>
          <w:color w:val="auto"/>
          <w:sz w:val="24"/>
          <w:szCs w:val="21"/>
        </w:rPr>
        <w:t>状态监控等功能.</w:t>
      </w:r>
    </w:p>
    <w:p w14:paraId="5D360D30">
      <w:pPr>
        <w:pStyle w:val="7"/>
        <w:numPr>
          <w:ilvl w:val="4"/>
          <w:numId w:val="36"/>
        </w:numPr>
        <w:spacing w:line="240" w:lineRule="auto"/>
        <w:rPr>
          <w:bCs/>
          <w:color w:val="auto"/>
        </w:rPr>
      </w:pPr>
      <w:r>
        <w:rPr>
          <w:rFonts w:hint="eastAsia"/>
          <w:bCs/>
          <w:color w:val="auto"/>
        </w:rPr>
        <w:t>数据接口及对接</w:t>
      </w:r>
    </w:p>
    <w:p w14:paraId="0EAF55E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数据接口系统建设包括部、市</w:t>
      </w:r>
      <w:r>
        <w:rPr>
          <w:rFonts w:cs="Times New Roman" w:asciiTheme="majorEastAsia" w:hAnsiTheme="majorEastAsia" w:eastAsiaTheme="majorEastAsia"/>
          <w:color w:val="auto"/>
          <w:sz w:val="24"/>
          <w:szCs w:val="21"/>
        </w:rPr>
        <w:t>对接接口</w:t>
      </w:r>
      <w:r>
        <w:rPr>
          <w:rFonts w:hint="eastAsia" w:cs="Times New Roman" w:asciiTheme="majorEastAsia" w:hAnsiTheme="majorEastAsia" w:eastAsiaTheme="majorEastAsia"/>
          <w:color w:val="auto"/>
          <w:sz w:val="24"/>
          <w:szCs w:val="21"/>
        </w:rPr>
        <w:t>，省、市</w:t>
      </w:r>
      <w:r>
        <w:rPr>
          <w:rFonts w:cs="Times New Roman" w:asciiTheme="majorEastAsia" w:hAnsiTheme="majorEastAsia" w:eastAsiaTheme="majorEastAsia"/>
          <w:color w:val="auto"/>
          <w:sz w:val="24"/>
          <w:szCs w:val="21"/>
        </w:rPr>
        <w:t>对接接口</w:t>
      </w:r>
      <w:r>
        <w:rPr>
          <w:rFonts w:hint="eastAsia" w:cs="Times New Roman" w:asciiTheme="majorEastAsia" w:hAnsiTheme="majorEastAsia" w:eastAsiaTheme="majorEastAsia"/>
          <w:color w:val="auto"/>
          <w:sz w:val="24"/>
          <w:szCs w:val="21"/>
        </w:rPr>
        <w:t>。</w:t>
      </w:r>
    </w:p>
    <w:p w14:paraId="3519F5FA">
      <w:pPr>
        <w:pStyle w:val="8"/>
        <w:numPr>
          <w:ilvl w:val="5"/>
          <w:numId w:val="36"/>
        </w:numPr>
        <w:spacing w:line="240" w:lineRule="auto"/>
        <w:rPr>
          <w:rFonts w:asciiTheme="majorEastAsia" w:hAnsiTheme="majorEastAsia" w:eastAsiaTheme="majorEastAsia"/>
          <w:color w:val="auto"/>
          <w:szCs w:val="24"/>
        </w:rPr>
      </w:pPr>
      <w:r>
        <w:rPr>
          <w:rFonts w:hint="eastAsia" w:asciiTheme="majorEastAsia" w:hAnsiTheme="majorEastAsia" w:eastAsiaTheme="majorEastAsia"/>
          <w:color w:val="auto"/>
          <w:szCs w:val="24"/>
        </w:rPr>
        <w:t>国家、市</w:t>
      </w:r>
      <w:r>
        <w:rPr>
          <w:rFonts w:asciiTheme="majorEastAsia" w:hAnsiTheme="majorEastAsia" w:eastAsiaTheme="majorEastAsia"/>
          <w:color w:val="auto"/>
          <w:szCs w:val="24"/>
        </w:rPr>
        <w:t>对接接口</w:t>
      </w:r>
    </w:p>
    <w:p w14:paraId="132B763E">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实现国家级平台和市级平台数据共享交换，包含城市管理基础数据、城市部件事件监管数据、城市管理行业应用数据、相关行业数据、公众诉求数据、网络舆情数据等部里平台要求对接的数据接口。</w:t>
      </w:r>
    </w:p>
    <w:p w14:paraId="3F49F4B3">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对接国家级业务指导系统，实现法律法规数据、行业动态数据、经验交流数据、举报投诉数据的对接。</w:t>
      </w:r>
    </w:p>
    <w:p w14:paraId="1A3DBFDF">
      <w:pPr>
        <w:pStyle w:val="8"/>
        <w:numPr>
          <w:ilvl w:val="5"/>
          <w:numId w:val="36"/>
        </w:numPr>
        <w:spacing w:line="240" w:lineRule="auto"/>
        <w:rPr>
          <w:rFonts w:asciiTheme="majorEastAsia" w:hAnsiTheme="majorEastAsia" w:eastAsiaTheme="majorEastAsia"/>
          <w:color w:val="auto"/>
          <w:szCs w:val="24"/>
        </w:rPr>
      </w:pPr>
      <w:r>
        <w:rPr>
          <w:rFonts w:hint="eastAsia" w:asciiTheme="majorEastAsia" w:hAnsiTheme="majorEastAsia" w:eastAsiaTheme="majorEastAsia"/>
          <w:color w:val="auto"/>
          <w:szCs w:val="24"/>
        </w:rPr>
        <w:t>省、市</w:t>
      </w:r>
      <w:r>
        <w:rPr>
          <w:rFonts w:asciiTheme="majorEastAsia" w:hAnsiTheme="majorEastAsia" w:eastAsiaTheme="majorEastAsia"/>
          <w:color w:val="auto"/>
          <w:szCs w:val="24"/>
        </w:rPr>
        <w:t>对接接口</w:t>
      </w:r>
    </w:p>
    <w:p w14:paraId="794B3613">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实现省级平台和市级平台数据共享交换，包含城市管理基础数据、城市部件事件监管数据、城市管理行业应用数据、相关行业数据、公众诉求数据、网络舆情数据等省内平台要求对接的数据接口。</w:t>
      </w:r>
    </w:p>
    <w:p w14:paraId="714ADDB8">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对接省级业务指导系统，实现法律法规数据、行业动态数据、经验交流数据、举报投诉数据的对接。</w:t>
      </w:r>
    </w:p>
    <w:p w14:paraId="376F861C">
      <w:pPr>
        <w:pStyle w:val="7"/>
        <w:numPr>
          <w:ilvl w:val="4"/>
          <w:numId w:val="36"/>
        </w:numPr>
        <w:spacing w:line="240" w:lineRule="auto"/>
        <w:rPr>
          <w:bCs/>
          <w:color w:val="auto"/>
        </w:rPr>
      </w:pPr>
      <w:r>
        <w:rPr>
          <w:rFonts w:hint="eastAsia"/>
          <w:bCs/>
          <w:color w:val="auto"/>
        </w:rPr>
        <w:t>接口服务发布</w:t>
      </w:r>
    </w:p>
    <w:p w14:paraId="060F0D2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数据资源共享默认条件下均为未发布状态，必须修改订阅状态为发布，才能完成订阅。系统支持对订阅任务进行发布，实现与第三方系统之间的数据融合。要指将大数据中心汇集的数据资源以API接口的形式对外进行开放使用。</w:t>
      </w:r>
    </w:p>
    <w:p w14:paraId="019BD1B7">
      <w:pPr>
        <w:pStyle w:val="8"/>
        <w:numPr>
          <w:ilvl w:val="5"/>
          <w:numId w:val="36"/>
        </w:numPr>
        <w:spacing w:line="240" w:lineRule="auto"/>
        <w:rPr>
          <w:rFonts w:asciiTheme="majorEastAsia" w:hAnsiTheme="majorEastAsia" w:eastAsiaTheme="majorEastAsia"/>
          <w:color w:val="auto"/>
          <w:szCs w:val="24"/>
        </w:rPr>
      </w:pPr>
      <w:r>
        <w:rPr>
          <w:rFonts w:hint="eastAsia" w:asciiTheme="majorEastAsia" w:hAnsiTheme="majorEastAsia" w:eastAsiaTheme="majorEastAsia"/>
          <w:color w:val="auto"/>
          <w:szCs w:val="24"/>
        </w:rPr>
        <w:t>API概览</w:t>
      </w:r>
    </w:p>
    <w:p w14:paraId="03D4DB78">
      <w:pPr>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API概览集中展示大数据中心所有可用</w:t>
      </w:r>
      <w:r>
        <w:rPr>
          <w:rFonts w:hint="eastAsia" w:cs="Times New Roman" w:asciiTheme="majorEastAsia" w:hAnsiTheme="majorEastAsia" w:eastAsiaTheme="majorEastAsia"/>
          <w:color w:val="auto"/>
          <w:sz w:val="24"/>
          <w:szCs w:val="21"/>
        </w:rPr>
        <w:t>API接口的基础信息，</w:t>
      </w:r>
      <w:r>
        <w:rPr>
          <w:rFonts w:cs="Times New Roman" w:asciiTheme="majorEastAsia" w:hAnsiTheme="majorEastAsia" w:eastAsiaTheme="majorEastAsia"/>
          <w:color w:val="auto"/>
          <w:sz w:val="24"/>
          <w:szCs w:val="21"/>
        </w:rPr>
        <w:t>包含了使用API</w:t>
      </w:r>
      <w:r>
        <w:rPr>
          <w:rFonts w:hint="eastAsia" w:cs="Times New Roman" w:asciiTheme="majorEastAsia" w:hAnsiTheme="majorEastAsia" w:eastAsiaTheme="majorEastAsia"/>
          <w:color w:val="auto"/>
          <w:sz w:val="24"/>
          <w:szCs w:val="21"/>
        </w:rPr>
        <w:t>的运行</w:t>
      </w:r>
      <w:r>
        <w:rPr>
          <w:rFonts w:cs="Times New Roman" w:asciiTheme="majorEastAsia" w:hAnsiTheme="majorEastAsia" w:eastAsiaTheme="majorEastAsia"/>
          <w:color w:val="auto"/>
          <w:sz w:val="24"/>
          <w:szCs w:val="21"/>
        </w:rPr>
        <w:t>状态</w:t>
      </w: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启动</w:t>
      </w:r>
      <w:r>
        <w:rPr>
          <w:rFonts w:hint="eastAsia" w:cs="Times New Roman" w:asciiTheme="majorEastAsia" w:hAnsiTheme="majorEastAsia" w:eastAsiaTheme="majorEastAsia"/>
          <w:color w:val="auto"/>
          <w:sz w:val="24"/>
          <w:szCs w:val="21"/>
        </w:rPr>
        <w:t>/停止）、资源</w:t>
      </w:r>
      <w:r>
        <w:rPr>
          <w:rFonts w:cs="Times New Roman" w:asciiTheme="majorEastAsia" w:hAnsiTheme="majorEastAsia" w:eastAsiaTheme="majorEastAsia"/>
          <w:color w:val="auto"/>
          <w:sz w:val="24"/>
          <w:szCs w:val="21"/>
        </w:rPr>
        <w:t>归属部门以及特殊</w:t>
      </w:r>
      <w:r>
        <w:rPr>
          <w:rFonts w:hint="eastAsia" w:cs="Times New Roman" w:asciiTheme="majorEastAsia" w:hAnsiTheme="majorEastAsia" w:eastAsiaTheme="majorEastAsia"/>
          <w:color w:val="auto"/>
          <w:sz w:val="24"/>
          <w:szCs w:val="21"/>
        </w:rPr>
        <w:t>API接口服务</w:t>
      </w:r>
      <w:r>
        <w:rPr>
          <w:rFonts w:cs="Times New Roman" w:asciiTheme="majorEastAsia" w:hAnsiTheme="majorEastAsia" w:eastAsiaTheme="majorEastAsia"/>
          <w:color w:val="auto"/>
          <w:sz w:val="24"/>
          <w:szCs w:val="21"/>
        </w:rPr>
        <w:t>。</w:t>
      </w:r>
    </w:p>
    <w:p w14:paraId="4649C746">
      <w:pPr>
        <w:pStyle w:val="8"/>
        <w:numPr>
          <w:ilvl w:val="5"/>
          <w:numId w:val="36"/>
        </w:numPr>
        <w:spacing w:line="240" w:lineRule="auto"/>
        <w:rPr>
          <w:rFonts w:asciiTheme="majorEastAsia" w:hAnsiTheme="majorEastAsia" w:eastAsiaTheme="majorEastAsia"/>
          <w:color w:val="auto"/>
          <w:szCs w:val="24"/>
        </w:rPr>
      </w:pPr>
      <w:r>
        <w:rPr>
          <w:rFonts w:hint="eastAsia" w:asciiTheme="majorEastAsia" w:hAnsiTheme="majorEastAsia" w:eastAsiaTheme="majorEastAsia"/>
          <w:color w:val="auto"/>
          <w:szCs w:val="24"/>
        </w:rPr>
        <w:t>API检索</w:t>
      </w:r>
    </w:p>
    <w:p w14:paraId="38A59F3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系统支持API检索功能，通过输入相应的API名称，获取API检索结果。系统支持模糊查询。</w:t>
      </w:r>
    </w:p>
    <w:p w14:paraId="7216C315">
      <w:pPr>
        <w:pStyle w:val="8"/>
        <w:numPr>
          <w:ilvl w:val="5"/>
          <w:numId w:val="36"/>
        </w:numPr>
        <w:spacing w:line="240" w:lineRule="auto"/>
        <w:rPr>
          <w:rFonts w:asciiTheme="majorEastAsia" w:hAnsiTheme="majorEastAsia" w:eastAsiaTheme="majorEastAsia"/>
          <w:color w:val="auto"/>
          <w:szCs w:val="24"/>
        </w:rPr>
      </w:pPr>
      <w:r>
        <w:rPr>
          <w:rFonts w:hint="eastAsia" w:asciiTheme="majorEastAsia" w:hAnsiTheme="majorEastAsia" w:eastAsiaTheme="majorEastAsia"/>
          <w:color w:val="auto"/>
          <w:szCs w:val="24"/>
        </w:rPr>
        <w:t>API服务管理</w:t>
      </w:r>
    </w:p>
    <w:p w14:paraId="121FD19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系统支持对所提供的API服务进行管理，包括API服务启用、停用、删除。</w:t>
      </w:r>
    </w:p>
    <w:p w14:paraId="49EACFE5">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API启用</w:t>
      </w:r>
    </w:p>
    <w:p w14:paraId="4A106E8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系统支持对所提供的API服务进行启用管理，启用API后，可提供相应API服务。</w:t>
      </w:r>
    </w:p>
    <w:p w14:paraId="516F89F1">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API停用</w:t>
      </w:r>
    </w:p>
    <w:p w14:paraId="55EA6B6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系统支持对所提供的API服务进行停用管理，停用API后，相应API服务暂停使用。</w:t>
      </w:r>
    </w:p>
    <w:p w14:paraId="07D446C1">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API删除</w:t>
      </w:r>
    </w:p>
    <w:p w14:paraId="1B05BCC9">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系统支持对所提供的API服务进行删除管理，删除API后，相应API服务暂停使用。</w:t>
      </w:r>
    </w:p>
    <w:p w14:paraId="22E5AC5B">
      <w:pPr>
        <w:pStyle w:val="7"/>
        <w:numPr>
          <w:ilvl w:val="4"/>
          <w:numId w:val="36"/>
        </w:numPr>
        <w:spacing w:line="240" w:lineRule="auto"/>
        <w:rPr>
          <w:bCs/>
          <w:color w:val="auto"/>
        </w:rPr>
      </w:pPr>
      <w:r>
        <w:rPr>
          <w:rFonts w:hint="eastAsia"/>
          <w:bCs/>
          <w:color w:val="auto"/>
        </w:rPr>
        <w:t>接口服务订阅</w:t>
      </w:r>
    </w:p>
    <w:p w14:paraId="620C46FD">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订阅管理主要根据第三方应用的数据共享需求，由第三方应用提供数据接收地址，大数据中心按照规定格式定期向其推送数据资源。</w:t>
      </w:r>
    </w:p>
    <w:p w14:paraId="26B3EBA2">
      <w:pPr>
        <w:pStyle w:val="8"/>
        <w:numPr>
          <w:ilvl w:val="5"/>
          <w:numId w:val="36"/>
        </w:numPr>
        <w:spacing w:line="240" w:lineRule="auto"/>
        <w:rPr>
          <w:rFonts w:asciiTheme="majorEastAsia" w:hAnsiTheme="majorEastAsia" w:eastAsiaTheme="majorEastAsia"/>
          <w:color w:val="auto"/>
          <w:szCs w:val="24"/>
        </w:rPr>
      </w:pPr>
      <w:r>
        <w:rPr>
          <w:rFonts w:asciiTheme="majorEastAsia" w:hAnsiTheme="majorEastAsia" w:eastAsiaTheme="majorEastAsia"/>
          <w:color w:val="auto"/>
          <w:szCs w:val="24"/>
        </w:rPr>
        <w:t>订阅申请</w:t>
      </w:r>
    </w:p>
    <w:p w14:paraId="03203828">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城市综合管理服务数据</w:t>
      </w:r>
      <w:r>
        <w:rPr>
          <w:rFonts w:cs="Times New Roman" w:asciiTheme="majorEastAsia" w:hAnsiTheme="majorEastAsia" w:eastAsiaTheme="majorEastAsia"/>
          <w:color w:val="auto"/>
          <w:sz w:val="24"/>
        </w:rPr>
        <w:t>中心汇聚的资源针对不用层级的用户开放的权限不一致</w:t>
      </w:r>
      <w:r>
        <w:rPr>
          <w:rFonts w:hint="eastAsia" w:cs="Times New Roman" w:asciiTheme="majorEastAsia" w:hAnsiTheme="majorEastAsia" w:eastAsiaTheme="majorEastAsia"/>
          <w:color w:val="auto"/>
          <w:sz w:val="24"/>
        </w:rPr>
        <w:t>。</w:t>
      </w:r>
      <w:r>
        <w:rPr>
          <w:rFonts w:cs="Times New Roman" w:asciiTheme="majorEastAsia" w:hAnsiTheme="majorEastAsia" w:eastAsiaTheme="majorEastAsia"/>
          <w:color w:val="auto"/>
          <w:sz w:val="24"/>
        </w:rPr>
        <w:t>资源订阅管理即</w:t>
      </w:r>
      <w:r>
        <w:rPr>
          <w:rFonts w:hint="eastAsia" w:cs="Times New Roman" w:asciiTheme="majorEastAsia" w:hAnsiTheme="majorEastAsia" w:eastAsiaTheme="majorEastAsia"/>
          <w:color w:val="auto"/>
          <w:sz w:val="24"/>
        </w:rPr>
        <w:t>是城市综合管理服务数据数据中心的资源管理器，提供资源访问权限控制，操作人员对数据资源进行订阅与使用。数据资源订阅流程如下：</w:t>
      </w:r>
    </w:p>
    <w:p w14:paraId="458A7FA7">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（1）第三方应用提出交换申请，并提供数据接收地址与格式；</w:t>
      </w:r>
    </w:p>
    <w:p w14:paraId="113E8419">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（2）资源提供方对订阅申请进行审核，设置必要的订阅属性，如：订阅处理组件等；</w:t>
      </w:r>
    </w:p>
    <w:p w14:paraId="3F929A0F">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（3）经资源提供方审核通过后，启动数据信息订阅服务，定期推送数据资源。</w:t>
      </w:r>
    </w:p>
    <w:p w14:paraId="15E296A9">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服务申请列表</w:t>
      </w:r>
    </w:p>
    <w:p w14:paraId="35E1C0FA">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系统支持以列表的形势展示向大数据中心申请的订阅服务。列表中展示的主要内容包括序号、应用名称、ID编号、加密密码、接口授权状态、申请时间、授权时间以及对服务的操作动作等。</w:t>
      </w:r>
    </w:p>
    <w:p w14:paraId="58B5CF54">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订阅查询</w:t>
      </w:r>
    </w:p>
    <w:p w14:paraId="4BC08AE2">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系统支持按照资源名称、授权状态、申请时间、授权时间等条件查询所申请的订阅服务。输入查询条件后，以列表的形式展示订阅信息。</w:t>
      </w:r>
    </w:p>
    <w:p w14:paraId="25299107">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撤销申请</w:t>
      </w:r>
    </w:p>
    <w:p w14:paraId="51002D9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系统支持撤销订阅申请，通过点击撤销申请，进行申请撤销操作。</w:t>
      </w:r>
    </w:p>
    <w:p w14:paraId="4DF56701">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批量撤销</w:t>
      </w:r>
    </w:p>
    <w:p w14:paraId="1050DC2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系统支持按批量撤销订阅申请，选择所需要撤销的订阅申请，进行批量撤销操作。</w:t>
      </w:r>
    </w:p>
    <w:p w14:paraId="2B1E94F6">
      <w:pPr>
        <w:pStyle w:val="8"/>
        <w:numPr>
          <w:ilvl w:val="5"/>
          <w:numId w:val="36"/>
        </w:numPr>
        <w:spacing w:line="240" w:lineRule="auto"/>
        <w:rPr>
          <w:rFonts w:asciiTheme="majorEastAsia" w:hAnsiTheme="majorEastAsia" w:eastAsiaTheme="majorEastAsia"/>
          <w:color w:val="auto"/>
          <w:szCs w:val="24"/>
        </w:rPr>
      </w:pPr>
      <w:r>
        <w:rPr>
          <w:rFonts w:asciiTheme="majorEastAsia" w:hAnsiTheme="majorEastAsia" w:eastAsiaTheme="majorEastAsia"/>
          <w:color w:val="auto"/>
          <w:szCs w:val="24"/>
        </w:rPr>
        <w:t>我的订阅</w:t>
      </w:r>
    </w:p>
    <w:p w14:paraId="5A22606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管理本账户订阅的数据资源情况，提供条件检索功能，根据资源名称、授权状态等条件快速定位到已获取的订阅资源内容。</w:t>
      </w:r>
    </w:p>
    <w:p w14:paraId="26205D65">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我的申请</w:t>
      </w:r>
    </w:p>
    <w:p w14:paraId="43145AC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系统支持查看本账号申请的订阅服务，以列表的形式进行展示，并可新增申请和撤销本账号的服务申请。</w:t>
      </w:r>
    </w:p>
    <w:p w14:paraId="2D6A86D8">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新增申请</w:t>
      </w:r>
    </w:p>
    <w:p w14:paraId="471827D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系统支持新增订阅申请，通过点击新增申请，填写相关申请信息，进行申请操作。</w:t>
      </w:r>
    </w:p>
    <w:p w14:paraId="39156169">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再次申请</w:t>
      </w:r>
    </w:p>
    <w:p w14:paraId="6A05081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如果对第三方申请订阅服务审核不通过，系统支持再次提出申请操作，此前申请所填的信息自动保留，并可进行编辑。</w:t>
      </w:r>
    </w:p>
    <w:p w14:paraId="6D402ED7">
      <w:pPr>
        <w:pStyle w:val="8"/>
        <w:numPr>
          <w:ilvl w:val="5"/>
          <w:numId w:val="36"/>
        </w:numPr>
        <w:spacing w:line="240" w:lineRule="auto"/>
        <w:rPr>
          <w:rFonts w:asciiTheme="majorEastAsia" w:hAnsiTheme="majorEastAsia" w:eastAsiaTheme="majorEastAsia"/>
          <w:color w:val="auto"/>
          <w:szCs w:val="24"/>
        </w:rPr>
      </w:pPr>
      <w:r>
        <w:rPr>
          <w:rFonts w:asciiTheme="majorEastAsia" w:hAnsiTheme="majorEastAsia" w:eastAsiaTheme="majorEastAsia"/>
          <w:color w:val="auto"/>
          <w:szCs w:val="24"/>
        </w:rPr>
        <w:t>订阅审核</w:t>
      </w:r>
    </w:p>
    <w:p w14:paraId="25EC5A3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用于对审核订阅申请的操作人员进行授权。通过审核，即为向第三方应用提供的地址推送数据获取权限，被授权的第三方应用可进行资源订阅和请求操作。</w:t>
      </w:r>
    </w:p>
    <w:p w14:paraId="4B0E45D0">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待审核申请查询</w:t>
      </w:r>
    </w:p>
    <w:p w14:paraId="0C1679FD">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系统支持查询待审核的订阅申请，通过输入相关查询条件，搜索待审核的申请。</w:t>
      </w:r>
    </w:p>
    <w:p w14:paraId="4476E115">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待审核申请查看</w:t>
      </w:r>
    </w:p>
    <w:p w14:paraId="2DD9AF9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系统支持对待审核的订阅申请进行查看，通过点击查看详细，查看待审核服务的详细信息。</w:t>
      </w:r>
    </w:p>
    <w:p w14:paraId="36ACEC12">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申请审核</w:t>
      </w:r>
    </w:p>
    <w:p w14:paraId="4482138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系统支持对所申请的订阅服务进行审核操作，审核通过后即可提供相关服务，定期通过接口向第三方提供数据服务。</w:t>
      </w:r>
    </w:p>
    <w:p w14:paraId="7B0D82CF">
      <w:pPr>
        <w:pStyle w:val="7"/>
        <w:numPr>
          <w:ilvl w:val="4"/>
          <w:numId w:val="36"/>
        </w:numPr>
        <w:spacing w:line="240" w:lineRule="auto"/>
        <w:rPr>
          <w:bCs/>
          <w:color w:val="auto"/>
        </w:rPr>
      </w:pPr>
      <w:r>
        <w:rPr>
          <w:rFonts w:hint="eastAsia"/>
          <w:bCs/>
          <w:color w:val="auto"/>
        </w:rPr>
        <w:t>数据交换</w:t>
      </w:r>
    </w:p>
    <w:p w14:paraId="261784C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数据资源交换主要指将大数据中心汇集的数据资源以API接口的形式对外进行开放使用。数据交换包括对大数据中心对外发布的API服务进行管理，包括第三方应用向大数据中心申请API服务的状态（应用名称、密钥、授权状态等信息）。</w:t>
      </w:r>
    </w:p>
    <w:p w14:paraId="0B03B2C3">
      <w:pPr>
        <w:pStyle w:val="8"/>
        <w:numPr>
          <w:ilvl w:val="5"/>
          <w:numId w:val="36"/>
        </w:numPr>
        <w:spacing w:line="240" w:lineRule="auto"/>
        <w:rPr>
          <w:rFonts w:asciiTheme="majorEastAsia" w:hAnsiTheme="majorEastAsia" w:eastAsiaTheme="majorEastAsia"/>
          <w:color w:val="auto"/>
          <w:szCs w:val="24"/>
        </w:rPr>
      </w:pPr>
      <w:r>
        <w:rPr>
          <w:rFonts w:asciiTheme="majorEastAsia" w:hAnsiTheme="majorEastAsia" w:eastAsiaTheme="majorEastAsia"/>
          <w:color w:val="auto"/>
          <w:szCs w:val="24"/>
        </w:rPr>
        <w:t>应用申请</w:t>
      </w:r>
    </w:p>
    <w:p w14:paraId="1AF7514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系统支持第三方应用向本数据中心提出应用申请，审核通过后，进而共享本数据中心提供的数据接口服务，具体应用申请步骤如下:</w:t>
      </w:r>
    </w:p>
    <w:p w14:paraId="1DFB9712">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（1）资源提供方通过大数据中心配置资源开放信息（包括接口名称、接口内容、调用次数等）；</w:t>
      </w:r>
    </w:p>
    <w:p w14:paraId="3E57E4AD">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（2）第三方应用提出共享申请，确定资源使用时间、接口调用次数、申请理由等信息；</w:t>
      </w:r>
    </w:p>
    <w:p w14:paraId="681B0354">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（3）资源提供方审核共享申请。申请经审核通过之后，第三方应用获取资源共享权限，即可根据接口进行对应开发，否则驳回申请。用户可自主撤销申请。</w:t>
      </w:r>
    </w:p>
    <w:p w14:paraId="54D39378">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申请列表</w:t>
      </w:r>
    </w:p>
    <w:p w14:paraId="788ACEB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系统支持以列表的形势展示向大数据中心申请的API服务。列表中展示的主要内容包括序号、应用名称、ID编号、加密密码、接口授权状态、申请时间、授权时间以及对服务的操作动作等。</w:t>
      </w:r>
    </w:p>
    <w:p w14:paraId="1F75AFAE">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应用查询</w:t>
      </w:r>
    </w:p>
    <w:p w14:paraId="432E9669">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系统支持按照接口名称或服务状态等条件查询所申请的服务接口。输入查询条件后，以列表的形式展示接口信息。</w:t>
      </w:r>
    </w:p>
    <w:p w14:paraId="01A35F68">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撤销申请</w:t>
      </w:r>
    </w:p>
    <w:p w14:paraId="42233F1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系统支持第三方对所提交的接口服务申请进行撤销操作，第三方撤销申请前必须通过系统先申请，通过后进行撤销。</w:t>
      </w:r>
    </w:p>
    <w:p w14:paraId="46EF690B">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批量撤销</w:t>
      </w:r>
    </w:p>
    <w:p w14:paraId="3BB2101A">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系统支持按批量进行撤销操作，选择需要撤销的申请，进行撤销操作。</w:t>
      </w:r>
    </w:p>
    <w:p w14:paraId="71C7936F">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查看详情</w:t>
      </w:r>
    </w:p>
    <w:p w14:paraId="5440B3D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系统支持查看所申请的接口服务详情。</w:t>
      </w:r>
    </w:p>
    <w:p w14:paraId="7C77A14A">
      <w:pPr>
        <w:pStyle w:val="8"/>
        <w:numPr>
          <w:ilvl w:val="5"/>
          <w:numId w:val="36"/>
        </w:numPr>
        <w:spacing w:line="240" w:lineRule="auto"/>
        <w:rPr>
          <w:rFonts w:asciiTheme="majorEastAsia" w:hAnsiTheme="majorEastAsia" w:eastAsiaTheme="majorEastAsia"/>
          <w:color w:val="auto"/>
          <w:szCs w:val="24"/>
        </w:rPr>
      </w:pPr>
      <w:r>
        <w:rPr>
          <w:rFonts w:hint="eastAsia" w:asciiTheme="majorEastAsia" w:hAnsiTheme="majorEastAsia" w:eastAsiaTheme="majorEastAsia"/>
          <w:color w:val="auto"/>
          <w:szCs w:val="24"/>
        </w:rPr>
        <w:t>我的申请</w:t>
      </w:r>
    </w:p>
    <w:p w14:paraId="2BF22AF5">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申请查询</w:t>
      </w:r>
    </w:p>
    <w:p w14:paraId="656EB0C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系统支持按条件查询本账号申请的服务，以列表的形式进行展示，并可新增申请和撤销本账号的服务申请。</w:t>
      </w:r>
    </w:p>
    <w:p w14:paraId="575BA29C">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新增申请</w:t>
      </w:r>
    </w:p>
    <w:p w14:paraId="69B897AC">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系统支持第三方应用向数据中心申请接口服务，通过填写应用信息、申请理由、服务类型等信息，进行申请。</w:t>
      </w:r>
    </w:p>
    <w:p w14:paraId="764F34A2">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再次申请</w:t>
      </w:r>
    </w:p>
    <w:p w14:paraId="0ADFE4D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如果对第三方申请的服务审核不通过，系统支持再次提出申请操作，此前申请所填的信息自动保留，并可进行编辑。</w:t>
      </w:r>
    </w:p>
    <w:p w14:paraId="160AE7C3">
      <w:pPr>
        <w:pStyle w:val="8"/>
        <w:numPr>
          <w:ilvl w:val="5"/>
          <w:numId w:val="36"/>
        </w:numPr>
        <w:spacing w:line="240" w:lineRule="auto"/>
        <w:rPr>
          <w:rFonts w:asciiTheme="majorEastAsia" w:hAnsiTheme="majorEastAsia" w:eastAsiaTheme="majorEastAsia"/>
          <w:color w:val="auto"/>
          <w:szCs w:val="24"/>
        </w:rPr>
      </w:pPr>
      <w:r>
        <w:rPr>
          <w:rFonts w:asciiTheme="majorEastAsia" w:hAnsiTheme="majorEastAsia" w:eastAsiaTheme="majorEastAsia"/>
          <w:color w:val="auto"/>
          <w:szCs w:val="24"/>
        </w:rPr>
        <w:t>应用审核</w:t>
      </w:r>
    </w:p>
    <w:p w14:paraId="604BAD4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应用审核用于资源管理方对API服务的接口内容、使用期限、调用次数等控制权限的核查，审核状态为通过/不通过。对于审核不通过的API服务，直接驳回处理。用户可批量审核任务或进行单条审核操作，支持审核任务的查询与查看。</w:t>
      </w:r>
    </w:p>
    <w:p w14:paraId="25C551F7">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申请审核</w:t>
      </w:r>
    </w:p>
    <w:p w14:paraId="1500875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系统支持对所申请的服务进行审核操作，审核通过后即可提供相关服务。</w:t>
      </w:r>
    </w:p>
    <w:p w14:paraId="627DB37F">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待审核申请查询</w:t>
      </w:r>
    </w:p>
    <w:p w14:paraId="79CC7D42">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系统支持查询待审核的申请，通过输入相关查询条件，搜索待审核的申请。</w:t>
      </w:r>
    </w:p>
    <w:p w14:paraId="49A8A027">
      <w:pPr>
        <w:pStyle w:val="3"/>
        <w:numPr>
          <w:ilvl w:val="6"/>
          <w:numId w:val="36"/>
        </w:numPr>
        <w:spacing w:line="240" w:lineRule="auto"/>
        <w:rPr>
          <w:rFonts w:asciiTheme="majorEastAsia" w:hAnsiTheme="majorEastAsia" w:eastAsiaTheme="majorEastAsia"/>
          <w:color w:val="auto"/>
        </w:rPr>
      </w:pPr>
      <w:r>
        <w:rPr>
          <w:rFonts w:hint="eastAsia" w:asciiTheme="majorEastAsia" w:hAnsiTheme="majorEastAsia" w:eastAsiaTheme="majorEastAsia"/>
          <w:color w:val="auto"/>
        </w:rPr>
        <w:t>待审核申请查看</w:t>
      </w:r>
    </w:p>
    <w:p w14:paraId="4B5ED77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系统支持对待审核的申请进行查看，通过点击查看详细，查看待审核服务的详细信息。</w:t>
      </w:r>
    </w:p>
    <w:p w14:paraId="24879C65">
      <w:pPr>
        <w:pStyle w:val="7"/>
        <w:numPr>
          <w:ilvl w:val="4"/>
          <w:numId w:val="36"/>
        </w:numPr>
        <w:spacing w:line="240" w:lineRule="auto"/>
        <w:rPr>
          <w:color w:val="auto"/>
        </w:rPr>
      </w:pPr>
      <w:r>
        <w:rPr>
          <w:rFonts w:hint="eastAsia"/>
          <w:color w:val="auto"/>
        </w:rPr>
        <w:t>接口状态监控</w:t>
      </w:r>
    </w:p>
    <w:p w14:paraId="2128722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根据</w:t>
      </w:r>
      <w:r>
        <w:rPr>
          <w:rFonts w:cs="Times New Roman" w:asciiTheme="majorEastAsia" w:hAnsiTheme="majorEastAsia" w:eastAsiaTheme="majorEastAsia"/>
          <w:color w:val="auto"/>
          <w:sz w:val="24"/>
          <w:szCs w:val="21"/>
        </w:rPr>
        <w:t>API服务监控结果，支持对API接口调用情况、热门调用情况、最新发布的API等信息进行浏览，同时支持对API进行检索。</w:t>
      </w:r>
    </w:p>
    <w:p w14:paraId="24F56E9B">
      <w:pPr>
        <w:pStyle w:val="8"/>
        <w:numPr>
          <w:ilvl w:val="5"/>
          <w:numId w:val="36"/>
        </w:numPr>
        <w:spacing w:line="240" w:lineRule="auto"/>
        <w:rPr>
          <w:rFonts w:asciiTheme="majorEastAsia" w:hAnsiTheme="majorEastAsia" w:eastAsiaTheme="majorEastAsia"/>
          <w:color w:val="auto"/>
          <w:szCs w:val="24"/>
        </w:rPr>
      </w:pPr>
      <w:r>
        <w:rPr>
          <w:rFonts w:hint="eastAsia" w:asciiTheme="majorEastAsia" w:hAnsiTheme="majorEastAsia" w:eastAsiaTheme="majorEastAsia"/>
          <w:color w:val="auto"/>
          <w:szCs w:val="24"/>
        </w:rPr>
        <w:t>接口调用次数监控</w:t>
      </w:r>
    </w:p>
    <w:p w14:paraId="5FBA8E3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支持对指定</w:t>
      </w:r>
      <w:r>
        <w:rPr>
          <w:rFonts w:cs="Times New Roman" w:asciiTheme="majorEastAsia" w:hAnsiTheme="majorEastAsia" w:eastAsiaTheme="majorEastAsia"/>
          <w:color w:val="auto"/>
          <w:sz w:val="24"/>
          <w:szCs w:val="21"/>
        </w:rPr>
        <w:t>API服务访问量的统计数据进行实时查询，此功能只面向开放API的用户。</w:t>
      </w:r>
    </w:p>
    <w:p w14:paraId="62A2CA20">
      <w:pPr>
        <w:pStyle w:val="8"/>
        <w:numPr>
          <w:ilvl w:val="5"/>
          <w:numId w:val="36"/>
        </w:numPr>
        <w:spacing w:line="240" w:lineRule="auto"/>
        <w:rPr>
          <w:rFonts w:asciiTheme="majorEastAsia" w:hAnsiTheme="majorEastAsia" w:eastAsiaTheme="majorEastAsia"/>
          <w:color w:val="auto"/>
          <w:szCs w:val="24"/>
        </w:rPr>
      </w:pPr>
      <w:r>
        <w:rPr>
          <w:rFonts w:hint="eastAsia" w:asciiTheme="majorEastAsia" w:hAnsiTheme="majorEastAsia" w:eastAsiaTheme="majorEastAsia"/>
          <w:color w:val="auto"/>
          <w:szCs w:val="24"/>
        </w:rPr>
        <w:t>服务访问频率监控</w:t>
      </w:r>
    </w:p>
    <w:p w14:paraId="0C15B2D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支持对指定</w:t>
      </w:r>
      <w:r>
        <w:rPr>
          <w:rFonts w:cs="Times New Roman" w:asciiTheme="majorEastAsia" w:hAnsiTheme="majorEastAsia" w:eastAsiaTheme="majorEastAsia"/>
          <w:color w:val="auto"/>
          <w:sz w:val="24"/>
          <w:szCs w:val="21"/>
        </w:rPr>
        <w:t>API服务访问频率的统计数据进行实时查询，此功能只面向开放API的用户。用户针对指定API的访问频率可以用于请求操作是否正常的依据</w:t>
      </w: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以及根据访问频率展示出热门访问的</w:t>
      </w:r>
      <w:r>
        <w:rPr>
          <w:rFonts w:hint="eastAsia" w:cs="Times New Roman" w:asciiTheme="majorEastAsia" w:hAnsiTheme="majorEastAsia" w:eastAsiaTheme="majorEastAsia"/>
          <w:color w:val="auto"/>
          <w:sz w:val="24"/>
          <w:szCs w:val="21"/>
        </w:rPr>
        <w:t>API列表</w:t>
      </w:r>
      <w:r>
        <w:rPr>
          <w:rFonts w:cs="Times New Roman" w:asciiTheme="majorEastAsia" w:hAnsiTheme="majorEastAsia" w:eastAsiaTheme="majorEastAsia"/>
          <w:color w:val="auto"/>
          <w:sz w:val="24"/>
          <w:szCs w:val="21"/>
        </w:rPr>
        <w:t>。</w:t>
      </w:r>
    </w:p>
    <w:p w14:paraId="43941765">
      <w:pPr>
        <w:pStyle w:val="8"/>
        <w:numPr>
          <w:ilvl w:val="5"/>
          <w:numId w:val="36"/>
        </w:numPr>
        <w:spacing w:line="240" w:lineRule="auto"/>
        <w:rPr>
          <w:rFonts w:asciiTheme="majorEastAsia" w:hAnsiTheme="majorEastAsia" w:eastAsiaTheme="majorEastAsia"/>
          <w:color w:val="auto"/>
          <w:szCs w:val="24"/>
        </w:rPr>
      </w:pPr>
      <w:r>
        <w:rPr>
          <w:rFonts w:hint="eastAsia" w:asciiTheme="majorEastAsia" w:hAnsiTheme="majorEastAsia" w:eastAsiaTheme="majorEastAsia"/>
          <w:color w:val="auto"/>
          <w:szCs w:val="24"/>
        </w:rPr>
        <w:t>服务发布监控</w:t>
      </w:r>
    </w:p>
    <w:p w14:paraId="58931DB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支持对</w:t>
      </w:r>
      <w:r>
        <w:rPr>
          <w:rFonts w:cs="Times New Roman" w:asciiTheme="majorEastAsia" w:hAnsiTheme="majorEastAsia" w:eastAsiaTheme="majorEastAsia"/>
          <w:color w:val="auto"/>
          <w:sz w:val="24"/>
          <w:szCs w:val="21"/>
        </w:rPr>
        <w:t>API服务</w:t>
      </w:r>
      <w:r>
        <w:rPr>
          <w:rFonts w:hint="eastAsia" w:cs="Times New Roman" w:asciiTheme="majorEastAsia" w:hAnsiTheme="majorEastAsia" w:eastAsiaTheme="majorEastAsia"/>
          <w:color w:val="auto"/>
          <w:sz w:val="24"/>
          <w:szCs w:val="21"/>
        </w:rPr>
        <w:t>的</w:t>
      </w:r>
      <w:r>
        <w:rPr>
          <w:rFonts w:cs="Times New Roman" w:asciiTheme="majorEastAsia" w:hAnsiTheme="majorEastAsia" w:eastAsiaTheme="majorEastAsia"/>
          <w:color w:val="auto"/>
          <w:sz w:val="24"/>
          <w:szCs w:val="21"/>
        </w:rPr>
        <w:t>发布情况进行实时更新</w:t>
      </w: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展示最新发布的</w:t>
      </w:r>
      <w:r>
        <w:rPr>
          <w:rFonts w:hint="eastAsia" w:cs="Times New Roman" w:asciiTheme="majorEastAsia" w:hAnsiTheme="majorEastAsia" w:eastAsiaTheme="majorEastAsia"/>
          <w:color w:val="auto"/>
          <w:sz w:val="24"/>
          <w:szCs w:val="21"/>
        </w:rPr>
        <w:t>API服务</w:t>
      </w:r>
      <w:r>
        <w:rPr>
          <w:rFonts w:cs="Times New Roman" w:asciiTheme="majorEastAsia" w:hAnsiTheme="majorEastAsia" w:eastAsiaTheme="majorEastAsia"/>
          <w:color w:val="auto"/>
          <w:sz w:val="24"/>
          <w:szCs w:val="21"/>
        </w:rPr>
        <w:t>。</w:t>
      </w:r>
    </w:p>
    <w:p w14:paraId="3706E81D">
      <w:pPr>
        <w:pStyle w:val="8"/>
        <w:numPr>
          <w:ilvl w:val="5"/>
          <w:numId w:val="36"/>
        </w:numPr>
        <w:spacing w:line="240" w:lineRule="auto"/>
        <w:rPr>
          <w:rFonts w:asciiTheme="majorEastAsia" w:hAnsiTheme="majorEastAsia" w:eastAsiaTheme="majorEastAsia"/>
          <w:color w:val="auto"/>
          <w:szCs w:val="24"/>
        </w:rPr>
      </w:pPr>
      <w:r>
        <w:rPr>
          <w:rFonts w:hint="eastAsia" w:asciiTheme="majorEastAsia" w:hAnsiTheme="majorEastAsia" w:eastAsiaTheme="majorEastAsia"/>
          <w:color w:val="auto"/>
          <w:szCs w:val="24"/>
        </w:rPr>
        <w:t>请求异常监控</w:t>
      </w:r>
    </w:p>
    <w:p w14:paraId="3226884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支持对指定</w:t>
      </w:r>
      <w:r>
        <w:rPr>
          <w:rFonts w:cs="Times New Roman" w:asciiTheme="majorEastAsia" w:hAnsiTheme="majorEastAsia" w:eastAsiaTheme="majorEastAsia"/>
          <w:color w:val="auto"/>
          <w:sz w:val="24"/>
          <w:szCs w:val="21"/>
        </w:rPr>
        <w:t>API服务请求异常进行实时报警，有助于系统管理员及时处理异常状况，保证API正常使用。</w:t>
      </w:r>
    </w:p>
    <w:p w14:paraId="402D073D">
      <w:pPr>
        <w:pStyle w:val="41"/>
        <w:rPr>
          <w:color w:val="auto"/>
        </w:rPr>
      </w:pPr>
    </w:p>
    <w:p w14:paraId="12237E48">
      <w:pPr>
        <w:pStyle w:val="27"/>
        <w:widowControl/>
        <w:spacing w:before="75" w:beforeAutospacing="0" w:after="75" w:afterAutospacing="0" w:line="360" w:lineRule="exact"/>
        <w:ind w:firstLine="281" w:firstLineChars="100"/>
        <w:outlineLvl w:val="1"/>
        <w:rPr>
          <w:b/>
          <w:bCs/>
          <w:color w:val="auto"/>
          <w:sz w:val="28"/>
          <w:szCs w:val="28"/>
        </w:rPr>
      </w:pPr>
      <w:r>
        <w:rPr>
          <w:rFonts w:hint="eastAsia"/>
          <w:b/>
          <w:bCs/>
          <w:color w:val="auto"/>
          <w:sz w:val="28"/>
          <w:szCs w:val="28"/>
        </w:rPr>
        <w:t>合同包2：福州市城市综合管理服务平台集成、业务系统包。</w:t>
      </w:r>
    </w:p>
    <w:p w14:paraId="46775E95">
      <w:pPr>
        <w:keepNext/>
        <w:keepLines/>
        <w:numPr>
          <w:ilvl w:val="2"/>
          <w:numId w:val="37"/>
        </w:numPr>
        <w:ind w:firstLine="200"/>
        <w:contextualSpacing/>
        <w:jc w:val="left"/>
        <w:outlineLvl w:val="2"/>
        <w:rPr>
          <w:rFonts w:ascii="宋体" w:hAnsi="宋体" w:eastAsia="宋体" w:cs="宋体"/>
          <w:color w:val="auto"/>
          <w:sz w:val="28"/>
          <w:szCs w:val="28"/>
        </w:rPr>
      </w:pPr>
      <w:bookmarkStart w:id="116" w:name="_Toc95404039"/>
      <w:bookmarkStart w:id="117" w:name="_Toc83216255"/>
      <w:r>
        <w:rPr>
          <w:rFonts w:hint="eastAsia" w:ascii="宋体" w:hAnsi="宋体" w:eastAsia="宋体" w:cs="宋体"/>
          <w:color w:val="auto"/>
          <w:sz w:val="28"/>
          <w:szCs w:val="28"/>
        </w:rPr>
        <w:t>系统集成与培训</w:t>
      </w:r>
    </w:p>
    <w:p w14:paraId="1C117B4A">
      <w:pPr>
        <w:pStyle w:val="13"/>
        <w:rPr>
          <w:rFonts w:ascii="Times New Roman" w:hAnsi="Times New Roman" w:eastAsia="宋体" w:cs="Times New Roman"/>
          <w:b/>
          <w:bCs/>
          <w:color w:val="auto"/>
          <w:sz w:val="24"/>
        </w:rPr>
      </w:pPr>
      <w:r>
        <w:rPr>
          <w:rFonts w:hint="eastAsia" w:ascii="Times New Roman" w:hAnsi="Times New Roman" w:eastAsia="宋体" w:cs="Times New Roman"/>
          <w:color w:val="auto"/>
          <w:sz w:val="24"/>
        </w:rPr>
        <w:t xml:space="preserve">  </w:t>
      </w:r>
      <w:r>
        <w:rPr>
          <w:rStyle w:val="32"/>
          <w:rFonts w:hint="eastAsia" w:ascii="宋体" w:hAnsi="宋体" w:eastAsia="宋体" w:cs="宋体"/>
          <w:color w:val="auto"/>
          <w:sz w:val="24"/>
        </w:rPr>
        <w:t xml:space="preserve">★ </w:t>
      </w:r>
      <w:r>
        <w:rPr>
          <w:rFonts w:hint="eastAsia" w:ascii="Times New Roman" w:hAnsi="Times New Roman" w:eastAsia="宋体" w:cs="Times New Roman"/>
          <w:b/>
          <w:bCs/>
          <w:color w:val="auto"/>
          <w:sz w:val="24"/>
        </w:rPr>
        <w:t>中标方负责项目的总集</w:t>
      </w:r>
      <w:r>
        <w:rPr>
          <w:rFonts w:hint="eastAsia" w:ascii="Times New Roman" w:hAnsi="Times New Roman" w:eastAsia="宋体" w:cs="Times New Roman"/>
          <w:color w:val="auto"/>
          <w:sz w:val="24"/>
        </w:rPr>
        <w:t>，具体工作包含整个城市综合管理服务平台的项目管理，牵头整个项目的业务分析和设计，边界划分，接口定义，协调与其它系统之间的规范和标准，对接共享服务。同时负责协调整体项目的实施。组织所有的服务商在统一的业务分析和设计，以及定义接口与边界统一协议和规范，组织协调各个服务商协调分析、设计、开发、测试，以及实现系统生产部署，交接和运维的工作。</w:t>
      </w:r>
      <w:r>
        <w:rPr>
          <w:rFonts w:hint="eastAsia" w:ascii="Times New Roman" w:hAnsi="Times New Roman" w:eastAsia="宋体" w:cs="Times New Roman"/>
          <w:b/>
          <w:bCs/>
          <w:color w:val="auto"/>
          <w:sz w:val="24"/>
        </w:rPr>
        <w:t>承担总集责任，确保平台的整体贯通。应对整体项目进行系统集成与培训。投标人必须单独提供关于本条内容的专项承诺函，否则视为无效投标。</w:t>
      </w:r>
    </w:p>
    <w:p w14:paraId="2B2FA848">
      <w:pPr>
        <w:pStyle w:val="6"/>
        <w:numPr>
          <w:ilvl w:val="3"/>
          <w:numId w:val="37"/>
        </w:numPr>
        <w:spacing w:line="240" w:lineRule="auto"/>
        <w:rPr>
          <w:color w:val="auto"/>
        </w:rPr>
      </w:pPr>
      <w:r>
        <w:rPr>
          <w:rFonts w:hint="eastAsia"/>
          <w:color w:val="auto"/>
        </w:rPr>
        <w:t>培训目标</w:t>
      </w:r>
    </w:p>
    <w:p w14:paraId="1D188EBE">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为项目涉及工作人员提供软硬件基本操作原理、调试、操作使用和保养维修等有关内容的免费培训。</w:t>
      </w:r>
    </w:p>
    <w:p w14:paraId="2BD594A9">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1.围绕城市综合管理服务平台的功能向各类使用人员进行项目的应用软件功能操作的培训。</w:t>
      </w:r>
    </w:p>
    <w:p w14:paraId="462E9974">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2.主要培训信息系统建设的理论、国内外先进的IT理念、信息系统建设目标、硬软件应用知识、系统运维等内容。</w:t>
      </w:r>
    </w:p>
    <w:p w14:paraId="0B73D5D1">
      <w:pPr>
        <w:pStyle w:val="6"/>
        <w:numPr>
          <w:ilvl w:val="3"/>
          <w:numId w:val="37"/>
        </w:numPr>
        <w:spacing w:line="240" w:lineRule="auto"/>
        <w:rPr>
          <w:color w:val="auto"/>
        </w:rPr>
      </w:pPr>
      <w:r>
        <w:rPr>
          <w:rFonts w:hint="eastAsia"/>
          <w:color w:val="auto"/>
        </w:rPr>
        <w:t>培训计划</w:t>
      </w:r>
    </w:p>
    <w:p w14:paraId="74092AC8">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1.系统平台操作培训</w:t>
      </w:r>
    </w:p>
    <w:p w14:paraId="5A494F36">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面向工作人员，不少于 3 场。</w:t>
      </w:r>
    </w:p>
    <w:p w14:paraId="520BB0FB">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2.系统操作管理培训</w:t>
      </w:r>
    </w:p>
    <w:p w14:paraId="728393F1">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面向管理者，不少于 2 场。</w:t>
      </w:r>
    </w:p>
    <w:p w14:paraId="60D70804">
      <w:pPr>
        <w:pStyle w:val="6"/>
        <w:numPr>
          <w:ilvl w:val="3"/>
          <w:numId w:val="37"/>
        </w:numPr>
        <w:spacing w:line="240" w:lineRule="auto"/>
        <w:rPr>
          <w:color w:val="auto"/>
        </w:rPr>
      </w:pPr>
      <w:r>
        <w:rPr>
          <w:rFonts w:hint="eastAsia"/>
          <w:color w:val="auto"/>
        </w:rPr>
        <w:t>培训方式</w:t>
      </w:r>
    </w:p>
    <w:p w14:paraId="00A214F1">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1.现场培训</w:t>
      </w:r>
    </w:p>
    <w:p w14:paraId="16A08B9A">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现场培训是在现场安装调试相关设备和系统时，相关技术人员在现场观看和学习，并给予适当实际操作机会，针对本项目的特点和应用系统维护要求作相应的讲解，对相关技术人员产生的问题随即解答并直到相关人员学会为止，具有很强的实践和交互性。这种方式的培训在所有设备的安装和调试中都将积极予以实现。</w:t>
      </w:r>
    </w:p>
    <w:p w14:paraId="36BA737C">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2.授课培训</w:t>
      </w:r>
    </w:p>
    <w:p w14:paraId="1579C68E">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授课培训一般提供较为系统的理论学习，并根据不同课程辅以实验环境下的实际操作，学习过程中还提供完备的学习资料，是正规培训主要采用的方式。为使培训收到良好的效果，应针对不同水平需求的人员因材施教。</w:t>
      </w:r>
    </w:p>
    <w:p w14:paraId="5FE71D2B">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3.日常交流</w:t>
      </w:r>
    </w:p>
    <w:p w14:paraId="29C56B93">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在项目执行过程中，设立网上信息交流和培训社区，并经常与使用者交流工作经验和存在的问题。</w:t>
      </w:r>
    </w:p>
    <w:p w14:paraId="6295F788">
      <w:pPr>
        <w:pStyle w:val="6"/>
        <w:numPr>
          <w:ilvl w:val="3"/>
          <w:numId w:val="37"/>
        </w:numPr>
        <w:spacing w:line="240" w:lineRule="auto"/>
        <w:rPr>
          <w:color w:val="auto"/>
        </w:rPr>
      </w:pPr>
      <w:r>
        <w:rPr>
          <w:rFonts w:hint="eastAsia"/>
          <w:color w:val="auto"/>
        </w:rPr>
        <w:t>培训内容</w:t>
      </w:r>
    </w:p>
    <w:p w14:paraId="59AA2D18">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在实施前进行系统及产品培训，以便对系统有详细了解；在建设过程中进行安装培训，以达到能够独立进行系统安装及维护；在工程结束后进行应用培训，使他们能够熟练掌握系统在各种应用环境中的使用。培训内容包括安装配置、日常使用维持、一般故障诊断和修复等内容，具体如下：</w:t>
      </w:r>
    </w:p>
    <w:p w14:paraId="20C32FF5">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系统的体系结构及相关技术；</w:t>
      </w:r>
    </w:p>
    <w:p w14:paraId="2F2EF1B4">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系统的安装调试、系统性能特点、参数设置；</w:t>
      </w:r>
    </w:p>
    <w:p w14:paraId="7B4FD417">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系统维护、系统常见故障分析；</w:t>
      </w:r>
    </w:p>
    <w:p w14:paraId="2A9937A2">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系统管理员和使用者培训。</w:t>
      </w:r>
    </w:p>
    <w:p w14:paraId="1CFF804C">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培训的内容能达到：</w:t>
      </w:r>
    </w:p>
    <w:p w14:paraId="043394E2">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熟悉整个系统的硬件和软件结构、系统的配置；</w:t>
      </w:r>
    </w:p>
    <w:p w14:paraId="35053647">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熟练掌握系统基本组成及原理；</w:t>
      </w:r>
    </w:p>
    <w:p w14:paraId="54682D60">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熟练掌握系统的操作与运行管理；</w:t>
      </w:r>
    </w:p>
    <w:p w14:paraId="24701F47">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熟练掌握权限、使用者配置等系统管理；</w:t>
      </w:r>
    </w:p>
    <w:p w14:paraId="34B7AE0D">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熟练掌握系统的安装、检测、维护；</w:t>
      </w:r>
    </w:p>
    <w:p w14:paraId="76EF96D7">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熟练掌握排除故障的基本技术</w:t>
      </w:r>
      <w:r>
        <w:rPr>
          <w:rFonts w:ascii="Times New Roman" w:hAnsi="Times New Roman" w:eastAsia="宋体" w:cs="Times New Roman"/>
          <w:color w:val="auto"/>
          <w:sz w:val="24"/>
        </w:rPr>
        <w:t xml:space="preserve"> </w:t>
      </w:r>
      <w:r>
        <w:rPr>
          <w:rFonts w:hint="eastAsia" w:ascii="Times New Roman" w:hAnsi="Times New Roman" w:eastAsia="宋体" w:cs="Times New Roman"/>
          <w:color w:val="auto"/>
          <w:sz w:val="24"/>
        </w:rPr>
        <w:t>。</w:t>
      </w:r>
    </w:p>
    <w:p w14:paraId="2B866E77">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1.信息采集员工作培训内容：</w:t>
      </w:r>
    </w:p>
    <w:p w14:paraId="5FEB6C39">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登录采集器系统，能够登录和打卡下班；</w:t>
      </w:r>
    </w:p>
    <w:p w14:paraId="1BA8BDD6">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能够进行问题上报，能够正确识别部件和事件类型；</w:t>
      </w:r>
    </w:p>
    <w:p w14:paraId="7EF5DE91">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能够对核实和核查任务进行反馈；</w:t>
      </w:r>
    </w:p>
    <w:p w14:paraId="6F8C5BB6">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能够查看管理今日提示；</w:t>
      </w:r>
    </w:p>
    <w:p w14:paraId="5F76DED2">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2.受理员及值班长工作培训内容：</w:t>
      </w:r>
    </w:p>
    <w:p w14:paraId="75703EF1">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熟练登录城市综合管理服务平台，并设置常用参数；</w:t>
      </w:r>
    </w:p>
    <w:p w14:paraId="7B360FC9">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能够通过受理系统成功受理城市管理问题；</w:t>
      </w:r>
    </w:p>
    <w:p w14:paraId="6BBC6B32">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进行立案审核和批转；</w:t>
      </w:r>
    </w:p>
    <w:p w14:paraId="1196929D">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熟练进行地图操作；</w:t>
      </w:r>
    </w:p>
    <w:p w14:paraId="38B7BEE0">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熟练发送核查请求；</w:t>
      </w:r>
    </w:p>
    <w:p w14:paraId="024656E6">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消息发送功能；</w:t>
      </w:r>
    </w:p>
    <w:p w14:paraId="0C725359">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案卷督办；</w:t>
      </w:r>
    </w:p>
    <w:p w14:paraId="384761A3">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其他相关功能；</w:t>
      </w:r>
    </w:p>
    <w:p w14:paraId="0011876F">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3.协同指挥平台培训内容：</w:t>
      </w:r>
    </w:p>
    <w:p w14:paraId="62961FA0">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问题派遣；</w:t>
      </w:r>
    </w:p>
    <w:p w14:paraId="344D7C44">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问题督查；</w:t>
      </w:r>
    </w:p>
    <w:p w14:paraId="4BFA4216">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案卷回退；</w:t>
      </w:r>
    </w:p>
    <w:p w14:paraId="1EEE6A21">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授权审核；</w:t>
      </w:r>
    </w:p>
    <w:p w14:paraId="7A508BF0">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4.承办单位培训内容：</w:t>
      </w:r>
    </w:p>
    <w:p w14:paraId="238668ED">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登录系统；</w:t>
      </w:r>
    </w:p>
    <w:p w14:paraId="48F3233D">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正常业务办理；</w:t>
      </w:r>
    </w:p>
    <w:p w14:paraId="5577F577">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答复督办；</w:t>
      </w:r>
    </w:p>
    <w:p w14:paraId="3041C462">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5.大屏幕控制员培训内容：</w:t>
      </w:r>
    </w:p>
    <w:p w14:paraId="551746D9">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监督指挥中心案卷办理情况；</w:t>
      </w:r>
    </w:p>
    <w:p w14:paraId="1831201A">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信息采集员在岗分布情况；</w:t>
      </w:r>
    </w:p>
    <w:p w14:paraId="1B700230">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评价内容；</w:t>
      </w:r>
    </w:p>
    <w:p w14:paraId="14D8F0DB">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6.系统管理员培训内容：</w:t>
      </w:r>
    </w:p>
    <w:p w14:paraId="458DB88C">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主机系统操作培训；</w:t>
      </w:r>
    </w:p>
    <w:p w14:paraId="6E5853AD">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对</w:t>
      </w:r>
      <w:r>
        <w:rPr>
          <w:rFonts w:ascii="Times New Roman" w:hAnsi="Times New Roman" w:eastAsia="宋体" w:cs="Times New Roman"/>
          <w:color w:val="auto"/>
          <w:sz w:val="24"/>
        </w:rPr>
        <w:t xml:space="preserve"> PC </w:t>
      </w:r>
      <w:r>
        <w:rPr>
          <w:rFonts w:hint="eastAsia" w:ascii="Times New Roman" w:hAnsi="Times New Roman" w:eastAsia="宋体" w:cs="Times New Roman"/>
          <w:color w:val="auto"/>
          <w:sz w:val="24"/>
        </w:rPr>
        <w:t>服务器的基本操作与维护；</w:t>
      </w:r>
    </w:p>
    <w:p w14:paraId="3DD9A751">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对存储设备的管理；</w:t>
      </w:r>
    </w:p>
    <w:p w14:paraId="0BF51B60">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网络系统培训；</w:t>
      </w:r>
    </w:p>
    <w:p w14:paraId="060AC742">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基础网络知识培训；</w:t>
      </w:r>
    </w:p>
    <w:p w14:paraId="3016C76B">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数据中心机房网络设备培训；</w:t>
      </w:r>
    </w:p>
    <w:p w14:paraId="4229D68E">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对网络与安全设备的操作与维护；</w:t>
      </w:r>
    </w:p>
    <w:p w14:paraId="0FFCB0FB">
      <w:pPr>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业务管理平台：</w:t>
      </w:r>
    </w:p>
    <w:p w14:paraId="5B844790">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部门人员岗位的维护；</w:t>
      </w:r>
    </w:p>
    <w:p w14:paraId="7B72E55D">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信息采集员的配置；</w:t>
      </w:r>
    </w:p>
    <w:p w14:paraId="6C4DC242">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工作流程的配置；</w:t>
      </w:r>
    </w:p>
    <w:p w14:paraId="6F502215">
      <w:pPr>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ascii="Times New Roman" w:hAnsi="Times New Roman" w:eastAsia="宋体" w:cs="Times New Roman"/>
          <w:color w:val="auto"/>
          <w:sz w:val="24"/>
        </w:rPr>
        <w:tab/>
      </w:r>
      <w:r>
        <w:rPr>
          <w:rFonts w:hint="eastAsia" w:ascii="Times New Roman" w:hAnsi="Times New Roman" w:eastAsia="宋体" w:cs="Times New Roman"/>
          <w:color w:val="auto"/>
          <w:sz w:val="24"/>
        </w:rPr>
        <w:t>权限的配置；</w:t>
      </w:r>
    </w:p>
    <w:p w14:paraId="731F972F">
      <w:pPr>
        <w:pStyle w:val="41"/>
        <w:rPr>
          <w:color w:val="auto"/>
        </w:rPr>
      </w:pPr>
    </w:p>
    <w:p w14:paraId="36FD8FB7">
      <w:pPr>
        <w:keepNext/>
        <w:keepLines/>
        <w:numPr>
          <w:ilvl w:val="2"/>
          <w:numId w:val="37"/>
        </w:numPr>
        <w:ind w:firstLine="200"/>
        <w:contextualSpacing/>
        <w:jc w:val="left"/>
        <w:outlineLvl w:val="2"/>
        <w:rPr>
          <w:rFonts w:ascii="宋体" w:hAnsi="宋体" w:eastAsia="宋体" w:cs="宋体"/>
          <w:color w:val="auto"/>
          <w:sz w:val="28"/>
          <w:szCs w:val="28"/>
        </w:rPr>
      </w:pPr>
      <w:r>
        <w:rPr>
          <w:rFonts w:hint="eastAsia" w:ascii="宋体" w:hAnsi="宋体" w:eastAsia="宋体" w:cs="宋体"/>
          <w:color w:val="auto"/>
          <w:sz w:val="28"/>
          <w:szCs w:val="28"/>
        </w:rPr>
        <w:t>公众服务系统</w:t>
      </w:r>
      <w:bookmarkEnd w:id="116"/>
      <w:bookmarkEnd w:id="117"/>
    </w:p>
    <w:p w14:paraId="23EB3A73">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公众服务平台是全体市民与数字化城市管理系统之间的一个桥梁。全体市民可以随时将发现的城管问题、投诉建议、问题咨询等信息通过微信平台公众号编辑问题后上报到城管系统监督中心，城管中心收到市民上报的问题后可以及时回复、反馈市民，实时处理问题；市民则可通过微信平台及时查看监督中心处理后的回复意见及咨询、投诉处理建议。具备通过指挥协调系统对公众诉求进行派遣、处置、核查和结案功能，具备对服务结果及服务的满意度进行调查回访的功能。</w:t>
      </w:r>
    </w:p>
    <w:p w14:paraId="7EADA2AD">
      <w:pPr>
        <w:ind w:firstLine="480" w:firstLineChars="200"/>
        <w:jc w:val="center"/>
        <w:rPr>
          <w:rFonts w:ascii="Times New Roman" w:hAnsi="Times New Roman" w:eastAsia="宋体" w:cs="Times New Roman"/>
          <w:color w:val="auto"/>
          <w:sz w:val="24"/>
          <w:szCs w:val="21"/>
        </w:rPr>
      </w:pPr>
      <w:bookmarkStart w:id="118" w:name="_Toc9379"/>
      <w:r>
        <w:rPr>
          <w:rFonts w:hint="eastAsia" w:ascii="Times New Roman" w:hAnsi="Times New Roman" w:eastAsia="宋体" w:cs="Times New Roman"/>
          <w:color w:val="auto"/>
          <w:sz w:val="24"/>
          <w:szCs w:val="21"/>
        </w:rPr>
        <w:t>公众服务系统改造对照表</w:t>
      </w:r>
      <w:bookmarkEnd w:id="118"/>
    </w:p>
    <w:tbl>
      <w:tblPr>
        <w:tblStyle w:val="30"/>
        <w:tblW w:w="7410" w:type="dxa"/>
        <w:jc w:val="center"/>
        <w:tblLayout w:type="fixed"/>
        <w:tblCellMar>
          <w:top w:w="0" w:type="dxa"/>
          <w:left w:w="108" w:type="dxa"/>
          <w:bottom w:w="0" w:type="dxa"/>
          <w:right w:w="108" w:type="dxa"/>
        </w:tblCellMar>
      </w:tblPr>
      <w:tblGrid>
        <w:gridCol w:w="960"/>
        <w:gridCol w:w="1114"/>
        <w:gridCol w:w="1206"/>
        <w:gridCol w:w="2244"/>
        <w:gridCol w:w="1255"/>
        <w:gridCol w:w="631"/>
      </w:tblGrid>
      <w:tr w14:paraId="6002CCA0">
        <w:tblPrEx>
          <w:tblCellMar>
            <w:top w:w="0" w:type="dxa"/>
            <w:left w:w="108" w:type="dxa"/>
            <w:bottom w:w="0" w:type="dxa"/>
            <w:right w:w="108" w:type="dxa"/>
          </w:tblCellMar>
        </w:tblPrEx>
        <w:trPr>
          <w:trHeight w:val="26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177A33BC">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序号</w:t>
            </w:r>
          </w:p>
        </w:tc>
        <w:tc>
          <w:tcPr>
            <w:tcW w:w="1114" w:type="dxa"/>
            <w:tcBorders>
              <w:top w:val="single" w:color="auto" w:sz="4" w:space="0"/>
              <w:left w:val="nil"/>
              <w:bottom w:val="single" w:color="auto" w:sz="4" w:space="0"/>
              <w:right w:val="single" w:color="auto" w:sz="4" w:space="0"/>
            </w:tcBorders>
            <w:shd w:val="clear" w:color="auto" w:fill="auto"/>
            <w:vAlign w:val="center"/>
          </w:tcPr>
          <w:p w14:paraId="7C062079">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系统名称</w:t>
            </w:r>
          </w:p>
        </w:tc>
        <w:tc>
          <w:tcPr>
            <w:tcW w:w="1206" w:type="dxa"/>
            <w:tcBorders>
              <w:top w:val="single" w:color="auto" w:sz="4" w:space="0"/>
              <w:left w:val="nil"/>
              <w:bottom w:val="single" w:color="auto" w:sz="4" w:space="0"/>
              <w:right w:val="single" w:color="auto" w:sz="4" w:space="0"/>
            </w:tcBorders>
            <w:shd w:val="clear" w:color="auto" w:fill="auto"/>
            <w:vAlign w:val="center"/>
          </w:tcPr>
          <w:p w14:paraId="0CFC9D49">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模块</w:t>
            </w:r>
          </w:p>
        </w:tc>
        <w:tc>
          <w:tcPr>
            <w:tcW w:w="2244" w:type="dxa"/>
            <w:tcBorders>
              <w:top w:val="single" w:color="auto" w:sz="4" w:space="0"/>
              <w:left w:val="nil"/>
              <w:bottom w:val="single" w:color="auto" w:sz="4" w:space="0"/>
              <w:right w:val="single" w:color="auto" w:sz="4" w:space="0"/>
            </w:tcBorders>
            <w:shd w:val="clear" w:color="auto" w:fill="auto"/>
            <w:vAlign w:val="center"/>
          </w:tcPr>
          <w:p w14:paraId="38B42C5D">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功能</w:t>
            </w:r>
          </w:p>
        </w:tc>
        <w:tc>
          <w:tcPr>
            <w:tcW w:w="1255" w:type="dxa"/>
            <w:tcBorders>
              <w:top w:val="single" w:color="auto" w:sz="4" w:space="0"/>
              <w:left w:val="nil"/>
              <w:bottom w:val="single" w:color="auto" w:sz="4" w:space="0"/>
              <w:right w:val="single" w:color="auto" w:sz="4" w:space="0"/>
            </w:tcBorders>
            <w:shd w:val="clear" w:color="auto" w:fill="auto"/>
            <w:vAlign w:val="center"/>
          </w:tcPr>
          <w:p w14:paraId="66A0BF88">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改造情况</w:t>
            </w:r>
          </w:p>
        </w:tc>
        <w:tc>
          <w:tcPr>
            <w:tcW w:w="631" w:type="dxa"/>
            <w:tcBorders>
              <w:top w:val="single" w:color="auto" w:sz="4" w:space="0"/>
              <w:left w:val="nil"/>
              <w:bottom w:val="single" w:color="auto" w:sz="4" w:space="0"/>
              <w:right w:val="single" w:color="auto" w:sz="4" w:space="0"/>
            </w:tcBorders>
            <w:shd w:val="clear" w:color="auto" w:fill="auto"/>
            <w:vAlign w:val="center"/>
          </w:tcPr>
          <w:p w14:paraId="0FD9E44B">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备注</w:t>
            </w:r>
          </w:p>
        </w:tc>
      </w:tr>
      <w:tr w14:paraId="6C9B6EC7">
        <w:tblPrEx>
          <w:tblCellMar>
            <w:top w:w="0" w:type="dxa"/>
            <w:left w:w="108" w:type="dxa"/>
            <w:bottom w:w="0" w:type="dxa"/>
            <w:right w:w="108" w:type="dxa"/>
          </w:tblCellMar>
        </w:tblPrEx>
        <w:trPr>
          <w:trHeight w:val="260" w:hRule="atLeast"/>
          <w:jc w:val="center"/>
        </w:trPr>
        <w:tc>
          <w:tcPr>
            <w:tcW w:w="960" w:type="dxa"/>
            <w:tcBorders>
              <w:top w:val="nil"/>
              <w:left w:val="single" w:color="auto" w:sz="4" w:space="0"/>
              <w:bottom w:val="single" w:color="auto" w:sz="4" w:space="0"/>
              <w:right w:val="single" w:color="auto" w:sz="4" w:space="0"/>
            </w:tcBorders>
            <w:shd w:val="clear" w:color="auto" w:fill="auto"/>
            <w:vAlign w:val="center"/>
          </w:tcPr>
          <w:p w14:paraId="3691F049">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1</w:t>
            </w:r>
          </w:p>
        </w:tc>
        <w:tc>
          <w:tcPr>
            <w:tcW w:w="1114" w:type="dxa"/>
            <w:vMerge w:val="restart"/>
            <w:tcBorders>
              <w:top w:val="nil"/>
              <w:left w:val="single" w:color="auto" w:sz="4" w:space="0"/>
              <w:bottom w:val="single" w:color="auto" w:sz="4" w:space="0"/>
              <w:right w:val="single" w:color="auto" w:sz="4" w:space="0"/>
            </w:tcBorders>
            <w:shd w:val="clear" w:color="auto" w:fill="auto"/>
            <w:vAlign w:val="center"/>
          </w:tcPr>
          <w:p w14:paraId="63803022">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公众服务系统</w:t>
            </w:r>
          </w:p>
        </w:tc>
        <w:tc>
          <w:tcPr>
            <w:tcW w:w="1206" w:type="dxa"/>
            <w:vMerge w:val="restart"/>
            <w:tcBorders>
              <w:top w:val="nil"/>
              <w:left w:val="single" w:color="auto" w:sz="4" w:space="0"/>
              <w:bottom w:val="single" w:color="auto" w:sz="4" w:space="0"/>
              <w:right w:val="single" w:color="auto" w:sz="4" w:space="0"/>
            </w:tcBorders>
            <w:shd w:val="clear" w:color="auto" w:fill="auto"/>
            <w:vAlign w:val="center"/>
          </w:tcPr>
          <w:p w14:paraId="611536A4">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对接服务</w:t>
            </w:r>
          </w:p>
        </w:tc>
        <w:tc>
          <w:tcPr>
            <w:tcW w:w="2244" w:type="dxa"/>
            <w:tcBorders>
              <w:top w:val="nil"/>
              <w:left w:val="nil"/>
              <w:bottom w:val="single" w:color="auto" w:sz="4" w:space="0"/>
              <w:right w:val="single" w:color="auto" w:sz="4" w:space="0"/>
            </w:tcBorders>
            <w:shd w:val="clear" w:color="auto" w:fill="auto"/>
            <w:vAlign w:val="center"/>
          </w:tcPr>
          <w:p w14:paraId="11DAA25B">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对接国家12319公众号</w:t>
            </w:r>
          </w:p>
        </w:tc>
        <w:tc>
          <w:tcPr>
            <w:tcW w:w="1255" w:type="dxa"/>
            <w:tcBorders>
              <w:top w:val="nil"/>
              <w:left w:val="nil"/>
              <w:bottom w:val="single" w:color="auto" w:sz="4" w:space="0"/>
              <w:right w:val="single" w:color="auto" w:sz="4" w:space="0"/>
            </w:tcBorders>
            <w:shd w:val="clear" w:color="auto" w:fill="auto"/>
            <w:vAlign w:val="center"/>
          </w:tcPr>
          <w:p w14:paraId="7FA30CF6">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新建</w:t>
            </w:r>
          </w:p>
        </w:tc>
        <w:tc>
          <w:tcPr>
            <w:tcW w:w="631" w:type="dxa"/>
            <w:tcBorders>
              <w:top w:val="nil"/>
              <w:left w:val="nil"/>
              <w:bottom w:val="single" w:color="auto" w:sz="4" w:space="0"/>
              <w:right w:val="single" w:color="auto" w:sz="4" w:space="0"/>
            </w:tcBorders>
            <w:shd w:val="clear" w:color="auto" w:fill="auto"/>
            <w:vAlign w:val="center"/>
          </w:tcPr>
          <w:p w14:paraId="7C14B963">
            <w:pPr>
              <w:widowControl/>
              <w:jc w:val="center"/>
              <w:rPr>
                <w:rFonts w:ascii="Arial" w:hAnsi="Arial" w:eastAsia="宋体" w:cs="Arial"/>
                <w:color w:val="auto"/>
                <w:kern w:val="0"/>
                <w:sz w:val="20"/>
                <w:szCs w:val="20"/>
              </w:rPr>
            </w:pPr>
            <w:r>
              <w:rPr>
                <w:rFonts w:ascii="Arial" w:hAnsi="Arial" w:eastAsia="宋体" w:cs="Arial"/>
                <w:color w:val="auto"/>
                <w:kern w:val="0"/>
                <w:sz w:val="20"/>
                <w:szCs w:val="20"/>
              </w:rPr>
              <w:t>　</w:t>
            </w:r>
          </w:p>
        </w:tc>
      </w:tr>
      <w:tr w14:paraId="64CE91E1">
        <w:tblPrEx>
          <w:tblCellMar>
            <w:top w:w="0" w:type="dxa"/>
            <w:left w:w="108" w:type="dxa"/>
            <w:bottom w:w="0" w:type="dxa"/>
            <w:right w:w="108" w:type="dxa"/>
          </w:tblCellMar>
        </w:tblPrEx>
        <w:trPr>
          <w:trHeight w:val="260" w:hRule="atLeast"/>
          <w:jc w:val="center"/>
        </w:trPr>
        <w:tc>
          <w:tcPr>
            <w:tcW w:w="960" w:type="dxa"/>
            <w:tcBorders>
              <w:top w:val="nil"/>
              <w:left w:val="single" w:color="auto" w:sz="4" w:space="0"/>
              <w:bottom w:val="single" w:color="auto" w:sz="4" w:space="0"/>
              <w:right w:val="single" w:color="auto" w:sz="4" w:space="0"/>
            </w:tcBorders>
            <w:shd w:val="clear" w:color="auto" w:fill="auto"/>
            <w:vAlign w:val="center"/>
          </w:tcPr>
          <w:p w14:paraId="5291D846">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2</w:t>
            </w:r>
          </w:p>
        </w:tc>
        <w:tc>
          <w:tcPr>
            <w:tcW w:w="1114" w:type="dxa"/>
            <w:vMerge w:val="continue"/>
            <w:tcBorders>
              <w:top w:val="nil"/>
              <w:left w:val="single" w:color="auto" w:sz="4" w:space="0"/>
              <w:bottom w:val="single" w:color="auto" w:sz="4" w:space="0"/>
              <w:right w:val="single" w:color="auto" w:sz="4" w:space="0"/>
            </w:tcBorders>
            <w:vAlign w:val="center"/>
          </w:tcPr>
          <w:p w14:paraId="14E9AD50">
            <w:pPr>
              <w:widowControl/>
              <w:jc w:val="left"/>
              <w:rPr>
                <w:rFonts w:ascii="宋体" w:hAnsi="宋体" w:eastAsia="宋体" w:cs="Arial"/>
                <w:color w:val="auto"/>
                <w:kern w:val="0"/>
                <w:sz w:val="20"/>
                <w:szCs w:val="20"/>
              </w:rPr>
            </w:pPr>
          </w:p>
        </w:tc>
        <w:tc>
          <w:tcPr>
            <w:tcW w:w="1206" w:type="dxa"/>
            <w:vMerge w:val="continue"/>
            <w:tcBorders>
              <w:top w:val="nil"/>
              <w:left w:val="single" w:color="auto" w:sz="4" w:space="0"/>
              <w:bottom w:val="single" w:color="auto" w:sz="4" w:space="0"/>
              <w:right w:val="single" w:color="auto" w:sz="4" w:space="0"/>
            </w:tcBorders>
            <w:vAlign w:val="center"/>
          </w:tcPr>
          <w:p w14:paraId="047BCA78">
            <w:pPr>
              <w:widowControl/>
              <w:jc w:val="left"/>
              <w:rPr>
                <w:rFonts w:ascii="宋体" w:hAnsi="宋体" w:eastAsia="宋体" w:cs="Arial"/>
                <w:color w:val="auto"/>
                <w:kern w:val="0"/>
                <w:sz w:val="20"/>
                <w:szCs w:val="20"/>
              </w:rPr>
            </w:pPr>
          </w:p>
        </w:tc>
        <w:tc>
          <w:tcPr>
            <w:tcW w:w="2244" w:type="dxa"/>
            <w:tcBorders>
              <w:top w:val="nil"/>
              <w:left w:val="nil"/>
              <w:bottom w:val="single" w:color="auto" w:sz="4" w:space="0"/>
              <w:right w:val="single" w:color="auto" w:sz="4" w:space="0"/>
            </w:tcBorders>
            <w:shd w:val="clear" w:color="auto" w:fill="auto"/>
            <w:vAlign w:val="center"/>
          </w:tcPr>
          <w:p w14:paraId="7D94A7E8">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e福州对接</w:t>
            </w:r>
          </w:p>
        </w:tc>
        <w:tc>
          <w:tcPr>
            <w:tcW w:w="1255" w:type="dxa"/>
            <w:tcBorders>
              <w:top w:val="nil"/>
              <w:left w:val="nil"/>
              <w:bottom w:val="single" w:color="auto" w:sz="4" w:space="0"/>
              <w:right w:val="single" w:color="auto" w:sz="4" w:space="0"/>
            </w:tcBorders>
            <w:shd w:val="clear" w:color="auto" w:fill="auto"/>
            <w:vAlign w:val="center"/>
          </w:tcPr>
          <w:p w14:paraId="5E9E5632">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新建</w:t>
            </w:r>
          </w:p>
        </w:tc>
        <w:tc>
          <w:tcPr>
            <w:tcW w:w="631" w:type="dxa"/>
            <w:tcBorders>
              <w:top w:val="nil"/>
              <w:left w:val="nil"/>
              <w:bottom w:val="single" w:color="auto" w:sz="4" w:space="0"/>
              <w:right w:val="single" w:color="auto" w:sz="4" w:space="0"/>
            </w:tcBorders>
            <w:shd w:val="clear" w:color="auto" w:fill="auto"/>
            <w:vAlign w:val="center"/>
          </w:tcPr>
          <w:p w14:paraId="003BF2F2">
            <w:pPr>
              <w:widowControl/>
              <w:jc w:val="center"/>
              <w:rPr>
                <w:rFonts w:ascii="Arial" w:hAnsi="Arial" w:eastAsia="宋体" w:cs="Arial"/>
                <w:color w:val="auto"/>
                <w:kern w:val="0"/>
                <w:sz w:val="20"/>
                <w:szCs w:val="20"/>
              </w:rPr>
            </w:pPr>
            <w:r>
              <w:rPr>
                <w:rFonts w:ascii="Arial" w:hAnsi="Arial" w:eastAsia="宋体" w:cs="Arial"/>
                <w:color w:val="auto"/>
                <w:kern w:val="0"/>
                <w:sz w:val="20"/>
                <w:szCs w:val="20"/>
              </w:rPr>
              <w:t>　</w:t>
            </w:r>
          </w:p>
        </w:tc>
      </w:tr>
      <w:tr w14:paraId="50E7F045">
        <w:tblPrEx>
          <w:tblCellMar>
            <w:top w:w="0" w:type="dxa"/>
            <w:left w:w="108" w:type="dxa"/>
            <w:bottom w:w="0" w:type="dxa"/>
            <w:right w:w="108" w:type="dxa"/>
          </w:tblCellMar>
        </w:tblPrEx>
        <w:trPr>
          <w:trHeight w:val="260" w:hRule="atLeast"/>
          <w:jc w:val="center"/>
        </w:trPr>
        <w:tc>
          <w:tcPr>
            <w:tcW w:w="960" w:type="dxa"/>
            <w:tcBorders>
              <w:top w:val="nil"/>
              <w:left w:val="single" w:color="auto" w:sz="4" w:space="0"/>
              <w:bottom w:val="single" w:color="auto" w:sz="4" w:space="0"/>
              <w:right w:val="single" w:color="auto" w:sz="4" w:space="0"/>
            </w:tcBorders>
            <w:shd w:val="clear" w:color="auto" w:fill="auto"/>
            <w:vAlign w:val="center"/>
          </w:tcPr>
          <w:p w14:paraId="450D4D2B">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3</w:t>
            </w:r>
          </w:p>
        </w:tc>
        <w:tc>
          <w:tcPr>
            <w:tcW w:w="1114" w:type="dxa"/>
            <w:vMerge w:val="continue"/>
            <w:tcBorders>
              <w:top w:val="nil"/>
              <w:left w:val="single" w:color="auto" w:sz="4" w:space="0"/>
              <w:bottom w:val="single" w:color="auto" w:sz="4" w:space="0"/>
              <w:right w:val="single" w:color="auto" w:sz="4" w:space="0"/>
            </w:tcBorders>
            <w:vAlign w:val="center"/>
          </w:tcPr>
          <w:p w14:paraId="0AAA16C6">
            <w:pPr>
              <w:widowControl/>
              <w:jc w:val="left"/>
              <w:rPr>
                <w:rFonts w:ascii="宋体" w:hAnsi="宋体" w:eastAsia="宋体" w:cs="Arial"/>
                <w:color w:val="auto"/>
                <w:kern w:val="0"/>
                <w:sz w:val="20"/>
                <w:szCs w:val="20"/>
              </w:rPr>
            </w:pPr>
          </w:p>
        </w:tc>
        <w:tc>
          <w:tcPr>
            <w:tcW w:w="1206" w:type="dxa"/>
            <w:vMerge w:val="continue"/>
            <w:tcBorders>
              <w:top w:val="nil"/>
              <w:left w:val="single" w:color="auto" w:sz="4" w:space="0"/>
              <w:bottom w:val="single" w:color="auto" w:sz="4" w:space="0"/>
              <w:right w:val="single" w:color="auto" w:sz="4" w:space="0"/>
            </w:tcBorders>
            <w:vAlign w:val="center"/>
          </w:tcPr>
          <w:p w14:paraId="10D6FEAF">
            <w:pPr>
              <w:widowControl/>
              <w:jc w:val="left"/>
              <w:rPr>
                <w:rFonts w:ascii="宋体" w:hAnsi="宋体" w:eastAsia="宋体" w:cs="Arial"/>
                <w:color w:val="auto"/>
                <w:kern w:val="0"/>
                <w:sz w:val="20"/>
                <w:szCs w:val="20"/>
              </w:rPr>
            </w:pPr>
          </w:p>
        </w:tc>
        <w:tc>
          <w:tcPr>
            <w:tcW w:w="2244" w:type="dxa"/>
            <w:tcBorders>
              <w:top w:val="nil"/>
              <w:left w:val="nil"/>
              <w:bottom w:val="single" w:color="auto" w:sz="4" w:space="0"/>
              <w:right w:val="single" w:color="auto" w:sz="4" w:space="0"/>
            </w:tcBorders>
            <w:shd w:val="clear" w:color="auto" w:fill="auto"/>
            <w:vAlign w:val="center"/>
          </w:tcPr>
          <w:p w14:paraId="1D112BED">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12345对接</w:t>
            </w:r>
          </w:p>
        </w:tc>
        <w:tc>
          <w:tcPr>
            <w:tcW w:w="1255" w:type="dxa"/>
            <w:tcBorders>
              <w:top w:val="nil"/>
              <w:left w:val="nil"/>
              <w:bottom w:val="single" w:color="auto" w:sz="4" w:space="0"/>
              <w:right w:val="single" w:color="auto" w:sz="4" w:space="0"/>
            </w:tcBorders>
            <w:shd w:val="clear" w:color="auto" w:fill="auto"/>
            <w:vAlign w:val="center"/>
          </w:tcPr>
          <w:p w14:paraId="1467A187">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新建</w:t>
            </w:r>
          </w:p>
        </w:tc>
        <w:tc>
          <w:tcPr>
            <w:tcW w:w="631" w:type="dxa"/>
            <w:tcBorders>
              <w:top w:val="nil"/>
              <w:left w:val="nil"/>
              <w:bottom w:val="single" w:color="auto" w:sz="4" w:space="0"/>
              <w:right w:val="single" w:color="auto" w:sz="4" w:space="0"/>
            </w:tcBorders>
            <w:shd w:val="clear" w:color="auto" w:fill="auto"/>
            <w:vAlign w:val="center"/>
          </w:tcPr>
          <w:p w14:paraId="6FA6B730">
            <w:pPr>
              <w:widowControl/>
              <w:jc w:val="center"/>
              <w:rPr>
                <w:rFonts w:ascii="Arial" w:hAnsi="Arial" w:eastAsia="宋体" w:cs="Arial"/>
                <w:color w:val="auto"/>
                <w:kern w:val="0"/>
                <w:sz w:val="20"/>
                <w:szCs w:val="20"/>
              </w:rPr>
            </w:pPr>
            <w:r>
              <w:rPr>
                <w:rFonts w:ascii="Arial" w:hAnsi="Arial" w:eastAsia="宋体" w:cs="Arial"/>
                <w:color w:val="auto"/>
                <w:kern w:val="0"/>
                <w:sz w:val="20"/>
                <w:szCs w:val="20"/>
              </w:rPr>
              <w:t>　</w:t>
            </w:r>
          </w:p>
        </w:tc>
      </w:tr>
      <w:tr w14:paraId="1BF3938F">
        <w:tblPrEx>
          <w:tblCellMar>
            <w:top w:w="0" w:type="dxa"/>
            <w:left w:w="108" w:type="dxa"/>
            <w:bottom w:w="0" w:type="dxa"/>
            <w:right w:w="108" w:type="dxa"/>
          </w:tblCellMar>
        </w:tblPrEx>
        <w:trPr>
          <w:trHeight w:val="260" w:hRule="atLeast"/>
          <w:jc w:val="center"/>
        </w:trPr>
        <w:tc>
          <w:tcPr>
            <w:tcW w:w="960" w:type="dxa"/>
            <w:tcBorders>
              <w:top w:val="nil"/>
              <w:left w:val="single" w:color="auto" w:sz="4" w:space="0"/>
              <w:bottom w:val="single" w:color="auto" w:sz="4" w:space="0"/>
              <w:right w:val="single" w:color="auto" w:sz="4" w:space="0"/>
            </w:tcBorders>
            <w:shd w:val="clear" w:color="auto" w:fill="auto"/>
            <w:vAlign w:val="center"/>
          </w:tcPr>
          <w:p w14:paraId="71EA1483">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4</w:t>
            </w:r>
          </w:p>
        </w:tc>
        <w:tc>
          <w:tcPr>
            <w:tcW w:w="1114" w:type="dxa"/>
            <w:vMerge w:val="continue"/>
            <w:tcBorders>
              <w:top w:val="nil"/>
              <w:left w:val="single" w:color="auto" w:sz="4" w:space="0"/>
              <w:bottom w:val="single" w:color="auto" w:sz="4" w:space="0"/>
              <w:right w:val="single" w:color="auto" w:sz="4" w:space="0"/>
            </w:tcBorders>
            <w:vAlign w:val="center"/>
          </w:tcPr>
          <w:p w14:paraId="35FCAEC7">
            <w:pPr>
              <w:widowControl/>
              <w:jc w:val="left"/>
              <w:rPr>
                <w:rFonts w:ascii="宋体" w:hAnsi="宋体" w:eastAsia="宋体" w:cs="Arial"/>
                <w:color w:val="auto"/>
                <w:kern w:val="0"/>
                <w:sz w:val="20"/>
                <w:szCs w:val="20"/>
              </w:rPr>
            </w:pPr>
          </w:p>
        </w:tc>
        <w:tc>
          <w:tcPr>
            <w:tcW w:w="1206" w:type="dxa"/>
            <w:tcBorders>
              <w:top w:val="nil"/>
              <w:left w:val="nil"/>
              <w:bottom w:val="single" w:color="auto" w:sz="4" w:space="0"/>
              <w:right w:val="single" w:color="auto" w:sz="4" w:space="0"/>
            </w:tcBorders>
            <w:shd w:val="clear" w:color="auto" w:fill="auto"/>
            <w:vAlign w:val="center"/>
          </w:tcPr>
          <w:p w14:paraId="06721BC0">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问题上报</w:t>
            </w:r>
          </w:p>
        </w:tc>
        <w:tc>
          <w:tcPr>
            <w:tcW w:w="2244" w:type="dxa"/>
            <w:tcBorders>
              <w:top w:val="nil"/>
              <w:left w:val="nil"/>
              <w:bottom w:val="single" w:color="auto" w:sz="4" w:space="0"/>
              <w:right w:val="single" w:color="auto" w:sz="4" w:space="0"/>
            </w:tcBorders>
            <w:shd w:val="clear" w:color="auto" w:fill="auto"/>
            <w:vAlign w:val="center"/>
          </w:tcPr>
          <w:p w14:paraId="1BFE8D79">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问题上报功能</w:t>
            </w:r>
          </w:p>
        </w:tc>
        <w:tc>
          <w:tcPr>
            <w:tcW w:w="1255" w:type="dxa"/>
            <w:tcBorders>
              <w:top w:val="nil"/>
              <w:left w:val="nil"/>
              <w:bottom w:val="single" w:color="auto" w:sz="4" w:space="0"/>
              <w:right w:val="single" w:color="auto" w:sz="4" w:space="0"/>
            </w:tcBorders>
            <w:shd w:val="clear" w:color="auto" w:fill="auto"/>
            <w:vAlign w:val="center"/>
          </w:tcPr>
          <w:p w14:paraId="7C2DF82B">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容器化改造</w:t>
            </w:r>
          </w:p>
        </w:tc>
        <w:tc>
          <w:tcPr>
            <w:tcW w:w="631" w:type="dxa"/>
            <w:tcBorders>
              <w:top w:val="nil"/>
              <w:left w:val="nil"/>
              <w:bottom w:val="single" w:color="auto" w:sz="4" w:space="0"/>
              <w:right w:val="single" w:color="auto" w:sz="4" w:space="0"/>
            </w:tcBorders>
            <w:shd w:val="clear" w:color="auto" w:fill="auto"/>
            <w:vAlign w:val="center"/>
          </w:tcPr>
          <w:p w14:paraId="069F53C9">
            <w:pPr>
              <w:widowControl/>
              <w:jc w:val="center"/>
              <w:rPr>
                <w:rFonts w:ascii="Arial" w:hAnsi="Arial" w:eastAsia="宋体" w:cs="Arial"/>
                <w:color w:val="auto"/>
                <w:kern w:val="0"/>
                <w:sz w:val="20"/>
                <w:szCs w:val="20"/>
              </w:rPr>
            </w:pPr>
            <w:r>
              <w:rPr>
                <w:rFonts w:ascii="Arial" w:hAnsi="Arial" w:eastAsia="宋体" w:cs="Arial"/>
                <w:color w:val="auto"/>
                <w:kern w:val="0"/>
                <w:sz w:val="20"/>
                <w:szCs w:val="20"/>
              </w:rPr>
              <w:t>　</w:t>
            </w:r>
          </w:p>
        </w:tc>
      </w:tr>
      <w:tr w14:paraId="63978554">
        <w:tblPrEx>
          <w:tblCellMar>
            <w:top w:w="0" w:type="dxa"/>
            <w:left w:w="108" w:type="dxa"/>
            <w:bottom w:w="0" w:type="dxa"/>
            <w:right w:w="108" w:type="dxa"/>
          </w:tblCellMar>
        </w:tblPrEx>
        <w:trPr>
          <w:trHeight w:val="260" w:hRule="atLeast"/>
          <w:jc w:val="center"/>
        </w:trPr>
        <w:tc>
          <w:tcPr>
            <w:tcW w:w="960" w:type="dxa"/>
            <w:tcBorders>
              <w:top w:val="nil"/>
              <w:left w:val="single" w:color="auto" w:sz="4" w:space="0"/>
              <w:bottom w:val="single" w:color="auto" w:sz="4" w:space="0"/>
              <w:right w:val="single" w:color="auto" w:sz="4" w:space="0"/>
            </w:tcBorders>
            <w:shd w:val="clear" w:color="auto" w:fill="auto"/>
            <w:vAlign w:val="center"/>
          </w:tcPr>
          <w:p w14:paraId="2D563CB0">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5</w:t>
            </w:r>
          </w:p>
        </w:tc>
        <w:tc>
          <w:tcPr>
            <w:tcW w:w="1114" w:type="dxa"/>
            <w:vMerge w:val="continue"/>
            <w:tcBorders>
              <w:top w:val="nil"/>
              <w:left w:val="single" w:color="auto" w:sz="4" w:space="0"/>
              <w:bottom w:val="single" w:color="auto" w:sz="4" w:space="0"/>
              <w:right w:val="single" w:color="auto" w:sz="4" w:space="0"/>
            </w:tcBorders>
            <w:vAlign w:val="center"/>
          </w:tcPr>
          <w:p w14:paraId="64C43EF6">
            <w:pPr>
              <w:widowControl/>
              <w:jc w:val="left"/>
              <w:rPr>
                <w:rFonts w:ascii="宋体" w:hAnsi="宋体" w:eastAsia="宋体" w:cs="Arial"/>
                <w:color w:val="auto"/>
                <w:kern w:val="0"/>
                <w:sz w:val="20"/>
                <w:szCs w:val="20"/>
              </w:rPr>
            </w:pPr>
          </w:p>
        </w:tc>
        <w:tc>
          <w:tcPr>
            <w:tcW w:w="1206" w:type="dxa"/>
            <w:vMerge w:val="restart"/>
            <w:tcBorders>
              <w:top w:val="nil"/>
              <w:left w:val="single" w:color="auto" w:sz="4" w:space="0"/>
              <w:bottom w:val="single" w:color="auto" w:sz="4" w:space="0"/>
              <w:right w:val="single" w:color="auto" w:sz="4" w:space="0"/>
            </w:tcBorders>
            <w:shd w:val="clear" w:color="auto" w:fill="auto"/>
            <w:vAlign w:val="center"/>
          </w:tcPr>
          <w:p w14:paraId="077F79C5">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便民服务</w:t>
            </w:r>
          </w:p>
        </w:tc>
        <w:tc>
          <w:tcPr>
            <w:tcW w:w="2244" w:type="dxa"/>
            <w:tcBorders>
              <w:top w:val="nil"/>
              <w:left w:val="nil"/>
              <w:bottom w:val="single" w:color="auto" w:sz="4" w:space="0"/>
              <w:right w:val="single" w:color="auto" w:sz="4" w:space="0"/>
            </w:tcBorders>
            <w:shd w:val="clear" w:color="auto" w:fill="auto"/>
            <w:vAlign w:val="center"/>
          </w:tcPr>
          <w:p w14:paraId="192AED68">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便民查询</w:t>
            </w:r>
          </w:p>
        </w:tc>
        <w:tc>
          <w:tcPr>
            <w:tcW w:w="1255" w:type="dxa"/>
            <w:tcBorders>
              <w:top w:val="nil"/>
              <w:left w:val="nil"/>
              <w:bottom w:val="single" w:color="auto" w:sz="4" w:space="0"/>
              <w:right w:val="single" w:color="auto" w:sz="4" w:space="0"/>
            </w:tcBorders>
            <w:shd w:val="clear" w:color="auto" w:fill="auto"/>
            <w:vAlign w:val="center"/>
          </w:tcPr>
          <w:p w14:paraId="065F754F">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容器化改造</w:t>
            </w:r>
          </w:p>
        </w:tc>
        <w:tc>
          <w:tcPr>
            <w:tcW w:w="631" w:type="dxa"/>
            <w:tcBorders>
              <w:top w:val="nil"/>
              <w:left w:val="nil"/>
              <w:bottom w:val="single" w:color="auto" w:sz="4" w:space="0"/>
              <w:right w:val="single" w:color="auto" w:sz="4" w:space="0"/>
            </w:tcBorders>
            <w:shd w:val="clear" w:color="auto" w:fill="auto"/>
            <w:vAlign w:val="center"/>
          </w:tcPr>
          <w:p w14:paraId="3C28957C">
            <w:pPr>
              <w:widowControl/>
              <w:jc w:val="center"/>
              <w:rPr>
                <w:rFonts w:ascii="Arial" w:hAnsi="Arial" w:eastAsia="宋体" w:cs="Arial"/>
                <w:color w:val="auto"/>
                <w:kern w:val="0"/>
                <w:sz w:val="20"/>
                <w:szCs w:val="20"/>
              </w:rPr>
            </w:pPr>
            <w:r>
              <w:rPr>
                <w:rFonts w:ascii="Arial" w:hAnsi="Arial" w:eastAsia="宋体" w:cs="Arial"/>
                <w:color w:val="auto"/>
                <w:kern w:val="0"/>
                <w:sz w:val="20"/>
                <w:szCs w:val="20"/>
              </w:rPr>
              <w:t>　</w:t>
            </w:r>
          </w:p>
        </w:tc>
      </w:tr>
      <w:tr w14:paraId="581BE36B">
        <w:tblPrEx>
          <w:tblCellMar>
            <w:top w:w="0" w:type="dxa"/>
            <w:left w:w="108" w:type="dxa"/>
            <w:bottom w:w="0" w:type="dxa"/>
            <w:right w:w="108" w:type="dxa"/>
          </w:tblCellMar>
        </w:tblPrEx>
        <w:trPr>
          <w:trHeight w:val="260" w:hRule="atLeast"/>
          <w:jc w:val="center"/>
        </w:trPr>
        <w:tc>
          <w:tcPr>
            <w:tcW w:w="960" w:type="dxa"/>
            <w:tcBorders>
              <w:top w:val="nil"/>
              <w:left w:val="single" w:color="auto" w:sz="4" w:space="0"/>
              <w:bottom w:val="single" w:color="auto" w:sz="4" w:space="0"/>
              <w:right w:val="single" w:color="auto" w:sz="4" w:space="0"/>
            </w:tcBorders>
            <w:shd w:val="clear" w:color="auto" w:fill="auto"/>
            <w:vAlign w:val="center"/>
          </w:tcPr>
          <w:p w14:paraId="5EEC6E18">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6</w:t>
            </w:r>
          </w:p>
        </w:tc>
        <w:tc>
          <w:tcPr>
            <w:tcW w:w="1114" w:type="dxa"/>
            <w:vMerge w:val="continue"/>
            <w:tcBorders>
              <w:top w:val="nil"/>
              <w:left w:val="single" w:color="auto" w:sz="4" w:space="0"/>
              <w:bottom w:val="single" w:color="auto" w:sz="4" w:space="0"/>
              <w:right w:val="single" w:color="auto" w:sz="4" w:space="0"/>
            </w:tcBorders>
            <w:vAlign w:val="center"/>
          </w:tcPr>
          <w:p w14:paraId="2F910E98">
            <w:pPr>
              <w:widowControl/>
              <w:jc w:val="left"/>
              <w:rPr>
                <w:rFonts w:ascii="宋体" w:hAnsi="宋体" w:eastAsia="宋体" w:cs="Arial"/>
                <w:color w:val="auto"/>
                <w:kern w:val="0"/>
                <w:sz w:val="20"/>
                <w:szCs w:val="20"/>
              </w:rPr>
            </w:pPr>
          </w:p>
        </w:tc>
        <w:tc>
          <w:tcPr>
            <w:tcW w:w="1206" w:type="dxa"/>
            <w:vMerge w:val="continue"/>
            <w:tcBorders>
              <w:top w:val="nil"/>
              <w:left w:val="single" w:color="auto" w:sz="4" w:space="0"/>
              <w:bottom w:val="single" w:color="auto" w:sz="4" w:space="0"/>
              <w:right w:val="single" w:color="auto" w:sz="4" w:space="0"/>
            </w:tcBorders>
            <w:vAlign w:val="center"/>
          </w:tcPr>
          <w:p w14:paraId="15CEDE33">
            <w:pPr>
              <w:widowControl/>
              <w:jc w:val="left"/>
              <w:rPr>
                <w:rFonts w:ascii="宋体" w:hAnsi="宋体" w:eastAsia="宋体" w:cs="Arial"/>
                <w:color w:val="auto"/>
                <w:kern w:val="0"/>
                <w:sz w:val="20"/>
                <w:szCs w:val="20"/>
              </w:rPr>
            </w:pPr>
          </w:p>
        </w:tc>
        <w:tc>
          <w:tcPr>
            <w:tcW w:w="2244" w:type="dxa"/>
            <w:tcBorders>
              <w:top w:val="nil"/>
              <w:left w:val="nil"/>
              <w:bottom w:val="single" w:color="auto" w:sz="4" w:space="0"/>
              <w:right w:val="single" w:color="auto" w:sz="4" w:space="0"/>
            </w:tcBorders>
            <w:shd w:val="clear" w:color="auto" w:fill="auto"/>
            <w:vAlign w:val="center"/>
          </w:tcPr>
          <w:p w14:paraId="71EC16F8">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新闻公告</w:t>
            </w:r>
          </w:p>
        </w:tc>
        <w:tc>
          <w:tcPr>
            <w:tcW w:w="1255" w:type="dxa"/>
            <w:tcBorders>
              <w:top w:val="nil"/>
              <w:left w:val="nil"/>
              <w:bottom w:val="single" w:color="auto" w:sz="4" w:space="0"/>
              <w:right w:val="single" w:color="auto" w:sz="4" w:space="0"/>
            </w:tcBorders>
            <w:shd w:val="clear" w:color="auto" w:fill="auto"/>
            <w:vAlign w:val="center"/>
          </w:tcPr>
          <w:p w14:paraId="18F8299C">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容器化改造</w:t>
            </w:r>
          </w:p>
        </w:tc>
        <w:tc>
          <w:tcPr>
            <w:tcW w:w="631" w:type="dxa"/>
            <w:tcBorders>
              <w:top w:val="nil"/>
              <w:left w:val="nil"/>
              <w:bottom w:val="single" w:color="auto" w:sz="4" w:space="0"/>
              <w:right w:val="single" w:color="auto" w:sz="4" w:space="0"/>
            </w:tcBorders>
            <w:shd w:val="clear" w:color="auto" w:fill="auto"/>
            <w:vAlign w:val="center"/>
          </w:tcPr>
          <w:p w14:paraId="2EA5A063">
            <w:pPr>
              <w:widowControl/>
              <w:jc w:val="center"/>
              <w:rPr>
                <w:rFonts w:ascii="Arial" w:hAnsi="Arial" w:eastAsia="宋体" w:cs="Arial"/>
                <w:color w:val="auto"/>
                <w:kern w:val="0"/>
                <w:sz w:val="20"/>
                <w:szCs w:val="20"/>
              </w:rPr>
            </w:pPr>
            <w:r>
              <w:rPr>
                <w:rFonts w:ascii="Arial" w:hAnsi="Arial" w:eastAsia="宋体" w:cs="Arial"/>
                <w:color w:val="auto"/>
                <w:kern w:val="0"/>
                <w:sz w:val="20"/>
                <w:szCs w:val="20"/>
              </w:rPr>
              <w:t>　</w:t>
            </w:r>
          </w:p>
        </w:tc>
      </w:tr>
      <w:tr w14:paraId="5B472232">
        <w:tblPrEx>
          <w:tblCellMar>
            <w:top w:w="0" w:type="dxa"/>
            <w:left w:w="108" w:type="dxa"/>
            <w:bottom w:w="0" w:type="dxa"/>
            <w:right w:w="108" w:type="dxa"/>
          </w:tblCellMar>
        </w:tblPrEx>
        <w:trPr>
          <w:trHeight w:val="260" w:hRule="atLeast"/>
          <w:jc w:val="center"/>
        </w:trPr>
        <w:tc>
          <w:tcPr>
            <w:tcW w:w="960" w:type="dxa"/>
            <w:tcBorders>
              <w:top w:val="nil"/>
              <w:left w:val="single" w:color="auto" w:sz="4" w:space="0"/>
              <w:bottom w:val="single" w:color="auto" w:sz="4" w:space="0"/>
              <w:right w:val="single" w:color="auto" w:sz="4" w:space="0"/>
            </w:tcBorders>
            <w:shd w:val="clear" w:color="auto" w:fill="auto"/>
            <w:vAlign w:val="center"/>
          </w:tcPr>
          <w:p w14:paraId="795C5819">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7</w:t>
            </w:r>
          </w:p>
        </w:tc>
        <w:tc>
          <w:tcPr>
            <w:tcW w:w="1114" w:type="dxa"/>
            <w:vMerge w:val="continue"/>
            <w:tcBorders>
              <w:top w:val="nil"/>
              <w:left w:val="single" w:color="auto" w:sz="4" w:space="0"/>
              <w:bottom w:val="single" w:color="auto" w:sz="4" w:space="0"/>
              <w:right w:val="single" w:color="auto" w:sz="4" w:space="0"/>
            </w:tcBorders>
            <w:vAlign w:val="center"/>
          </w:tcPr>
          <w:p w14:paraId="0D5DE6ED">
            <w:pPr>
              <w:widowControl/>
              <w:jc w:val="left"/>
              <w:rPr>
                <w:rFonts w:ascii="宋体" w:hAnsi="宋体" w:eastAsia="宋体" w:cs="Arial"/>
                <w:color w:val="auto"/>
                <w:kern w:val="0"/>
                <w:sz w:val="20"/>
                <w:szCs w:val="20"/>
              </w:rPr>
            </w:pPr>
          </w:p>
        </w:tc>
        <w:tc>
          <w:tcPr>
            <w:tcW w:w="1206" w:type="dxa"/>
            <w:vMerge w:val="continue"/>
            <w:tcBorders>
              <w:top w:val="nil"/>
              <w:left w:val="single" w:color="auto" w:sz="4" w:space="0"/>
              <w:bottom w:val="single" w:color="auto" w:sz="4" w:space="0"/>
              <w:right w:val="single" w:color="auto" w:sz="4" w:space="0"/>
            </w:tcBorders>
            <w:vAlign w:val="center"/>
          </w:tcPr>
          <w:p w14:paraId="3D027561">
            <w:pPr>
              <w:widowControl/>
              <w:jc w:val="left"/>
              <w:rPr>
                <w:rFonts w:ascii="宋体" w:hAnsi="宋体" w:eastAsia="宋体" w:cs="Arial"/>
                <w:color w:val="auto"/>
                <w:kern w:val="0"/>
                <w:sz w:val="20"/>
                <w:szCs w:val="20"/>
              </w:rPr>
            </w:pPr>
          </w:p>
        </w:tc>
        <w:tc>
          <w:tcPr>
            <w:tcW w:w="2244" w:type="dxa"/>
            <w:tcBorders>
              <w:top w:val="nil"/>
              <w:left w:val="nil"/>
              <w:bottom w:val="single" w:color="auto" w:sz="4" w:space="0"/>
              <w:right w:val="single" w:color="auto" w:sz="4" w:space="0"/>
            </w:tcBorders>
            <w:shd w:val="clear" w:color="auto" w:fill="auto"/>
            <w:vAlign w:val="center"/>
          </w:tcPr>
          <w:p w14:paraId="7F889885">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积分管理</w:t>
            </w:r>
          </w:p>
        </w:tc>
        <w:tc>
          <w:tcPr>
            <w:tcW w:w="1255" w:type="dxa"/>
            <w:tcBorders>
              <w:top w:val="nil"/>
              <w:left w:val="nil"/>
              <w:bottom w:val="single" w:color="auto" w:sz="4" w:space="0"/>
              <w:right w:val="single" w:color="auto" w:sz="4" w:space="0"/>
            </w:tcBorders>
            <w:shd w:val="clear" w:color="auto" w:fill="auto"/>
            <w:vAlign w:val="center"/>
          </w:tcPr>
          <w:p w14:paraId="298FDC8D">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新建</w:t>
            </w:r>
          </w:p>
        </w:tc>
        <w:tc>
          <w:tcPr>
            <w:tcW w:w="631" w:type="dxa"/>
            <w:tcBorders>
              <w:top w:val="nil"/>
              <w:left w:val="nil"/>
              <w:bottom w:val="single" w:color="auto" w:sz="4" w:space="0"/>
              <w:right w:val="single" w:color="auto" w:sz="4" w:space="0"/>
            </w:tcBorders>
            <w:shd w:val="clear" w:color="auto" w:fill="auto"/>
            <w:vAlign w:val="center"/>
          </w:tcPr>
          <w:p w14:paraId="32D92968">
            <w:pPr>
              <w:widowControl/>
              <w:jc w:val="center"/>
              <w:rPr>
                <w:rFonts w:ascii="Arial" w:hAnsi="Arial" w:eastAsia="宋体" w:cs="Arial"/>
                <w:color w:val="auto"/>
                <w:kern w:val="0"/>
                <w:sz w:val="20"/>
                <w:szCs w:val="20"/>
              </w:rPr>
            </w:pPr>
            <w:r>
              <w:rPr>
                <w:rFonts w:ascii="Arial" w:hAnsi="Arial" w:eastAsia="宋体" w:cs="Arial"/>
                <w:color w:val="auto"/>
                <w:kern w:val="0"/>
                <w:sz w:val="20"/>
                <w:szCs w:val="20"/>
              </w:rPr>
              <w:t>　</w:t>
            </w:r>
          </w:p>
        </w:tc>
      </w:tr>
    </w:tbl>
    <w:p w14:paraId="2BFB0558">
      <w:pPr>
        <w:pStyle w:val="6"/>
        <w:numPr>
          <w:ilvl w:val="3"/>
          <w:numId w:val="38"/>
        </w:numPr>
        <w:spacing w:line="240" w:lineRule="auto"/>
        <w:rPr>
          <w:color w:val="auto"/>
        </w:rPr>
      </w:pPr>
      <w:r>
        <w:rPr>
          <w:rFonts w:hint="eastAsia"/>
          <w:color w:val="auto"/>
        </w:rPr>
        <w:t>对接服务</w:t>
      </w:r>
    </w:p>
    <w:p w14:paraId="510DE50B">
      <w:pPr>
        <w:pStyle w:val="7"/>
        <w:numPr>
          <w:ilvl w:val="4"/>
          <w:numId w:val="38"/>
        </w:numPr>
        <w:spacing w:line="240" w:lineRule="auto"/>
        <w:rPr>
          <w:color w:val="auto"/>
        </w:rPr>
      </w:pPr>
      <w:r>
        <w:rPr>
          <w:rFonts w:hint="eastAsia"/>
          <w:color w:val="auto"/>
        </w:rPr>
        <w:t>对接国家</w:t>
      </w:r>
      <w:r>
        <w:rPr>
          <w:color w:val="auto"/>
        </w:rPr>
        <w:t>12319</w:t>
      </w:r>
      <w:r>
        <w:rPr>
          <w:rFonts w:hint="eastAsia"/>
          <w:color w:val="auto"/>
        </w:rPr>
        <w:t>公众号</w:t>
      </w:r>
    </w:p>
    <w:p w14:paraId="50639446">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12319公众服务号由国家平台统一开发，市平台对接国家平台获取本市12319公众诉求数据，查看本市的12319微信公众诉求及处置情况，督办超期未处置类问题，并对公众诉求数据进行综合展示查看。</w:t>
      </w:r>
    </w:p>
    <w:p w14:paraId="4CF207FD">
      <w:pPr>
        <w:pStyle w:val="7"/>
        <w:numPr>
          <w:ilvl w:val="4"/>
          <w:numId w:val="38"/>
        </w:numPr>
        <w:spacing w:line="240" w:lineRule="auto"/>
        <w:rPr>
          <w:color w:val="auto"/>
        </w:rPr>
      </w:pPr>
      <w:r>
        <w:rPr>
          <w:color w:val="auto"/>
        </w:rPr>
        <w:t>e</w:t>
      </w:r>
      <w:r>
        <w:rPr>
          <w:rFonts w:hint="eastAsia"/>
          <w:color w:val="auto"/>
        </w:rPr>
        <w:t>福</w:t>
      </w:r>
      <w:r>
        <w:rPr>
          <w:color w:val="auto"/>
        </w:rPr>
        <w:t>州对接</w:t>
      </w:r>
    </w:p>
    <w:p w14:paraId="034EFE6B">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通过对接，获取e福州APP提交市民的投诉建议和网格相关的上报信息等，对于投诉建议能够将处置状态和处置情况进行反馈，对网格相关的上报信息可以反馈是否被采纳。</w:t>
      </w:r>
    </w:p>
    <w:p w14:paraId="41A15D01">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平台对接采取基于XML标准协议的Web Service接口.</w:t>
      </w:r>
    </w:p>
    <w:p w14:paraId="18E1628E">
      <w:pPr>
        <w:pStyle w:val="7"/>
        <w:numPr>
          <w:ilvl w:val="4"/>
          <w:numId w:val="38"/>
        </w:numPr>
        <w:spacing w:line="240" w:lineRule="auto"/>
        <w:rPr>
          <w:color w:val="auto"/>
        </w:rPr>
      </w:pPr>
      <w:r>
        <w:rPr>
          <w:color w:val="auto"/>
        </w:rPr>
        <w:t>12345</w:t>
      </w:r>
      <w:r>
        <w:rPr>
          <w:rFonts w:hint="eastAsia"/>
          <w:color w:val="auto"/>
        </w:rPr>
        <w:t>对接</w:t>
      </w:r>
    </w:p>
    <w:p w14:paraId="7EC2A001">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12345平台提交市民的投诉建议和网格相关的上报信息等在统一流程引擎处置，对于投诉建议能够将处置状态和处置情况进行反馈，对网格相关的上报信息可以反馈是否被采纳。</w:t>
      </w:r>
    </w:p>
    <w:p w14:paraId="00A446CB">
      <w:pPr>
        <w:pStyle w:val="6"/>
        <w:numPr>
          <w:ilvl w:val="3"/>
          <w:numId w:val="38"/>
        </w:numPr>
        <w:spacing w:line="240" w:lineRule="auto"/>
        <w:rPr>
          <w:color w:val="auto"/>
        </w:rPr>
      </w:pPr>
      <w:r>
        <w:rPr>
          <w:rFonts w:hint="eastAsia"/>
          <w:color w:val="auto"/>
        </w:rPr>
        <w:t>问题上报</w:t>
      </w:r>
    </w:p>
    <w:p w14:paraId="0E61C31E">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通过所提供的随手怕、违停上报等功能，让市民上报身边所发生的问题，扩展问题来源，了解群众所关心的问题，提高群众参入度。</w:t>
      </w:r>
    </w:p>
    <w:p w14:paraId="30DA3D02">
      <w:pPr>
        <w:pStyle w:val="7"/>
        <w:numPr>
          <w:ilvl w:val="4"/>
          <w:numId w:val="38"/>
        </w:numPr>
        <w:spacing w:line="240" w:lineRule="auto"/>
        <w:rPr>
          <w:color w:val="auto"/>
        </w:rPr>
      </w:pPr>
      <w:r>
        <w:rPr>
          <w:rFonts w:hint="eastAsia"/>
          <w:color w:val="auto"/>
        </w:rPr>
        <w:t>随手拍</w:t>
      </w:r>
    </w:p>
    <w:p w14:paraId="258BCE7B">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市民可通过随手拍上传图片、音频、视频等多媒体信息，通过调用手机资源完成信息的实时上报。</w:t>
      </w:r>
    </w:p>
    <w:p w14:paraId="40058C02">
      <w:pPr>
        <w:pStyle w:val="7"/>
        <w:numPr>
          <w:ilvl w:val="4"/>
          <w:numId w:val="38"/>
        </w:numPr>
        <w:spacing w:line="240" w:lineRule="auto"/>
        <w:rPr>
          <w:color w:val="auto"/>
        </w:rPr>
      </w:pPr>
      <w:r>
        <w:rPr>
          <w:rFonts w:hint="eastAsia"/>
          <w:color w:val="auto"/>
        </w:rPr>
        <w:t>违停上报</w:t>
      </w:r>
    </w:p>
    <w:p w14:paraId="58AA1C63">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针对市民较为关心的违停案件进行上报，须填写车牌号、违停照片、位置信息等，可提供车牌简写选择功能，方便车牌填写。</w:t>
      </w:r>
    </w:p>
    <w:p w14:paraId="511368C9">
      <w:pPr>
        <w:pStyle w:val="7"/>
        <w:numPr>
          <w:ilvl w:val="4"/>
          <w:numId w:val="38"/>
        </w:numPr>
        <w:spacing w:line="240" w:lineRule="auto"/>
        <w:rPr>
          <w:color w:val="auto"/>
        </w:rPr>
      </w:pPr>
      <w:r>
        <w:rPr>
          <w:rFonts w:hint="eastAsia"/>
          <w:color w:val="auto"/>
        </w:rPr>
        <w:t>问题类型</w:t>
      </w:r>
    </w:p>
    <w:p w14:paraId="1000B96B">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针对市民关心的热点问题类型，以标签形式简洁明了的提供给市民选择，上报后自动关联所属大类；同时问题类型可配置，可配置成全部大小类选择、仅相关大类选择、仅相关小类选择、自定义等方式。</w:t>
      </w:r>
    </w:p>
    <w:p w14:paraId="33991FF2">
      <w:pPr>
        <w:pStyle w:val="7"/>
        <w:numPr>
          <w:ilvl w:val="4"/>
          <w:numId w:val="38"/>
        </w:numPr>
        <w:spacing w:line="240" w:lineRule="auto"/>
        <w:rPr>
          <w:color w:val="auto"/>
        </w:rPr>
      </w:pPr>
      <w:r>
        <w:rPr>
          <w:rFonts w:hint="eastAsia"/>
          <w:color w:val="auto"/>
        </w:rPr>
        <w:t>问题描述</w:t>
      </w:r>
    </w:p>
    <w:p w14:paraId="36986275">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案卷上报时需描述问题发生情况，同时提示至少添加1张问题相关图片。</w:t>
      </w:r>
    </w:p>
    <w:p w14:paraId="51961739">
      <w:pPr>
        <w:pStyle w:val="7"/>
        <w:numPr>
          <w:ilvl w:val="4"/>
          <w:numId w:val="38"/>
        </w:numPr>
        <w:spacing w:line="240" w:lineRule="auto"/>
        <w:rPr>
          <w:color w:val="auto"/>
        </w:rPr>
      </w:pPr>
      <w:r>
        <w:rPr>
          <w:rFonts w:hint="eastAsia"/>
          <w:color w:val="auto"/>
        </w:rPr>
        <w:t>是否回访</w:t>
      </w:r>
    </w:p>
    <w:p w14:paraId="355A78C1">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市民上报时可选择是否需要回访，若需要则会在案件完成后，可通过电话或其他方式回访上报人对于案件处理的满意程度等相关情况。</w:t>
      </w:r>
    </w:p>
    <w:p w14:paraId="5FA42A72">
      <w:pPr>
        <w:pStyle w:val="7"/>
        <w:numPr>
          <w:ilvl w:val="4"/>
          <w:numId w:val="38"/>
        </w:numPr>
        <w:spacing w:line="240" w:lineRule="auto"/>
        <w:rPr>
          <w:color w:val="auto"/>
        </w:rPr>
      </w:pPr>
      <w:r>
        <w:rPr>
          <w:rFonts w:hint="eastAsia"/>
          <w:color w:val="auto"/>
        </w:rPr>
        <w:t>位置信息</w:t>
      </w:r>
    </w:p>
    <w:p w14:paraId="335F0667">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位置信息会通过定位自动显示，如有误差可手动选择定位信息。</w:t>
      </w:r>
    </w:p>
    <w:p w14:paraId="517FB19F">
      <w:pPr>
        <w:pStyle w:val="7"/>
        <w:numPr>
          <w:ilvl w:val="4"/>
          <w:numId w:val="38"/>
        </w:numPr>
        <w:spacing w:line="240" w:lineRule="auto"/>
        <w:rPr>
          <w:color w:val="auto"/>
        </w:rPr>
      </w:pPr>
      <w:r>
        <w:rPr>
          <w:rFonts w:hint="eastAsia"/>
          <w:color w:val="auto"/>
        </w:rPr>
        <w:t>填写提醒</w:t>
      </w:r>
    </w:p>
    <w:p w14:paraId="53CDA86B">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上报前对于未填写内容进行填写提醒。</w:t>
      </w:r>
    </w:p>
    <w:p w14:paraId="43A56906">
      <w:pPr>
        <w:pStyle w:val="7"/>
        <w:numPr>
          <w:ilvl w:val="4"/>
          <w:numId w:val="38"/>
        </w:numPr>
        <w:spacing w:line="240" w:lineRule="auto"/>
        <w:rPr>
          <w:color w:val="auto"/>
        </w:rPr>
      </w:pPr>
      <w:r>
        <w:rPr>
          <w:rFonts w:hint="eastAsia"/>
          <w:color w:val="auto"/>
        </w:rPr>
        <w:t>相似案件提醒</w:t>
      </w:r>
    </w:p>
    <w:p w14:paraId="1B168B9C">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针对市民上报的案件，系统结合历史上报信息，对该案件相似的案件情况进行提醒，避免重复上报，可以取消该案件或选择继续上报该案件。</w:t>
      </w:r>
    </w:p>
    <w:p w14:paraId="7AF8DA51">
      <w:pPr>
        <w:pStyle w:val="7"/>
        <w:numPr>
          <w:ilvl w:val="4"/>
          <w:numId w:val="38"/>
        </w:numPr>
        <w:spacing w:line="240" w:lineRule="auto"/>
        <w:rPr>
          <w:color w:val="auto"/>
        </w:rPr>
      </w:pPr>
      <w:r>
        <w:rPr>
          <w:rFonts w:hint="eastAsia"/>
          <w:color w:val="auto"/>
        </w:rPr>
        <w:t>相似案件查看</w:t>
      </w:r>
    </w:p>
    <w:p w14:paraId="064E13F4">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针对相似案件提醒可查看相似案件情况，以列表的形式展现所有相似案件，同时还可查看案件具体情况，则可自行判断是否为相似案件。</w:t>
      </w:r>
    </w:p>
    <w:p w14:paraId="724D8AE2">
      <w:pPr>
        <w:pStyle w:val="7"/>
        <w:numPr>
          <w:ilvl w:val="4"/>
          <w:numId w:val="38"/>
        </w:numPr>
        <w:spacing w:line="240" w:lineRule="auto"/>
        <w:rPr>
          <w:color w:val="auto"/>
        </w:rPr>
      </w:pPr>
      <w:r>
        <w:rPr>
          <w:rFonts w:hint="eastAsia"/>
          <w:color w:val="auto"/>
        </w:rPr>
        <w:t>上报反馈</w:t>
      </w:r>
    </w:p>
    <w:p w14:paraId="407F99D5">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案件信息填写完全，待多媒体信息上传成功后，系统提醒案件上报成功。</w:t>
      </w:r>
    </w:p>
    <w:p w14:paraId="784BF453">
      <w:pPr>
        <w:pStyle w:val="7"/>
        <w:numPr>
          <w:ilvl w:val="4"/>
          <w:numId w:val="38"/>
        </w:numPr>
        <w:spacing w:line="240" w:lineRule="auto"/>
        <w:rPr>
          <w:color w:val="auto"/>
        </w:rPr>
      </w:pPr>
      <w:r>
        <w:rPr>
          <w:rFonts w:hint="eastAsia"/>
          <w:color w:val="auto"/>
        </w:rPr>
        <w:t>历史上报案件列表</w:t>
      </w:r>
    </w:p>
    <w:p w14:paraId="39EE8C4B">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用户可查看历史上报案件，以列表的形式展现。</w:t>
      </w:r>
    </w:p>
    <w:p w14:paraId="3F2BED4B">
      <w:pPr>
        <w:pStyle w:val="7"/>
        <w:numPr>
          <w:ilvl w:val="4"/>
          <w:numId w:val="38"/>
        </w:numPr>
        <w:spacing w:line="240" w:lineRule="auto"/>
        <w:rPr>
          <w:color w:val="auto"/>
        </w:rPr>
      </w:pPr>
      <w:r>
        <w:rPr>
          <w:rFonts w:hint="eastAsia"/>
          <w:color w:val="auto"/>
        </w:rPr>
        <w:t>历史案件查询</w:t>
      </w:r>
    </w:p>
    <w:p w14:paraId="141A59AC">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历史上报列表可通过关键字进行案件的查询。</w:t>
      </w:r>
    </w:p>
    <w:p w14:paraId="14896EBF">
      <w:pPr>
        <w:pStyle w:val="7"/>
        <w:numPr>
          <w:ilvl w:val="4"/>
          <w:numId w:val="38"/>
        </w:numPr>
        <w:spacing w:line="240" w:lineRule="auto"/>
        <w:rPr>
          <w:color w:val="auto"/>
        </w:rPr>
      </w:pPr>
      <w:r>
        <w:rPr>
          <w:rFonts w:hint="eastAsia"/>
          <w:color w:val="auto"/>
        </w:rPr>
        <w:t>历史案件详情查看</w:t>
      </w:r>
    </w:p>
    <w:p w14:paraId="2CE1C4BA">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同时还可对历史上报案件的详情进行查看。</w:t>
      </w:r>
    </w:p>
    <w:p w14:paraId="12E6FAF9">
      <w:pPr>
        <w:pStyle w:val="6"/>
        <w:numPr>
          <w:ilvl w:val="3"/>
          <w:numId w:val="38"/>
        </w:numPr>
        <w:spacing w:line="240" w:lineRule="auto"/>
        <w:rPr>
          <w:color w:val="auto"/>
        </w:rPr>
      </w:pPr>
      <w:r>
        <w:rPr>
          <w:rFonts w:hint="eastAsia"/>
          <w:color w:val="auto"/>
        </w:rPr>
        <w:t>便民服务</w:t>
      </w:r>
    </w:p>
    <w:p w14:paraId="35D98DB1">
      <w:pPr>
        <w:pStyle w:val="54"/>
        <w:spacing w:before="156" w:after="156" w:line="240" w:lineRule="auto"/>
        <w:ind w:firstLine="480"/>
        <w:rPr>
          <w:color w:val="auto"/>
        </w:rPr>
      </w:pPr>
      <w:r>
        <w:rPr>
          <w:rFonts w:hint="eastAsia"/>
          <w:color w:val="auto"/>
        </w:rPr>
        <w:t>群众通过微信城管平台，可以了解城市管理事件处理、各类证件办理的详细业务流程，在线查找附近的公园、公厕等便民设施，并提供自动导航，为广大市民提供优质、高效、便捷的服务。</w:t>
      </w:r>
    </w:p>
    <w:p w14:paraId="704EC640">
      <w:pPr>
        <w:pStyle w:val="7"/>
        <w:numPr>
          <w:ilvl w:val="4"/>
          <w:numId w:val="38"/>
        </w:numPr>
        <w:spacing w:line="240" w:lineRule="auto"/>
        <w:rPr>
          <w:color w:val="auto"/>
        </w:rPr>
      </w:pPr>
      <w:r>
        <w:rPr>
          <w:rFonts w:hint="eastAsia"/>
          <w:color w:val="auto"/>
        </w:rPr>
        <w:t>办事机构</w:t>
      </w:r>
    </w:p>
    <w:p w14:paraId="7ED839B8">
      <w:pPr>
        <w:pStyle w:val="54"/>
        <w:spacing w:before="156" w:after="156" w:line="240" w:lineRule="auto"/>
        <w:ind w:firstLine="480"/>
        <w:rPr>
          <w:color w:val="auto"/>
        </w:rPr>
      </w:pPr>
      <w:r>
        <w:rPr>
          <w:rFonts w:hint="eastAsia"/>
          <w:color w:val="auto"/>
        </w:rPr>
        <w:t>目前群众在办理各类业务时，存在大量的问题，相关负责单位难寻找，各类证件要求不明确，需要在多个部门间来回往返跑腿，办理一个业务及其不方便，市民可以查阅办事机构地址和详情，提高了政府在市民中的形象。</w:t>
      </w:r>
    </w:p>
    <w:p w14:paraId="695CE653">
      <w:pPr>
        <w:pStyle w:val="7"/>
        <w:numPr>
          <w:ilvl w:val="4"/>
          <w:numId w:val="38"/>
        </w:numPr>
        <w:spacing w:line="240" w:lineRule="auto"/>
        <w:rPr>
          <w:color w:val="auto"/>
        </w:rPr>
      </w:pPr>
      <w:r>
        <w:rPr>
          <w:rFonts w:hint="eastAsia"/>
          <w:color w:val="auto"/>
        </w:rPr>
        <w:t>城市公厕</w:t>
      </w:r>
    </w:p>
    <w:p w14:paraId="44F7D92B">
      <w:pPr>
        <w:pStyle w:val="54"/>
        <w:spacing w:before="156" w:after="156" w:line="240" w:lineRule="auto"/>
        <w:ind w:firstLine="480"/>
        <w:rPr>
          <w:color w:val="auto"/>
        </w:rPr>
      </w:pPr>
      <w:r>
        <w:rPr>
          <w:rFonts w:hint="eastAsia"/>
          <w:color w:val="auto"/>
        </w:rPr>
        <w:t>在微信公众平台中加载城市公厕信息，提供公厕具体定位信息，公厕开放时间等，市民可以快速在地图上查找距离自己最近的公厕，对于道路不熟悉的市民，可以根据系统提供的导航服务寻找公厕。</w:t>
      </w:r>
    </w:p>
    <w:p w14:paraId="5511ED37">
      <w:pPr>
        <w:pStyle w:val="7"/>
        <w:numPr>
          <w:ilvl w:val="4"/>
          <w:numId w:val="38"/>
        </w:numPr>
        <w:spacing w:line="240" w:lineRule="auto"/>
        <w:rPr>
          <w:color w:val="auto"/>
        </w:rPr>
      </w:pPr>
      <w:r>
        <w:rPr>
          <w:rFonts w:hint="eastAsia"/>
          <w:color w:val="auto"/>
        </w:rPr>
        <w:t>附近菜场</w:t>
      </w:r>
    </w:p>
    <w:p w14:paraId="78C8DC19">
      <w:pPr>
        <w:pStyle w:val="54"/>
        <w:spacing w:before="156" w:after="156" w:line="240" w:lineRule="auto"/>
        <w:ind w:firstLine="480"/>
        <w:rPr>
          <w:color w:val="auto"/>
        </w:rPr>
      </w:pPr>
      <w:r>
        <w:rPr>
          <w:rFonts w:hint="eastAsia"/>
          <w:color w:val="auto"/>
        </w:rPr>
        <w:t>在微信公众平台中加载附近菜场信息，提供菜场具体定位信息，市民可以快速在地图上查找距离自己最近的菜市场，对于道路不熟悉的市民，可以根据系统提供的导航服务寻找菜场。</w:t>
      </w:r>
    </w:p>
    <w:p w14:paraId="26A374D3">
      <w:pPr>
        <w:pStyle w:val="7"/>
        <w:numPr>
          <w:ilvl w:val="4"/>
          <w:numId w:val="38"/>
        </w:numPr>
        <w:spacing w:line="240" w:lineRule="auto"/>
        <w:rPr>
          <w:color w:val="auto"/>
        </w:rPr>
      </w:pPr>
      <w:r>
        <w:rPr>
          <w:rFonts w:hint="eastAsia"/>
          <w:color w:val="auto"/>
        </w:rPr>
        <w:t>城市公园</w:t>
      </w:r>
    </w:p>
    <w:p w14:paraId="39455AB8">
      <w:pPr>
        <w:pStyle w:val="54"/>
        <w:spacing w:before="156" w:after="156" w:line="240" w:lineRule="auto"/>
        <w:ind w:firstLine="480"/>
        <w:rPr>
          <w:color w:val="auto"/>
        </w:rPr>
      </w:pPr>
      <w:r>
        <w:rPr>
          <w:rFonts w:hint="eastAsia"/>
          <w:color w:val="auto"/>
        </w:rPr>
        <w:t>在微信公众平台中加载城市公园信息，提供公园具体定位信息，公园开放时间等，市民可以快速在地图上查找距离自己最近的公园，对于道路不熟悉的市民，可以根据系统提供的导航服务寻找公园。</w:t>
      </w:r>
    </w:p>
    <w:p w14:paraId="7B75D110">
      <w:pPr>
        <w:pStyle w:val="7"/>
        <w:numPr>
          <w:ilvl w:val="4"/>
          <w:numId w:val="38"/>
        </w:numPr>
        <w:spacing w:line="240" w:lineRule="auto"/>
        <w:rPr>
          <w:color w:val="auto"/>
        </w:rPr>
      </w:pPr>
      <w:r>
        <w:rPr>
          <w:rFonts w:hint="eastAsia"/>
          <w:color w:val="auto"/>
        </w:rPr>
        <w:t>新闻资讯</w:t>
      </w:r>
    </w:p>
    <w:p w14:paraId="716BA429">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用户可查看推送的新闻资讯，了解相关典型消息，以达到宣传互动的目的。</w:t>
      </w:r>
    </w:p>
    <w:p w14:paraId="08E07D0A">
      <w:pPr>
        <w:pStyle w:val="7"/>
        <w:numPr>
          <w:ilvl w:val="4"/>
          <w:numId w:val="38"/>
        </w:numPr>
        <w:spacing w:line="240" w:lineRule="auto"/>
        <w:rPr>
          <w:color w:val="auto"/>
        </w:rPr>
      </w:pPr>
      <w:r>
        <w:rPr>
          <w:rFonts w:hint="eastAsia"/>
          <w:color w:val="auto"/>
        </w:rPr>
        <w:t>通知公告</w:t>
      </w:r>
    </w:p>
    <w:p w14:paraId="793750A8">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对于重要消息提供了通知公告功能，滚动展现相关通知消息。</w:t>
      </w:r>
    </w:p>
    <w:p w14:paraId="08DFA1E8">
      <w:pPr>
        <w:pStyle w:val="7"/>
        <w:numPr>
          <w:ilvl w:val="4"/>
          <w:numId w:val="38"/>
        </w:numPr>
        <w:spacing w:line="240" w:lineRule="auto"/>
        <w:rPr>
          <w:color w:val="auto"/>
        </w:rPr>
      </w:pPr>
      <w:r>
        <w:rPr>
          <w:rFonts w:hint="eastAsia"/>
          <w:color w:val="auto"/>
        </w:rPr>
        <w:t>积分管理</w:t>
      </w:r>
    </w:p>
    <w:p w14:paraId="3230E4DC">
      <w:pPr>
        <w:ind w:firstLine="480" w:firstLineChars="200"/>
        <w:rPr>
          <w:rFonts w:cs="宋体" w:asciiTheme="majorEastAsia" w:hAnsiTheme="majorEastAsia" w:eastAsiaTheme="majorEastAsia"/>
          <w:color w:val="auto"/>
          <w:sz w:val="24"/>
        </w:rPr>
      </w:pPr>
      <w:r>
        <w:rPr>
          <w:rFonts w:hint="eastAsia" w:cs="Times New Roman" w:asciiTheme="majorEastAsia" w:hAnsiTheme="majorEastAsia" w:eastAsiaTheme="majorEastAsia"/>
          <w:color w:val="auto"/>
          <w:sz w:val="24"/>
        </w:rPr>
        <w:t>为鼓励市民参入城市管理，加强与处置部门的互动，建立相应的积分体系，通过签到、上报案件等获取积分，</w:t>
      </w:r>
      <w:r>
        <w:rPr>
          <w:rFonts w:hint="eastAsia" w:cs="宋体" w:asciiTheme="majorEastAsia" w:hAnsiTheme="majorEastAsia" w:eastAsiaTheme="majorEastAsia"/>
          <w:color w:val="auto"/>
          <w:sz w:val="24"/>
        </w:rPr>
        <w:t>在积分商城中进行各种奖品的兑换，以提高市民参入的积极性。</w:t>
      </w:r>
    </w:p>
    <w:p w14:paraId="78D8D87F">
      <w:pPr>
        <w:pStyle w:val="8"/>
        <w:numPr>
          <w:ilvl w:val="5"/>
          <w:numId w:val="38"/>
        </w:numPr>
        <w:spacing w:line="240" w:lineRule="auto"/>
        <w:rPr>
          <w:color w:val="auto"/>
        </w:rPr>
      </w:pPr>
      <w:r>
        <w:rPr>
          <w:rFonts w:hint="eastAsia"/>
          <w:color w:val="auto"/>
        </w:rPr>
        <w:t>个人积分信息</w:t>
      </w:r>
    </w:p>
    <w:p w14:paraId="3EDEDF04">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在个人中心可查看个人积分情况，包括个人累计积分、当前积分以及已兑换积分等信息。</w:t>
      </w:r>
    </w:p>
    <w:p w14:paraId="7A279D2F">
      <w:pPr>
        <w:pStyle w:val="8"/>
        <w:numPr>
          <w:ilvl w:val="5"/>
          <w:numId w:val="38"/>
        </w:numPr>
        <w:spacing w:line="240" w:lineRule="auto"/>
        <w:rPr>
          <w:color w:val="auto"/>
        </w:rPr>
      </w:pPr>
      <w:r>
        <w:rPr>
          <w:rFonts w:hint="eastAsia"/>
          <w:color w:val="auto"/>
        </w:rPr>
        <w:t>积分商城</w:t>
      </w:r>
    </w:p>
    <w:p w14:paraId="47E60E44">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通过我的积分栏可进入积分商城。</w:t>
      </w:r>
    </w:p>
    <w:p w14:paraId="47561A31">
      <w:pPr>
        <w:pStyle w:val="8"/>
        <w:numPr>
          <w:ilvl w:val="5"/>
          <w:numId w:val="38"/>
        </w:numPr>
        <w:spacing w:line="240" w:lineRule="auto"/>
        <w:rPr>
          <w:color w:val="auto"/>
        </w:rPr>
      </w:pPr>
      <w:r>
        <w:rPr>
          <w:rFonts w:hint="eastAsia"/>
          <w:color w:val="auto"/>
        </w:rPr>
        <w:t>商城主页</w:t>
      </w:r>
    </w:p>
    <w:p w14:paraId="65F166FF">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积分商城主页展示了个人积分情况、积分规则以及可用积分类别情况。</w:t>
      </w:r>
    </w:p>
    <w:p w14:paraId="1A511889">
      <w:pPr>
        <w:pStyle w:val="8"/>
        <w:numPr>
          <w:ilvl w:val="5"/>
          <w:numId w:val="38"/>
        </w:numPr>
        <w:spacing w:line="240" w:lineRule="auto"/>
        <w:rPr>
          <w:color w:val="auto"/>
        </w:rPr>
      </w:pPr>
      <w:r>
        <w:rPr>
          <w:rFonts w:hint="eastAsia"/>
          <w:color w:val="auto"/>
        </w:rPr>
        <w:t>商品列表</w:t>
      </w:r>
    </w:p>
    <w:p w14:paraId="66828D52">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针对不同类别的积分以列表的显示展示可兑换的商品，同时对商品进行分类，并可按照积分、兑换数等进行排名展示，可查看各商品照片及所需兑换积分。</w:t>
      </w:r>
    </w:p>
    <w:p w14:paraId="1CC5356F">
      <w:pPr>
        <w:pStyle w:val="8"/>
        <w:numPr>
          <w:ilvl w:val="5"/>
          <w:numId w:val="38"/>
        </w:numPr>
        <w:spacing w:line="240" w:lineRule="auto"/>
        <w:rPr>
          <w:color w:val="auto"/>
        </w:rPr>
      </w:pPr>
      <w:r>
        <w:rPr>
          <w:rFonts w:hint="eastAsia"/>
          <w:color w:val="auto"/>
        </w:rPr>
        <w:t>商品兑换</w:t>
      </w:r>
    </w:p>
    <w:p w14:paraId="1D4FEDC5">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针对所需兑换商品可查看库存量并进行兑换。</w:t>
      </w:r>
    </w:p>
    <w:p w14:paraId="27050499">
      <w:pPr>
        <w:pStyle w:val="8"/>
        <w:numPr>
          <w:ilvl w:val="5"/>
          <w:numId w:val="38"/>
        </w:numPr>
        <w:spacing w:line="240" w:lineRule="auto"/>
        <w:rPr>
          <w:color w:val="auto"/>
        </w:rPr>
      </w:pPr>
      <w:r>
        <w:rPr>
          <w:rFonts w:hint="eastAsia"/>
          <w:color w:val="auto"/>
        </w:rPr>
        <w:t>订单管理</w:t>
      </w:r>
    </w:p>
    <w:p w14:paraId="43755532">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用户可对所兑换商品的订单进行管理。</w:t>
      </w:r>
    </w:p>
    <w:p w14:paraId="2F2AA1A3">
      <w:pPr>
        <w:pStyle w:val="8"/>
        <w:numPr>
          <w:ilvl w:val="5"/>
          <w:numId w:val="38"/>
        </w:numPr>
        <w:spacing w:line="240" w:lineRule="auto"/>
        <w:rPr>
          <w:color w:val="auto"/>
        </w:rPr>
      </w:pPr>
      <w:r>
        <w:rPr>
          <w:rFonts w:hint="eastAsia"/>
          <w:color w:val="auto"/>
        </w:rPr>
        <w:t>订单详情</w:t>
      </w:r>
    </w:p>
    <w:p w14:paraId="638FAA45">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用户可查看兑换商品的订单详情。</w:t>
      </w:r>
    </w:p>
    <w:p w14:paraId="7F037518">
      <w:pPr>
        <w:pStyle w:val="8"/>
        <w:numPr>
          <w:ilvl w:val="5"/>
          <w:numId w:val="38"/>
        </w:numPr>
        <w:spacing w:line="240" w:lineRule="auto"/>
        <w:rPr>
          <w:color w:val="auto"/>
        </w:rPr>
      </w:pPr>
      <w:r>
        <w:rPr>
          <w:rFonts w:hint="eastAsia"/>
          <w:color w:val="auto"/>
        </w:rPr>
        <w:t>地址管理</w:t>
      </w:r>
    </w:p>
    <w:p w14:paraId="33410BE9">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用户可对兑换商品订单的收货地址进行编辑修改。</w:t>
      </w:r>
    </w:p>
    <w:p w14:paraId="6B3FEC59">
      <w:pPr>
        <w:pStyle w:val="41"/>
        <w:rPr>
          <w:color w:val="auto"/>
        </w:rPr>
      </w:pPr>
    </w:p>
    <w:p w14:paraId="47CFA434">
      <w:pPr>
        <w:keepNext/>
        <w:keepLines/>
        <w:numPr>
          <w:ilvl w:val="2"/>
          <w:numId w:val="37"/>
        </w:numPr>
        <w:ind w:firstLine="200"/>
        <w:contextualSpacing/>
        <w:jc w:val="left"/>
        <w:outlineLvl w:val="2"/>
        <w:rPr>
          <w:rFonts w:ascii="宋体" w:hAnsi="宋体" w:eastAsia="宋体" w:cs="宋体"/>
          <w:color w:val="auto"/>
          <w:sz w:val="28"/>
          <w:szCs w:val="28"/>
        </w:rPr>
      </w:pPr>
      <w:bookmarkStart w:id="119" w:name="_Toc83216254"/>
      <w:bookmarkStart w:id="120" w:name="_Toc95404038"/>
      <w:r>
        <w:rPr>
          <w:rFonts w:hint="eastAsia" w:ascii="宋体" w:hAnsi="宋体" w:eastAsia="宋体" w:cs="宋体"/>
          <w:color w:val="auto"/>
          <w:sz w:val="28"/>
          <w:szCs w:val="28"/>
        </w:rPr>
        <w:t>指挥协调系统</w:t>
      </w:r>
      <w:bookmarkEnd w:id="119"/>
      <w:bookmarkEnd w:id="120"/>
    </w:p>
    <w:p w14:paraId="75769FC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指挥协调系统是平台核心系统。依据《城市市政综合监管信息系统技术规范》（CJJ/T 106-2010）,实现城市管理问题，“信息采集、案件建立、任务派遣、任务处理、处理反馈、核查结案、绩效考核“等7个阶段的闭环管理。基于福州市网格化管理服务平台，根据《城市综合管理服务平台建设标准》及福州市实际应用需求，整合现有12345处置平台增加统一身份认证，拓展受理渠道，升级事件管理中心、日常指挥协同、应急指挥调度等系统。</w:t>
      </w:r>
    </w:p>
    <w:p w14:paraId="39B7993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实现城市运行管理服务协调工作子系统功能，具备接收、办理和反馈国家和省级平台监督检查系统布置的重点工作任务的功能。</w:t>
      </w:r>
    </w:p>
    <w:p w14:paraId="41CCB14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实现城市运行管理服务监督指挥子系统功能，具备市政公用、市容环卫、园林绿化和城市执法，以及城市部件事件等数据的分析展示功能。</w:t>
      </w:r>
    </w:p>
    <w:p w14:paraId="731BA4ED">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对标住建部《城市运行管理服务平台建设指南》，充分利用原有业务系统功能，基于微服务架构，对原有功能进行容器化改造，对缺少的功能进行补充建设。系统个功能模块升级改造情况如下表所示：</w:t>
      </w:r>
    </w:p>
    <w:p w14:paraId="59CFCDCA">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121" w:name="_Toc26570"/>
      <w:r>
        <w:rPr>
          <w:rFonts w:hint="eastAsia" w:ascii="Times New Roman" w:hAnsi="Times New Roman" w:eastAsia="宋体" w:cs="Times New Roman"/>
          <w:color w:val="auto"/>
          <w:sz w:val="24"/>
          <w:szCs w:val="21"/>
        </w:rPr>
        <w:t>指挥协调系统升级改造情况</w:t>
      </w:r>
      <w:bookmarkEnd w:id="121"/>
      <w:r>
        <w:rPr>
          <w:rFonts w:hint="eastAsia" w:ascii="Times New Roman" w:hAnsi="Times New Roman" w:eastAsia="宋体" w:cs="Times New Roman"/>
          <w:color w:val="auto"/>
          <w:sz w:val="24"/>
          <w:szCs w:val="21"/>
        </w:rPr>
        <w:t>表</w:t>
      </w:r>
    </w:p>
    <w:tbl>
      <w:tblPr>
        <w:tblStyle w:val="30"/>
        <w:tblW w:w="8765" w:type="dxa"/>
        <w:jc w:val="center"/>
        <w:tblLayout w:type="fixed"/>
        <w:tblCellMar>
          <w:top w:w="0" w:type="dxa"/>
          <w:left w:w="108" w:type="dxa"/>
          <w:bottom w:w="0" w:type="dxa"/>
          <w:right w:w="108" w:type="dxa"/>
        </w:tblCellMar>
      </w:tblPr>
      <w:tblGrid>
        <w:gridCol w:w="846"/>
        <w:gridCol w:w="1234"/>
        <w:gridCol w:w="969"/>
        <w:gridCol w:w="3286"/>
        <w:gridCol w:w="1418"/>
        <w:gridCol w:w="1012"/>
      </w:tblGrid>
      <w:tr w14:paraId="38186849">
        <w:tblPrEx>
          <w:tblCellMar>
            <w:top w:w="0" w:type="dxa"/>
            <w:left w:w="108" w:type="dxa"/>
            <w:bottom w:w="0" w:type="dxa"/>
            <w:right w:w="108" w:type="dxa"/>
          </w:tblCellMar>
        </w:tblPrEx>
        <w:trPr>
          <w:trHeight w:val="285" w:hRule="atLeast"/>
          <w:tblHeader/>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5833BCE1">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序号</w:t>
            </w:r>
          </w:p>
        </w:tc>
        <w:tc>
          <w:tcPr>
            <w:tcW w:w="1234" w:type="dxa"/>
            <w:tcBorders>
              <w:top w:val="single" w:color="auto" w:sz="4" w:space="0"/>
              <w:left w:val="nil"/>
              <w:bottom w:val="single" w:color="auto" w:sz="4" w:space="0"/>
              <w:right w:val="single" w:color="auto" w:sz="4" w:space="0"/>
            </w:tcBorders>
            <w:shd w:val="clear" w:color="auto" w:fill="auto"/>
            <w:vAlign w:val="center"/>
          </w:tcPr>
          <w:p w14:paraId="12BAE4EC">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系统名称</w:t>
            </w:r>
          </w:p>
        </w:tc>
        <w:tc>
          <w:tcPr>
            <w:tcW w:w="969" w:type="dxa"/>
            <w:tcBorders>
              <w:top w:val="single" w:color="auto" w:sz="4" w:space="0"/>
              <w:left w:val="nil"/>
              <w:bottom w:val="single" w:color="auto" w:sz="4" w:space="0"/>
              <w:right w:val="single" w:color="auto" w:sz="4" w:space="0"/>
            </w:tcBorders>
            <w:shd w:val="clear" w:color="auto" w:fill="auto"/>
            <w:vAlign w:val="center"/>
          </w:tcPr>
          <w:p w14:paraId="6AE86D88">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模块</w:t>
            </w:r>
          </w:p>
        </w:tc>
        <w:tc>
          <w:tcPr>
            <w:tcW w:w="3286" w:type="dxa"/>
            <w:tcBorders>
              <w:top w:val="single" w:color="auto" w:sz="4" w:space="0"/>
              <w:left w:val="nil"/>
              <w:bottom w:val="single" w:color="auto" w:sz="4" w:space="0"/>
              <w:right w:val="single" w:color="auto" w:sz="4" w:space="0"/>
            </w:tcBorders>
            <w:shd w:val="clear" w:color="auto" w:fill="auto"/>
            <w:vAlign w:val="center"/>
          </w:tcPr>
          <w:p w14:paraId="4F99794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功能</w:t>
            </w:r>
          </w:p>
        </w:tc>
        <w:tc>
          <w:tcPr>
            <w:tcW w:w="1418" w:type="dxa"/>
            <w:tcBorders>
              <w:top w:val="single" w:color="auto" w:sz="4" w:space="0"/>
              <w:left w:val="nil"/>
              <w:bottom w:val="single" w:color="auto" w:sz="4" w:space="0"/>
              <w:right w:val="single" w:color="auto" w:sz="4" w:space="0"/>
            </w:tcBorders>
            <w:shd w:val="clear" w:color="auto" w:fill="auto"/>
            <w:vAlign w:val="center"/>
          </w:tcPr>
          <w:p w14:paraId="12621A4B">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改造情况</w:t>
            </w:r>
          </w:p>
        </w:tc>
        <w:tc>
          <w:tcPr>
            <w:tcW w:w="1012" w:type="dxa"/>
            <w:tcBorders>
              <w:top w:val="single" w:color="auto" w:sz="4" w:space="0"/>
              <w:left w:val="nil"/>
              <w:bottom w:val="single" w:color="auto" w:sz="4" w:space="0"/>
              <w:right w:val="single" w:color="auto" w:sz="4" w:space="0"/>
            </w:tcBorders>
            <w:shd w:val="clear" w:color="auto" w:fill="auto"/>
            <w:vAlign w:val="center"/>
          </w:tcPr>
          <w:p w14:paraId="035E59CD">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备注</w:t>
            </w:r>
          </w:p>
        </w:tc>
      </w:tr>
      <w:tr w14:paraId="123C260D">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230920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w:t>
            </w:r>
          </w:p>
        </w:tc>
        <w:tc>
          <w:tcPr>
            <w:tcW w:w="1234" w:type="dxa"/>
            <w:vMerge w:val="restart"/>
            <w:tcBorders>
              <w:top w:val="nil"/>
              <w:left w:val="single" w:color="auto" w:sz="4" w:space="0"/>
              <w:bottom w:val="single" w:color="auto" w:sz="4" w:space="0"/>
              <w:right w:val="single" w:color="auto" w:sz="4" w:space="0"/>
            </w:tcBorders>
            <w:shd w:val="clear" w:color="auto" w:fill="auto"/>
            <w:vAlign w:val="center"/>
          </w:tcPr>
          <w:p w14:paraId="72CAB65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事件管理中心</w:t>
            </w: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7E29AEB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统一数据采集</w:t>
            </w:r>
          </w:p>
        </w:tc>
        <w:tc>
          <w:tcPr>
            <w:tcW w:w="3286" w:type="dxa"/>
            <w:tcBorders>
              <w:top w:val="nil"/>
              <w:left w:val="nil"/>
              <w:bottom w:val="single" w:color="auto" w:sz="4" w:space="0"/>
              <w:right w:val="single" w:color="auto" w:sz="4" w:space="0"/>
            </w:tcBorders>
            <w:shd w:val="clear" w:color="auto" w:fill="auto"/>
            <w:vAlign w:val="center"/>
          </w:tcPr>
          <w:p w14:paraId="3440056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手机端应用-基础功能</w:t>
            </w:r>
          </w:p>
        </w:tc>
        <w:tc>
          <w:tcPr>
            <w:tcW w:w="1418" w:type="dxa"/>
            <w:tcBorders>
              <w:top w:val="nil"/>
              <w:left w:val="nil"/>
              <w:bottom w:val="single" w:color="auto" w:sz="4" w:space="0"/>
              <w:right w:val="single" w:color="auto" w:sz="4" w:space="0"/>
            </w:tcBorders>
            <w:shd w:val="clear" w:color="auto" w:fill="auto"/>
            <w:vAlign w:val="center"/>
          </w:tcPr>
          <w:p w14:paraId="53B4752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166D89D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7C1A9AEE">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FF980CA">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2</w:t>
            </w:r>
          </w:p>
        </w:tc>
        <w:tc>
          <w:tcPr>
            <w:tcW w:w="1234" w:type="dxa"/>
            <w:vMerge w:val="continue"/>
            <w:tcBorders>
              <w:top w:val="nil"/>
              <w:left w:val="single" w:color="auto" w:sz="4" w:space="0"/>
              <w:bottom w:val="single" w:color="auto" w:sz="4" w:space="0"/>
              <w:right w:val="single" w:color="auto" w:sz="4" w:space="0"/>
            </w:tcBorders>
            <w:vAlign w:val="center"/>
          </w:tcPr>
          <w:p w14:paraId="304B227C">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46052363">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33B30EF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手机端应用-网格工作</w:t>
            </w:r>
          </w:p>
        </w:tc>
        <w:tc>
          <w:tcPr>
            <w:tcW w:w="1418" w:type="dxa"/>
            <w:tcBorders>
              <w:top w:val="nil"/>
              <w:left w:val="nil"/>
              <w:bottom w:val="single" w:color="auto" w:sz="4" w:space="0"/>
              <w:right w:val="single" w:color="auto" w:sz="4" w:space="0"/>
            </w:tcBorders>
            <w:shd w:val="clear" w:color="auto" w:fill="auto"/>
            <w:vAlign w:val="center"/>
          </w:tcPr>
          <w:p w14:paraId="2BCD077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474569E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477AF94E">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19189E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3</w:t>
            </w:r>
          </w:p>
        </w:tc>
        <w:tc>
          <w:tcPr>
            <w:tcW w:w="1234" w:type="dxa"/>
            <w:vMerge w:val="continue"/>
            <w:tcBorders>
              <w:top w:val="nil"/>
              <w:left w:val="single" w:color="auto" w:sz="4" w:space="0"/>
              <w:bottom w:val="single" w:color="auto" w:sz="4" w:space="0"/>
              <w:right w:val="single" w:color="auto" w:sz="4" w:space="0"/>
            </w:tcBorders>
            <w:vAlign w:val="center"/>
          </w:tcPr>
          <w:p w14:paraId="3B0661CB">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5418B2B2">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0431419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手机端应用-处置员工作</w:t>
            </w:r>
          </w:p>
        </w:tc>
        <w:tc>
          <w:tcPr>
            <w:tcW w:w="1418" w:type="dxa"/>
            <w:tcBorders>
              <w:top w:val="nil"/>
              <w:left w:val="nil"/>
              <w:bottom w:val="single" w:color="auto" w:sz="4" w:space="0"/>
              <w:right w:val="single" w:color="auto" w:sz="4" w:space="0"/>
            </w:tcBorders>
            <w:shd w:val="clear" w:color="auto" w:fill="auto"/>
            <w:vAlign w:val="center"/>
          </w:tcPr>
          <w:p w14:paraId="272325B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75B3B23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1E37AF44">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1D123E8">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4</w:t>
            </w:r>
          </w:p>
        </w:tc>
        <w:tc>
          <w:tcPr>
            <w:tcW w:w="1234" w:type="dxa"/>
            <w:vMerge w:val="continue"/>
            <w:tcBorders>
              <w:top w:val="nil"/>
              <w:left w:val="single" w:color="auto" w:sz="4" w:space="0"/>
              <w:bottom w:val="single" w:color="auto" w:sz="4" w:space="0"/>
              <w:right w:val="single" w:color="auto" w:sz="4" w:space="0"/>
            </w:tcBorders>
            <w:vAlign w:val="center"/>
          </w:tcPr>
          <w:p w14:paraId="38617ACC">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FA63CDD">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6D73DF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电脑端应用-基础数据管理</w:t>
            </w:r>
          </w:p>
        </w:tc>
        <w:tc>
          <w:tcPr>
            <w:tcW w:w="1418" w:type="dxa"/>
            <w:tcBorders>
              <w:top w:val="nil"/>
              <w:left w:val="nil"/>
              <w:bottom w:val="single" w:color="auto" w:sz="4" w:space="0"/>
              <w:right w:val="single" w:color="auto" w:sz="4" w:space="0"/>
            </w:tcBorders>
            <w:shd w:val="clear" w:color="auto" w:fill="auto"/>
            <w:vAlign w:val="center"/>
          </w:tcPr>
          <w:p w14:paraId="7C98115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022AF7C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79F68EE5">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CAD8D4E">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5</w:t>
            </w:r>
          </w:p>
        </w:tc>
        <w:tc>
          <w:tcPr>
            <w:tcW w:w="1234" w:type="dxa"/>
            <w:vMerge w:val="continue"/>
            <w:tcBorders>
              <w:top w:val="nil"/>
              <w:left w:val="single" w:color="auto" w:sz="4" w:space="0"/>
              <w:bottom w:val="single" w:color="auto" w:sz="4" w:space="0"/>
              <w:right w:val="single" w:color="auto" w:sz="4" w:space="0"/>
            </w:tcBorders>
            <w:vAlign w:val="center"/>
          </w:tcPr>
          <w:p w14:paraId="7157118A">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F51CE10">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5170128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电脑端应用-专业部门数据管理</w:t>
            </w:r>
          </w:p>
        </w:tc>
        <w:tc>
          <w:tcPr>
            <w:tcW w:w="1418" w:type="dxa"/>
            <w:tcBorders>
              <w:top w:val="nil"/>
              <w:left w:val="nil"/>
              <w:bottom w:val="single" w:color="auto" w:sz="4" w:space="0"/>
              <w:right w:val="single" w:color="auto" w:sz="4" w:space="0"/>
            </w:tcBorders>
            <w:shd w:val="clear" w:color="auto" w:fill="auto"/>
            <w:vAlign w:val="center"/>
          </w:tcPr>
          <w:p w14:paraId="45E1A90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5892492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531F9CAA">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EC165F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6</w:t>
            </w:r>
          </w:p>
        </w:tc>
        <w:tc>
          <w:tcPr>
            <w:tcW w:w="1234" w:type="dxa"/>
            <w:vMerge w:val="continue"/>
            <w:tcBorders>
              <w:top w:val="nil"/>
              <w:left w:val="single" w:color="auto" w:sz="4" w:space="0"/>
              <w:bottom w:val="single" w:color="auto" w:sz="4" w:space="0"/>
              <w:right w:val="single" w:color="auto" w:sz="4" w:space="0"/>
            </w:tcBorders>
            <w:vAlign w:val="center"/>
          </w:tcPr>
          <w:p w14:paraId="404FBAFA">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747C1CA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业务受理</w:t>
            </w:r>
          </w:p>
        </w:tc>
        <w:tc>
          <w:tcPr>
            <w:tcW w:w="3286" w:type="dxa"/>
            <w:tcBorders>
              <w:top w:val="nil"/>
              <w:left w:val="nil"/>
              <w:bottom w:val="single" w:color="auto" w:sz="4" w:space="0"/>
              <w:right w:val="single" w:color="auto" w:sz="4" w:space="0"/>
            </w:tcBorders>
            <w:shd w:val="clear" w:color="auto" w:fill="auto"/>
            <w:vAlign w:val="center"/>
          </w:tcPr>
          <w:p w14:paraId="6E12BFA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网格化管理问题受理</w:t>
            </w:r>
          </w:p>
        </w:tc>
        <w:tc>
          <w:tcPr>
            <w:tcW w:w="1418" w:type="dxa"/>
            <w:tcBorders>
              <w:top w:val="nil"/>
              <w:left w:val="nil"/>
              <w:bottom w:val="single" w:color="auto" w:sz="4" w:space="0"/>
              <w:right w:val="single" w:color="auto" w:sz="4" w:space="0"/>
            </w:tcBorders>
            <w:shd w:val="clear" w:color="auto" w:fill="auto"/>
            <w:vAlign w:val="center"/>
          </w:tcPr>
          <w:p w14:paraId="7CFDD74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2FF245B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3393C90F">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935EF64">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7</w:t>
            </w:r>
          </w:p>
        </w:tc>
        <w:tc>
          <w:tcPr>
            <w:tcW w:w="1234" w:type="dxa"/>
            <w:vMerge w:val="continue"/>
            <w:tcBorders>
              <w:top w:val="nil"/>
              <w:left w:val="single" w:color="auto" w:sz="4" w:space="0"/>
              <w:bottom w:val="single" w:color="auto" w:sz="4" w:space="0"/>
              <w:right w:val="single" w:color="auto" w:sz="4" w:space="0"/>
            </w:tcBorders>
            <w:vAlign w:val="center"/>
          </w:tcPr>
          <w:p w14:paraId="5A0DA43D">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4FE74340">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0DCEA70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案件管理</w:t>
            </w:r>
          </w:p>
        </w:tc>
        <w:tc>
          <w:tcPr>
            <w:tcW w:w="1418" w:type="dxa"/>
            <w:tcBorders>
              <w:top w:val="nil"/>
              <w:left w:val="nil"/>
              <w:bottom w:val="single" w:color="auto" w:sz="4" w:space="0"/>
              <w:right w:val="single" w:color="auto" w:sz="4" w:space="0"/>
            </w:tcBorders>
            <w:shd w:val="clear" w:color="auto" w:fill="auto"/>
            <w:vAlign w:val="center"/>
          </w:tcPr>
          <w:p w14:paraId="2BCAC1F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399046E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054A238B">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F99EF25">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8</w:t>
            </w:r>
          </w:p>
        </w:tc>
        <w:tc>
          <w:tcPr>
            <w:tcW w:w="1234" w:type="dxa"/>
            <w:vMerge w:val="continue"/>
            <w:tcBorders>
              <w:top w:val="nil"/>
              <w:left w:val="single" w:color="auto" w:sz="4" w:space="0"/>
              <w:bottom w:val="single" w:color="auto" w:sz="4" w:space="0"/>
              <w:right w:val="single" w:color="auto" w:sz="4" w:space="0"/>
            </w:tcBorders>
            <w:vAlign w:val="center"/>
          </w:tcPr>
          <w:p w14:paraId="55085A24">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1F25C5E">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1B82A8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案件转派</w:t>
            </w:r>
          </w:p>
        </w:tc>
        <w:tc>
          <w:tcPr>
            <w:tcW w:w="1418" w:type="dxa"/>
            <w:tcBorders>
              <w:top w:val="nil"/>
              <w:left w:val="nil"/>
              <w:bottom w:val="single" w:color="auto" w:sz="4" w:space="0"/>
              <w:right w:val="single" w:color="auto" w:sz="4" w:space="0"/>
            </w:tcBorders>
            <w:shd w:val="clear" w:color="auto" w:fill="auto"/>
            <w:vAlign w:val="center"/>
          </w:tcPr>
          <w:p w14:paraId="0168DBD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6422302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5E3C2967">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49B972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9</w:t>
            </w:r>
          </w:p>
        </w:tc>
        <w:tc>
          <w:tcPr>
            <w:tcW w:w="1234" w:type="dxa"/>
            <w:vMerge w:val="continue"/>
            <w:tcBorders>
              <w:top w:val="nil"/>
              <w:left w:val="single" w:color="auto" w:sz="4" w:space="0"/>
              <w:bottom w:val="single" w:color="auto" w:sz="4" w:space="0"/>
              <w:right w:val="single" w:color="auto" w:sz="4" w:space="0"/>
            </w:tcBorders>
            <w:vAlign w:val="center"/>
          </w:tcPr>
          <w:p w14:paraId="30336C43">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2BF6287">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6421E10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结案</w:t>
            </w:r>
          </w:p>
        </w:tc>
        <w:tc>
          <w:tcPr>
            <w:tcW w:w="1418" w:type="dxa"/>
            <w:tcBorders>
              <w:top w:val="nil"/>
              <w:left w:val="nil"/>
              <w:bottom w:val="single" w:color="auto" w:sz="4" w:space="0"/>
              <w:right w:val="single" w:color="auto" w:sz="4" w:space="0"/>
            </w:tcBorders>
            <w:shd w:val="clear" w:color="auto" w:fill="auto"/>
            <w:vAlign w:val="center"/>
          </w:tcPr>
          <w:p w14:paraId="2AD2D75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5992306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050151E2">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02EB3F8">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10</w:t>
            </w:r>
          </w:p>
        </w:tc>
        <w:tc>
          <w:tcPr>
            <w:tcW w:w="1234" w:type="dxa"/>
            <w:vMerge w:val="continue"/>
            <w:tcBorders>
              <w:top w:val="nil"/>
              <w:left w:val="single" w:color="auto" w:sz="4" w:space="0"/>
              <w:bottom w:val="single" w:color="auto" w:sz="4" w:space="0"/>
              <w:right w:val="single" w:color="auto" w:sz="4" w:space="0"/>
            </w:tcBorders>
            <w:vAlign w:val="center"/>
          </w:tcPr>
          <w:p w14:paraId="34667430">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3695D5E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业务协同</w:t>
            </w:r>
          </w:p>
        </w:tc>
        <w:tc>
          <w:tcPr>
            <w:tcW w:w="3286" w:type="dxa"/>
            <w:tcBorders>
              <w:top w:val="nil"/>
              <w:left w:val="nil"/>
              <w:bottom w:val="single" w:color="auto" w:sz="4" w:space="0"/>
              <w:right w:val="single" w:color="auto" w:sz="4" w:space="0"/>
            </w:tcBorders>
            <w:shd w:val="clear" w:color="auto" w:fill="auto"/>
            <w:vAlign w:val="center"/>
          </w:tcPr>
          <w:p w14:paraId="4B8B262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案件列表</w:t>
            </w:r>
          </w:p>
        </w:tc>
        <w:tc>
          <w:tcPr>
            <w:tcW w:w="1418" w:type="dxa"/>
            <w:tcBorders>
              <w:top w:val="nil"/>
              <w:left w:val="nil"/>
              <w:bottom w:val="single" w:color="auto" w:sz="4" w:space="0"/>
              <w:right w:val="single" w:color="auto" w:sz="4" w:space="0"/>
            </w:tcBorders>
            <w:shd w:val="clear" w:color="auto" w:fill="auto"/>
            <w:vAlign w:val="center"/>
          </w:tcPr>
          <w:p w14:paraId="691CA74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093ABFF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085025A4">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3E6057A">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11</w:t>
            </w:r>
          </w:p>
        </w:tc>
        <w:tc>
          <w:tcPr>
            <w:tcW w:w="1234" w:type="dxa"/>
            <w:vMerge w:val="continue"/>
            <w:tcBorders>
              <w:top w:val="nil"/>
              <w:left w:val="single" w:color="auto" w:sz="4" w:space="0"/>
              <w:bottom w:val="single" w:color="auto" w:sz="4" w:space="0"/>
              <w:right w:val="single" w:color="auto" w:sz="4" w:space="0"/>
            </w:tcBorders>
            <w:vAlign w:val="center"/>
          </w:tcPr>
          <w:p w14:paraId="0583E058">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E56146F">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602636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案件批转</w:t>
            </w:r>
          </w:p>
        </w:tc>
        <w:tc>
          <w:tcPr>
            <w:tcW w:w="1418" w:type="dxa"/>
            <w:tcBorders>
              <w:top w:val="nil"/>
              <w:left w:val="nil"/>
              <w:bottom w:val="single" w:color="auto" w:sz="4" w:space="0"/>
              <w:right w:val="single" w:color="auto" w:sz="4" w:space="0"/>
            </w:tcBorders>
            <w:shd w:val="clear" w:color="auto" w:fill="auto"/>
            <w:vAlign w:val="center"/>
          </w:tcPr>
          <w:p w14:paraId="715F044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5EF8F92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47BE37CE">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AFA484F">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12</w:t>
            </w:r>
          </w:p>
        </w:tc>
        <w:tc>
          <w:tcPr>
            <w:tcW w:w="1234" w:type="dxa"/>
            <w:vMerge w:val="continue"/>
            <w:tcBorders>
              <w:top w:val="nil"/>
              <w:left w:val="single" w:color="auto" w:sz="4" w:space="0"/>
              <w:bottom w:val="single" w:color="auto" w:sz="4" w:space="0"/>
              <w:right w:val="single" w:color="auto" w:sz="4" w:space="0"/>
            </w:tcBorders>
            <w:vAlign w:val="center"/>
          </w:tcPr>
          <w:p w14:paraId="4A0C54CC">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353D0276">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12900DB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表单管理</w:t>
            </w:r>
          </w:p>
        </w:tc>
        <w:tc>
          <w:tcPr>
            <w:tcW w:w="1418" w:type="dxa"/>
            <w:tcBorders>
              <w:top w:val="nil"/>
              <w:left w:val="nil"/>
              <w:bottom w:val="single" w:color="auto" w:sz="4" w:space="0"/>
              <w:right w:val="single" w:color="auto" w:sz="4" w:space="0"/>
            </w:tcBorders>
            <w:shd w:val="clear" w:color="auto" w:fill="auto"/>
            <w:vAlign w:val="center"/>
          </w:tcPr>
          <w:p w14:paraId="3E99583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36BA7D9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0E7D689F">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814551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13</w:t>
            </w:r>
          </w:p>
        </w:tc>
        <w:tc>
          <w:tcPr>
            <w:tcW w:w="1234" w:type="dxa"/>
            <w:vMerge w:val="continue"/>
            <w:tcBorders>
              <w:top w:val="nil"/>
              <w:left w:val="single" w:color="auto" w:sz="4" w:space="0"/>
              <w:bottom w:val="single" w:color="auto" w:sz="4" w:space="0"/>
              <w:right w:val="single" w:color="auto" w:sz="4" w:space="0"/>
            </w:tcBorders>
            <w:vAlign w:val="center"/>
          </w:tcPr>
          <w:p w14:paraId="2CDB22D3">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9524DC8">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049A82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业务操作管理</w:t>
            </w:r>
          </w:p>
        </w:tc>
        <w:tc>
          <w:tcPr>
            <w:tcW w:w="1418" w:type="dxa"/>
            <w:tcBorders>
              <w:top w:val="nil"/>
              <w:left w:val="nil"/>
              <w:bottom w:val="single" w:color="auto" w:sz="4" w:space="0"/>
              <w:right w:val="single" w:color="auto" w:sz="4" w:space="0"/>
            </w:tcBorders>
            <w:shd w:val="clear" w:color="auto" w:fill="auto"/>
            <w:vAlign w:val="center"/>
          </w:tcPr>
          <w:p w14:paraId="2C81565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5E5CB76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3EB19901">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AAB10C4">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14</w:t>
            </w:r>
          </w:p>
        </w:tc>
        <w:tc>
          <w:tcPr>
            <w:tcW w:w="1234" w:type="dxa"/>
            <w:vMerge w:val="continue"/>
            <w:tcBorders>
              <w:top w:val="nil"/>
              <w:left w:val="single" w:color="auto" w:sz="4" w:space="0"/>
              <w:bottom w:val="single" w:color="auto" w:sz="4" w:space="0"/>
              <w:right w:val="single" w:color="auto" w:sz="4" w:space="0"/>
            </w:tcBorders>
            <w:vAlign w:val="center"/>
          </w:tcPr>
          <w:p w14:paraId="3C03BAB7">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721A429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统一信息门户</w:t>
            </w:r>
          </w:p>
        </w:tc>
        <w:tc>
          <w:tcPr>
            <w:tcW w:w="3286" w:type="dxa"/>
            <w:tcBorders>
              <w:top w:val="nil"/>
              <w:left w:val="nil"/>
              <w:bottom w:val="single" w:color="auto" w:sz="4" w:space="0"/>
              <w:right w:val="single" w:color="auto" w:sz="4" w:space="0"/>
            </w:tcBorders>
            <w:shd w:val="clear" w:color="auto" w:fill="auto"/>
            <w:vAlign w:val="center"/>
          </w:tcPr>
          <w:p w14:paraId="21D4084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网格划分</w:t>
            </w:r>
          </w:p>
        </w:tc>
        <w:tc>
          <w:tcPr>
            <w:tcW w:w="1418" w:type="dxa"/>
            <w:tcBorders>
              <w:top w:val="nil"/>
              <w:left w:val="nil"/>
              <w:bottom w:val="single" w:color="auto" w:sz="4" w:space="0"/>
              <w:right w:val="single" w:color="auto" w:sz="4" w:space="0"/>
            </w:tcBorders>
            <w:shd w:val="clear" w:color="auto" w:fill="auto"/>
            <w:vAlign w:val="center"/>
          </w:tcPr>
          <w:p w14:paraId="24B5D7B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589BE76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63F83A3C">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511FA6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15</w:t>
            </w:r>
          </w:p>
        </w:tc>
        <w:tc>
          <w:tcPr>
            <w:tcW w:w="1234" w:type="dxa"/>
            <w:vMerge w:val="continue"/>
            <w:tcBorders>
              <w:top w:val="nil"/>
              <w:left w:val="single" w:color="auto" w:sz="4" w:space="0"/>
              <w:bottom w:val="single" w:color="auto" w:sz="4" w:space="0"/>
              <w:right w:val="single" w:color="auto" w:sz="4" w:space="0"/>
            </w:tcBorders>
            <w:vAlign w:val="center"/>
          </w:tcPr>
          <w:p w14:paraId="04D4DEF9">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A60235C">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6413385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网格定位</w:t>
            </w:r>
          </w:p>
        </w:tc>
        <w:tc>
          <w:tcPr>
            <w:tcW w:w="1418" w:type="dxa"/>
            <w:tcBorders>
              <w:top w:val="nil"/>
              <w:left w:val="nil"/>
              <w:bottom w:val="single" w:color="auto" w:sz="4" w:space="0"/>
              <w:right w:val="single" w:color="auto" w:sz="4" w:space="0"/>
            </w:tcBorders>
            <w:shd w:val="clear" w:color="auto" w:fill="auto"/>
            <w:vAlign w:val="center"/>
          </w:tcPr>
          <w:p w14:paraId="4CF1D88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0CE049F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5F894667">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DA47F75">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16</w:t>
            </w:r>
          </w:p>
        </w:tc>
        <w:tc>
          <w:tcPr>
            <w:tcW w:w="1234" w:type="dxa"/>
            <w:vMerge w:val="continue"/>
            <w:tcBorders>
              <w:top w:val="nil"/>
              <w:left w:val="single" w:color="auto" w:sz="4" w:space="0"/>
              <w:bottom w:val="single" w:color="auto" w:sz="4" w:space="0"/>
              <w:right w:val="single" w:color="auto" w:sz="4" w:space="0"/>
            </w:tcBorders>
            <w:vAlign w:val="center"/>
          </w:tcPr>
          <w:p w14:paraId="5F4F1A73">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E96B2CE">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CCFCA3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网格信息管理</w:t>
            </w:r>
          </w:p>
        </w:tc>
        <w:tc>
          <w:tcPr>
            <w:tcW w:w="1418" w:type="dxa"/>
            <w:tcBorders>
              <w:top w:val="nil"/>
              <w:left w:val="nil"/>
              <w:bottom w:val="single" w:color="auto" w:sz="4" w:space="0"/>
              <w:right w:val="single" w:color="auto" w:sz="4" w:space="0"/>
            </w:tcBorders>
            <w:shd w:val="clear" w:color="auto" w:fill="auto"/>
            <w:vAlign w:val="center"/>
          </w:tcPr>
          <w:p w14:paraId="0A698BF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164172D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12E03138">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70EECE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17</w:t>
            </w:r>
          </w:p>
        </w:tc>
        <w:tc>
          <w:tcPr>
            <w:tcW w:w="1234" w:type="dxa"/>
            <w:vMerge w:val="continue"/>
            <w:tcBorders>
              <w:top w:val="nil"/>
              <w:left w:val="single" w:color="auto" w:sz="4" w:space="0"/>
              <w:bottom w:val="single" w:color="auto" w:sz="4" w:space="0"/>
              <w:right w:val="single" w:color="auto" w:sz="4" w:space="0"/>
            </w:tcBorders>
            <w:vAlign w:val="center"/>
          </w:tcPr>
          <w:p w14:paraId="59D56676">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22362AC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统一消息服务</w:t>
            </w:r>
          </w:p>
        </w:tc>
        <w:tc>
          <w:tcPr>
            <w:tcW w:w="3286" w:type="dxa"/>
            <w:tcBorders>
              <w:top w:val="nil"/>
              <w:left w:val="nil"/>
              <w:bottom w:val="single" w:color="auto" w:sz="4" w:space="0"/>
              <w:right w:val="single" w:color="auto" w:sz="4" w:space="0"/>
            </w:tcBorders>
            <w:shd w:val="clear" w:color="auto" w:fill="auto"/>
            <w:vAlign w:val="center"/>
          </w:tcPr>
          <w:p w14:paraId="2AF251C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消息管理</w:t>
            </w:r>
          </w:p>
        </w:tc>
        <w:tc>
          <w:tcPr>
            <w:tcW w:w="1418" w:type="dxa"/>
            <w:tcBorders>
              <w:top w:val="nil"/>
              <w:left w:val="nil"/>
              <w:bottom w:val="single" w:color="auto" w:sz="4" w:space="0"/>
              <w:right w:val="single" w:color="auto" w:sz="4" w:space="0"/>
            </w:tcBorders>
            <w:shd w:val="clear" w:color="auto" w:fill="auto"/>
            <w:vAlign w:val="center"/>
          </w:tcPr>
          <w:p w14:paraId="6320D61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4F38168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7909088C">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17EFBCE">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18</w:t>
            </w:r>
          </w:p>
        </w:tc>
        <w:tc>
          <w:tcPr>
            <w:tcW w:w="1234" w:type="dxa"/>
            <w:vMerge w:val="continue"/>
            <w:tcBorders>
              <w:top w:val="nil"/>
              <w:left w:val="single" w:color="auto" w:sz="4" w:space="0"/>
              <w:bottom w:val="single" w:color="auto" w:sz="4" w:space="0"/>
              <w:right w:val="single" w:color="auto" w:sz="4" w:space="0"/>
            </w:tcBorders>
            <w:vAlign w:val="center"/>
          </w:tcPr>
          <w:p w14:paraId="0B852F58">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4F378714">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0AF5D5F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消息调度</w:t>
            </w:r>
          </w:p>
        </w:tc>
        <w:tc>
          <w:tcPr>
            <w:tcW w:w="1418" w:type="dxa"/>
            <w:tcBorders>
              <w:top w:val="nil"/>
              <w:left w:val="nil"/>
              <w:bottom w:val="single" w:color="auto" w:sz="4" w:space="0"/>
              <w:right w:val="single" w:color="auto" w:sz="4" w:space="0"/>
            </w:tcBorders>
            <w:shd w:val="clear" w:color="auto" w:fill="auto"/>
            <w:vAlign w:val="center"/>
          </w:tcPr>
          <w:p w14:paraId="6D8A6CD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5F2F8B6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1542E0FB">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5C02D84">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19</w:t>
            </w:r>
          </w:p>
        </w:tc>
        <w:tc>
          <w:tcPr>
            <w:tcW w:w="1234" w:type="dxa"/>
            <w:vMerge w:val="continue"/>
            <w:tcBorders>
              <w:top w:val="nil"/>
              <w:left w:val="single" w:color="auto" w:sz="4" w:space="0"/>
              <w:bottom w:val="single" w:color="auto" w:sz="4" w:space="0"/>
              <w:right w:val="single" w:color="auto" w:sz="4" w:space="0"/>
            </w:tcBorders>
            <w:vAlign w:val="center"/>
          </w:tcPr>
          <w:p w14:paraId="6B4141BC">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4186DA20">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6FEE725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消息交换</w:t>
            </w:r>
          </w:p>
        </w:tc>
        <w:tc>
          <w:tcPr>
            <w:tcW w:w="1418" w:type="dxa"/>
            <w:tcBorders>
              <w:top w:val="nil"/>
              <w:left w:val="nil"/>
              <w:bottom w:val="single" w:color="auto" w:sz="4" w:space="0"/>
              <w:right w:val="single" w:color="auto" w:sz="4" w:space="0"/>
            </w:tcBorders>
            <w:shd w:val="clear" w:color="auto" w:fill="auto"/>
            <w:vAlign w:val="center"/>
          </w:tcPr>
          <w:p w14:paraId="48DF8D3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5A8FE3B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679971D0">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7EFAE6A3">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20</w:t>
            </w:r>
          </w:p>
        </w:tc>
        <w:tc>
          <w:tcPr>
            <w:tcW w:w="1234" w:type="dxa"/>
            <w:vMerge w:val="continue"/>
            <w:tcBorders>
              <w:top w:val="nil"/>
              <w:left w:val="single" w:color="auto" w:sz="4" w:space="0"/>
              <w:bottom w:val="single" w:color="auto" w:sz="4" w:space="0"/>
              <w:right w:val="single" w:color="auto" w:sz="4" w:space="0"/>
            </w:tcBorders>
            <w:vAlign w:val="center"/>
          </w:tcPr>
          <w:p w14:paraId="6BF70B6C">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AD1E25B">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A6A0FE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消息安全</w:t>
            </w:r>
          </w:p>
        </w:tc>
        <w:tc>
          <w:tcPr>
            <w:tcW w:w="1418" w:type="dxa"/>
            <w:tcBorders>
              <w:top w:val="nil"/>
              <w:left w:val="nil"/>
              <w:bottom w:val="single" w:color="auto" w:sz="4" w:space="0"/>
              <w:right w:val="single" w:color="auto" w:sz="4" w:space="0"/>
            </w:tcBorders>
            <w:shd w:val="clear" w:color="auto" w:fill="auto"/>
            <w:vAlign w:val="center"/>
          </w:tcPr>
          <w:p w14:paraId="3B2A043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33BFFB5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7A69FD4F">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ED7F27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21</w:t>
            </w:r>
          </w:p>
        </w:tc>
        <w:tc>
          <w:tcPr>
            <w:tcW w:w="1234" w:type="dxa"/>
            <w:vMerge w:val="continue"/>
            <w:tcBorders>
              <w:top w:val="nil"/>
              <w:left w:val="single" w:color="auto" w:sz="4" w:space="0"/>
              <w:bottom w:val="single" w:color="auto" w:sz="4" w:space="0"/>
              <w:right w:val="single" w:color="auto" w:sz="4" w:space="0"/>
            </w:tcBorders>
            <w:vAlign w:val="center"/>
          </w:tcPr>
          <w:p w14:paraId="6BCED782">
            <w:pPr>
              <w:adjustRightInd w:val="0"/>
              <w:snapToGrid w:val="0"/>
              <w:rPr>
                <w:rFonts w:ascii="Times New Roman" w:hAnsi="Times New Roman" w:eastAsia="宋体" w:cs="Times New Roman"/>
                <w:color w:val="auto"/>
                <w:sz w:val="24"/>
                <w:szCs w:val="21"/>
              </w:rPr>
            </w:pPr>
          </w:p>
        </w:tc>
        <w:tc>
          <w:tcPr>
            <w:tcW w:w="969" w:type="dxa"/>
            <w:tcBorders>
              <w:top w:val="nil"/>
              <w:left w:val="nil"/>
              <w:bottom w:val="single" w:color="auto" w:sz="4" w:space="0"/>
              <w:right w:val="single" w:color="auto" w:sz="4" w:space="0"/>
            </w:tcBorders>
            <w:shd w:val="clear" w:color="auto" w:fill="auto"/>
            <w:vAlign w:val="center"/>
          </w:tcPr>
          <w:p w14:paraId="6C0C569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统一报表生成</w:t>
            </w:r>
          </w:p>
        </w:tc>
        <w:tc>
          <w:tcPr>
            <w:tcW w:w="3286" w:type="dxa"/>
            <w:tcBorders>
              <w:top w:val="nil"/>
              <w:left w:val="nil"/>
              <w:bottom w:val="single" w:color="auto" w:sz="4" w:space="0"/>
              <w:right w:val="single" w:color="auto" w:sz="4" w:space="0"/>
            </w:tcBorders>
            <w:shd w:val="clear" w:color="auto" w:fill="auto"/>
            <w:vAlign w:val="center"/>
          </w:tcPr>
          <w:p w14:paraId="295EFCD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各业务报表生成</w:t>
            </w:r>
          </w:p>
        </w:tc>
        <w:tc>
          <w:tcPr>
            <w:tcW w:w="1418" w:type="dxa"/>
            <w:tcBorders>
              <w:top w:val="nil"/>
              <w:left w:val="nil"/>
              <w:bottom w:val="single" w:color="auto" w:sz="4" w:space="0"/>
              <w:right w:val="single" w:color="auto" w:sz="4" w:space="0"/>
            </w:tcBorders>
            <w:shd w:val="clear" w:color="auto" w:fill="auto"/>
            <w:vAlign w:val="center"/>
          </w:tcPr>
          <w:p w14:paraId="3599662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028B0CA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7C7CC7EE">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E3EFEC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22</w:t>
            </w:r>
          </w:p>
        </w:tc>
        <w:tc>
          <w:tcPr>
            <w:tcW w:w="1234" w:type="dxa"/>
            <w:vMerge w:val="continue"/>
            <w:tcBorders>
              <w:top w:val="nil"/>
              <w:left w:val="single" w:color="auto" w:sz="4" w:space="0"/>
              <w:bottom w:val="single" w:color="auto" w:sz="4" w:space="0"/>
              <w:right w:val="single" w:color="auto" w:sz="4" w:space="0"/>
            </w:tcBorders>
            <w:vAlign w:val="center"/>
          </w:tcPr>
          <w:p w14:paraId="1351F925">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29684FE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统一对象管理</w:t>
            </w:r>
          </w:p>
        </w:tc>
        <w:tc>
          <w:tcPr>
            <w:tcW w:w="3286" w:type="dxa"/>
            <w:tcBorders>
              <w:top w:val="nil"/>
              <w:left w:val="nil"/>
              <w:bottom w:val="single" w:color="auto" w:sz="4" w:space="0"/>
              <w:right w:val="single" w:color="auto" w:sz="4" w:space="0"/>
            </w:tcBorders>
            <w:shd w:val="clear" w:color="auto" w:fill="auto"/>
            <w:vAlign w:val="center"/>
          </w:tcPr>
          <w:p w14:paraId="7FEECCB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大小类设置</w:t>
            </w:r>
          </w:p>
        </w:tc>
        <w:tc>
          <w:tcPr>
            <w:tcW w:w="1418" w:type="dxa"/>
            <w:tcBorders>
              <w:top w:val="nil"/>
              <w:left w:val="nil"/>
              <w:bottom w:val="single" w:color="auto" w:sz="4" w:space="0"/>
              <w:right w:val="single" w:color="auto" w:sz="4" w:space="0"/>
            </w:tcBorders>
            <w:shd w:val="clear" w:color="auto" w:fill="auto"/>
            <w:vAlign w:val="center"/>
          </w:tcPr>
          <w:p w14:paraId="783E6C6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30E341C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374B1F7F">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645118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23</w:t>
            </w:r>
          </w:p>
        </w:tc>
        <w:tc>
          <w:tcPr>
            <w:tcW w:w="1234" w:type="dxa"/>
            <w:vMerge w:val="continue"/>
            <w:tcBorders>
              <w:top w:val="nil"/>
              <w:left w:val="single" w:color="auto" w:sz="4" w:space="0"/>
              <w:bottom w:val="single" w:color="auto" w:sz="4" w:space="0"/>
              <w:right w:val="single" w:color="auto" w:sz="4" w:space="0"/>
            </w:tcBorders>
            <w:vAlign w:val="center"/>
          </w:tcPr>
          <w:p w14:paraId="6D0ECD04">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ADB7345">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1322FB4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小类时限设置</w:t>
            </w:r>
          </w:p>
        </w:tc>
        <w:tc>
          <w:tcPr>
            <w:tcW w:w="1418" w:type="dxa"/>
            <w:tcBorders>
              <w:top w:val="nil"/>
              <w:left w:val="nil"/>
              <w:bottom w:val="single" w:color="auto" w:sz="4" w:space="0"/>
              <w:right w:val="single" w:color="auto" w:sz="4" w:space="0"/>
            </w:tcBorders>
            <w:shd w:val="clear" w:color="auto" w:fill="auto"/>
            <w:vAlign w:val="center"/>
          </w:tcPr>
          <w:p w14:paraId="01F9967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51A519C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767E935C">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B5C36C4">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24</w:t>
            </w:r>
          </w:p>
        </w:tc>
        <w:tc>
          <w:tcPr>
            <w:tcW w:w="1234" w:type="dxa"/>
            <w:vMerge w:val="continue"/>
            <w:tcBorders>
              <w:top w:val="nil"/>
              <w:left w:val="single" w:color="auto" w:sz="4" w:space="0"/>
              <w:bottom w:val="single" w:color="auto" w:sz="4" w:space="0"/>
              <w:right w:val="single" w:color="auto" w:sz="4" w:space="0"/>
            </w:tcBorders>
            <w:vAlign w:val="center"/>
          </w:tcPr>
          <w:p w14:paraId="1DC0B89F">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68E18D6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统一公共字段配置</w:t>
            </w:r>
          </w:p>
        </w:tc>
        <w:tc>
          <w:tcPr>
            <w:tcW w:w="3286" w:type="dxa"/>
            <w:tcBorders>
              <w:top w:val="nil"/>
              <w:left w:val="nil"/>
              <w:bottom w:val="single" w:color="auto" w:sz="4" w:space="0"/>
              <w:right w:val="single" w:color="auto" w:sz="4" w:space="0"/>
            </w:tcBorders>
            <w:shd w:val="clear" w:color="auto" w:fill="auto"/>
            <w:vAlign w:val="center"/>
          </w:tcPr>
          <w:p w14:paraId="0A635AE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惯用语配置</w:t>
            </w:r>
          </w:p>
        </w:tc>
        <w:tc>
          <w:tcPr>
            <w:tcW w:w="1418" w:type="dxa"/>
            <w:tcBorders>
              <w:top w:val="nil"/>
              <w:left w:val="nil"/>
              <w:bottom w:val="single" w:color="auto" w:sz="4" w:space="0"/>
              <w:right w:val="single" w:color="auto" w:sz="4" w:space="0"/>
            </w:tcBorders>
            <w:shd w:val="clear" w:color="auto" w:fill="auto"/>
            <w:vAlign w:val="center"/>
          </w:tcPr>
          <w:p w14:paraId="2C4D169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7418D4A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27B6C7C1">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C535BFB">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25</w:t>
            </w:r>
          </w:p>
        </w:tc>
        <w:tc>
          <w:tcPr>
            <w:tcW w:w="1234" w:type="dxa"/>
            <w:vMerge w:val="continue"/>
            <w:tcBorders>
              <w:top w:val="nil"/>
              <w:left w:val="single" w:color="auto" w:sz="4" w:space="0"/>
              <w:bottom w:val="single" w:color="auto" w:sz="4" w:space="0"/>
              <w:right w:val="single" w:color="auto" w:sz="4" w:space="0"/>
            </w:tcBorders>
            <w:vAlign w:val="center"/>
          </w:tcPr>
          <w:p w14:paraId="660EF586">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23FF9F2">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7B4512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可见性配置</w:t>
            </w:r>
          </w:p>
        </w:tc>
        <w:tc>
          <w:tcPr>
            <w:tcW w:w="1418" w:type="dxa"/>
            <w:tcBorders>
              <w:top w:val="nil"/>
              <w:left w:val="nil"/>
              <w:bottom w:val="single" w:color="auto" w:sz="4" w:space="0"/>
              <w:right w:val="single" w:color="auto" w:sz="4" w:space="0"/>
            </w:tcBorders>
            <w:shd w:val="clear" w:color="auto" w:fill="auto"/>
            <w:vAlign w:val="center"/>
          </w:tcPr>
          <w:p w14:paraId="367A9DC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7625D75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4DA8F552">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6311003">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26</w:t>
            </w:r>
          </w:p>
        </w:tc>
        <w:tc>
          <w:tcPr>
            <w:tcW w:w="1234" w:type="dxa"/>
            <w:vMerge w:val="continue"/>
            <w:tcBorders>
              <w:top w:val="nil"/>
              <w:left w:val="single" w:color="auto" w:sz="4" w:space="0"/>
              <w:bottom w:val="single" w:color="auto" w:sz="4" w:space="0"/>
              <w:right w:val="single" w:color="auto" w:sz="4" w:space="0"/>
            </w:tcBorders>
            <w:vAlign w:val="center"/>
          </w:tcPr>
          <w:p w14:paraId="47F08471">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00683D2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统一工作表单配置</w:t>
            </w:r>
          </w:p>
        </w:tc>
        <w:tc>
          <w:tcPr>
            <w:tcW w:w="3286" w:type="dxa"/>
            <w:tcBorders>
              <w:top w:val="nil"/>
              <w:left w:val="nil"/>
              <w:bottom w:val="single" w:color="auto" w:sz="4" w:space="0"/>
              <w:right w:val="single" w:color="auto" w:sz="4" w:space="0"/>
            </w:tcBorders>
            <w:shd w:val="clear" w:color="auto" w:fill="auto"/>
            <w:vAlign w:val="center"/>
          </w:tcPr>
          <w:p w14:paraId="5F35531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字段配置</w:t>
            </w:r>
          </w:p>
        </w:tc>
        <w:tc>
          <w:tcPr>
            <w:tcW w:w="1418" w:type="dxa"/>
            <w:tcBorders>
              <w:top w:val="nil"/>
              <w:left w:val="nil"/>
              <w:bottom w:val="single" w:color="auto" w:sz="4" w:space="0"/>
              <w:right w:val="single" w:color="auto" w:sz="4" w:space="0"/>
            </w:tcBorders>
            <w:shd w:val="clear" w:color="auto" w:fill="auto"/>
            <w:vAlign w:val="center"/>
          </w:tcPr>
          <w:p w14:paraId="7A4109B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3F21B27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76BDB174">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A28456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27</w:t>
            </w:r>
          </w:p>
        </w:tc>
        <w:tc>
          <w:tcPr>
            <w:tcW w:w="1234" w:type="dxa"/>
            <w:vMerge w:val="continue"/>
            <w:tcBorders>
              <w:top w:val="nil"/>
              <w:left w:val="single" w:color="auto" w:sz="4" w:space="0"/>
              <w:bottom w:val="single" w:color="auto" w:sz="4" w:space="0"/>
              <w:right w:val="single" w:color="auto" w:sz="4" w:space="0"/>
            </w:tcBorders>
            <w:vAlign w:val="center"/>
          </w:tcPr>
          <w:p w14:paraId="57A3DBF0">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66FE8279">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0F17384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列表配置</w:t>
            </w:r>
          </w:p>
        </w:tc>
        <w:tc>
          <w:tcPr>
            <w:tcW w:w="1418" w:type="dxa"/>
            <w:tcBorders>
              <w:top w:val="nil"/>
              <w:left w:val="nil"/>
              <w:bottom w:val="single" w:color="auto" w:sz="4" w:space="0"/>
              <w:right w:val="single" w:color="auto" w:sz="4" w:space="0"/>
            </w:tcBorders>
            <w:shd w:val="clear" w:color="auto" w:fill="auto"/>
            <w:vAlign w:val="center"/>
          </w:tcPr>
          <w:p w14:paraId="5E9AC36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032F32D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2D7E2BE5">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9803804">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28</w:t>
            </w:r>
          </w:p>
        </w:tc>
        <w:tc>
          <w:tcPr>
            <w:tcW w:w="1234" w:type="dxa"/>
            <w:vMerge w:val="continue"/>
            <w:tcBorders>
              <w:top w:val="nil"/>
              <w:left w:val="single" w:color="auto" w:sz="4" w:space="0"/>
              <w:bottom w:val="single" w:color="auto" w:sz="4" w:space="0"/>
              <w:right w:val="single" w:color="auto" w:sz="4" w:space="0"/>
            </w:tcBorders>
            <w:vAlign w:val="center"/>
          </w:tcPr>
          <w:p w14:paraId="70EF773E">
            <w:pPr>
              <w:adjustRightInd w:val="0"/>
              <w:snapToGrid w:val="0"/>
              <w:rPr>
                <w:rFonts w:ascii="Times New Roman" w:hAnsi="Times New Roman" w:eastAsia="宋体" w:cs="Times New Roman"/>
                <w:color w:val="auto"/>
                <w:sz w:val="24"/>
                <w:szCs w:val="21"/>
              </w:rPr>
            </w:pPr>
          </w:p>
        </w:tc>
        <w:tc>
          <w:tcPr>
            <w:tcW w:w="969" w:type="dxa"/>
            <w:tcBorders>
              <w:top w:val="nil"/>
              <w:left w:val="nil"/>
              <w:bottom w:val="single" w:color="auto" w:sz="4" w:space="0"/>
              <w:right w:val="single" w:color="auto" w:sz="4" w:space="0"/>
            </w:tcBorders>
            <w:shd w:val="clear" w:color="auto" w:fill="auto"/>
            <w:vAlign w:val="center"/>
          </w:tcPr>
          <w:p w14:paraId="34E1609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统一专题图层配置</w:t>
            </w:r>
          </w:p>
        </w:tc>
        <w:tc>
          <w:tcPr>
            <w:tcW w:w="3286" w:type="dxa"/>
            <w:tcBorders>
              <w:top w:val="nil"/>
              <w:left w:val="nil"/>
              <w:bottom w:val="single" w:color="auto" w:sz="4" w:space="0"/>
              <w:right w:val="single" w:color="auto" w:sz="4" w:space="0"/>
            </w:tcBorders>
            <w:shd w:val="clear" w:color="auto" w:fill="auto"/>
            <w:vAlign w:val="center"/>
          </w:tcPr>
          <w:p w14:paraId="7CCCBCE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图层配置</w:t>
            </w:r>
          </w:p>
        </w:tc>
        <w:tc>
          <w:tcPr>
            <w:tcW w:w="1418" w:type="dxa"/>
            <w:tcBorders>
              <w:top w:val="nil"/>
              <w:left w:val="nil"/>
              <w:bottom w:val="single" w:color="auto" w:sz="4" w:space="0"/>
              <w:right w:val="single" w:color="auto" w:sz="4" w:space="0"/>
            </w:tcBorders>
            <w:shd w:val="clear" w:color="auto" w:fill="auto"/>
            <w:vAlign w:val="center"/>
          </w:tcPr>
          <w:p w14:paraId="632077D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利旧</w:t>
            </w:r>
          </w:p>
        </w:tc>
        <w:tc>
          <w:tcPr>
            <w:tcW w:w="1012" w:type="dxa"/>
            <w:tcBorders>
              <w:top w:val="nil"/>
              <w:left w:val="nil"/>
              <w:bottom w:val="single" w:color="auto" w:sz="4" w:space="0"/>
              <w:right w:val="single" w:color="auto" w:sz="4" w:space="0"/>
            </w:tcBorders>
            <w:shd w:val="clear" w:color="auto" w:fill="auto"/>
            <w:vAlign w:val="center"/>
          </w:tcPr>
          <w:p w14:paraId="1433456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3C7CFDEE">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47BCE2C">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29</w:t>
            </w:r>
          </w:p>
        </w:tc>
        <w:tc>
          <w:tcPr>
            <w:tcW w:w="1234" w:type="dxa"/>
            <w:vMerge w:val="continue"/>
            <w:tcBorders>
              <w:top w:val="nil"/>
              <w:left w:val="single" w:color="auto" w:sz="4" w:space="0"/>
              <w:bottom w:val="single" w:color="auto" w:sz="4" w:space="0"/>
              <w:right w:val="single" w:color="auto" w:sz="4" w:space="0"/>
            </w:tcBorders>
            <w:vAlign w:val="center"/>
          </w:tcPr>
          <w:p w14:paraId="3F949128">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55CE659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统一受理平台</w:t>
            </w:r>
          </w:p>
        </w:tc>
        <w:tc>
          <w:tcPr>
            <w:tcW w:w="3286" w:type="dxa"/>
            <w:tcBorders>
              <w:top w:val="nil"/>
              <w:left w:val="nil"/>
              <w:bottom w:val="single" w:color="auto" w:sz="4" w:space="0"/>
              <w:right w:val="single" w:color="auto" w:sz="4" w:space="0"/>
            </w:tcBorders>
            <w:shd w:val="clear" w:color="auto" w:fill="auto"/>
            <w:vAlign w:val="center"/>
          </w:tcPr>
          <w:p w14:paraId="4A0F669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受理渠道拓展</w:t>
            </w:r>
          </w:p>
        </w:tc>
        <w:tc>
          <w:tcPr>
            <w:tcW w:w="1418" w:type="dxa"/>
            <w:tcBorders>
              <w:top w:val="nil"/>
              <w:left w:val="nil"/>
              <w:bottom w:val="single" w:color="auto" w:sz="4" w:space="0"/>
              <w:right w:val="single" w:color="auto" w:sz="4" w:space="0"/>
            </w:tcBorders>
            <w:shd w:val="clear" w:color="auto" w:fill="auto"/>
            <w:vAlign w:val="center"/>
          </w:tcPr>
          <w:p w14:paraId="32B2B66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6E62BC0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7F5670EA">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70BABC9D">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30</w:t>
            </w:r>
          </w:p>
        </w:tc>
        <w:tc>
          <w:tcPr>
            <w:tcW w:w="1234" w:type="dxa"/>
            <w:vMerge w:val="continue"/>
            <w:tcBorders>
              <w:top w:val="nil"/>
              <w:left w:val="single" w:color="auto" w:sz="4" w:space="0"/>
              <w:bottom w:val="single" w:color="auto" w:sz="4" w:space="0"/>
              <w:right w:val="single" w:color="auto" w:sz="4" w:space="0"/>
            </w:tcBorders>
            <w:vAlign w:val="center"/>
          </w:tcPr>
          <w:p w14:paraId="5D1FA5E7">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50B2CE97">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661C58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相似事件理智能识别</w:t>
            </w:r>
          </w:p>
        </w:tc>
        <w:tc>
          <w:tcPr>
            <w:tcW w:w="1418" w:type="dxa"/>
            <w:tcBorders>
              <w:top w:val="nil"/>
              <w:left w:val="nil"/>
              <w:bottom w:val="single" w:color="auto" w:sz="4" w:space="0"/>
              <w:right w:val="single" w:color="auto" w:sz="4" w:space="0"/>
            </w:tcBorders>
            <w:shd w:val="clear" w:color="auto" w:fill="auto"/>
            <w:vAlign w:val="center"/>
          </w:tcPr>
          <w:p w14:paraId="3D38292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44705DD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31C20C31">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0DB90AF">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31</w:t>
            </w:r>
          </w:p>
        </w:tc>
        <w:tc>
          <w:tcPr>
            <w:tcW w:w="1234" w:type="dxa"/>
            <w:vMerge w:val="continue"/>
            <w:tcBorders>
              <w:top w:val="nil"/>
              <w:left w:val="single" w:color="auto" w:sz="4" w:space="0"/>
              <w:bottom w:val="single" w:color="auto" w:sz="4" w:space="0"/>
              <w:right w:val="single" w:color="auto" w:sz="4" w:space="0"/>
            </w:tcBorders>
            <w:vAlign w:val="center"/>
          </w:tcPr>
          <w:p w14:paraId="73088BA0">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6CE5716">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14091CE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非采集区域智能提醒</w:t>
            </w:r>
          </w:p>
        </w:tc>
        <w:tc>
          <w:tcPr>
            <w:tcW w:w="1418" w:type="dxa"/>
            <w:tcBorders>
              <w:top w:val="nil"/>
              <w:left w:val="nil"/>
              <w:bottom w:val="single" w:color="auto" w:sz="4" w:space="0"/>
              <w:right w:val="single" w:color="auto" w:sz="4" w:space="0"/>
            </w:tcBorders>
            <w:shd w:val="clear" w:color="auto" w:fill="auto"/>
            <w:vAlign w:val="center"/>
          </w:tcPr>
          <w:p w14:paraId="54BE4EB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56254AB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6AAD3EB0">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BBFE2B3">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32</w:t>
            </w:r>
          </w:p>
        </w:tc>
        <w:tc>
          <w:tcPr>
            <w:tcW w:w="1234" w:type="dxa"/>
            <w:vMerge w:val="continue"/>
            <w:tcBorders>
              <w:top w:val="nil"/>
              <w:left w:val="single" w:color="auto" w:sz="4" w:space="0"/>
              <w:bottom w:val="single" w:color="auto" w:sz="4" w:space="0"/>
              <w:right w:val="single" w:color="auto" w:sz="4" w:space="0"/>
            </w:tcBorders>
            <w:vAlign w:val="center"/>
          </w:tcPr>
          <w:p w14:paraId="3469F893">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C2EC1CD">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C9266A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受理一席三屏支撑</w:t>
            </w:r>
          </w:p>
        </w:tc>
        <w:tc>
          <w:tcPr>
            <w:tcW w:w="1418" w:type="dxa"/>
            <w:tcBorders>
              <w:top w:val="nil"/>
              <w:left w:val="nil"/>
              <w:bottom w:val="single" w:color="auto" w:sz="4" w:space="0"/>
              <w:right w:val="single" w:color="auto" w:sz="4" w:space="0"/>
            </w:tcBorders>
            <w:shd w:val="clear" w:color="auto" w:fill="auto"/>
            <w:vAlign w:val="center"/>
          </w:tcPr>
          <w:p w14:paraId="6309FAA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1DCDCD4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1558FEF1">
        <w:tblPrEx>
          <w:tblCellMar>
            <w:top w:w="0" w:type="dxa"/>
            <w:left w:w="108" w:type="dxa"/>
            <w:bottom w:w="0" w:type="dxa"/>
            <w:right w:w="108" w:type="dxa"/>
          </w:tblCellMar>
        </w:tblPrEx>
        <w:trPr>
          <w:trHeight w:val="480"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15A0CC3">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33</w:t>
            </w:r>
          </w:p>
        </w:tc>
        <w:tc>
          <w:tcPr>
            <w:tcW w:w="1234" w:type="dxa"/>
            <w:vMerge w:val="continue"/>
            <w:tcBorders>
              <w:top w:val="nil"/>
              <w:left w:val="single" w:color="auto" w:sz="4" w:space="0"/>
              <w:bottom w:val="single" w:color="auto" w:sz="4" w:space="0"/>
              <w:right w:val="single" w:color="auto" w:sz="4" w:space="0"/>
            </w:tcBorders>
            <w:vAlign w:val="center"/>
          </w:tcPr>
          <w:p w14:paraId="5F835F67">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557CBC2">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3A30C97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差错件办理</w:t>
            </w:r>
          </w:p>
        </w:tc>
        <w:tc>
          <w:tcPr>
            <w:tcW w:w="1418" w:type="dxa"/>
            <w:tcBorders>
              <w:top w:val="nil"/>
              <w:left w:val="nil"/>
              <w:bottom w:val="single" w:color="auto" w:sz="4" w:space="0"/>
              <w:right w:val="single" w:color="auto" w:sz="4" w:space="0"/>
            </w:tcBorders>
            <w:shd w:val="clear" w:color="auto" w:fill="auto"/>
            <w:vAlign w:val="center"/>
          </w:tcPr>
          <w:p w14:paraId="2887388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vAlign w:val="center"/>
          </w:tcPr>
          <w:p w14:paraId="09CA231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7CD6DAAE">
        <w:tblPrEx>
          <w:tblCellMar>
            <w:top w:w="0" w:type="dxa"/>
            <w:left w:w="108" w:type="dxa"/>
            <w:bottom w:w="0" w:type="dxa"/>
            <w:right w:w="108" w:type="dxa"/>
          </w:tblCellMar>
        </w:tblPrEx>
        <w:trPr>
          <w:trHeight w:val="480"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4626BA1">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34</w:t>
            </w:r>
          </w:p>
        </w:tc>
        <w:tc>
          <w:tcPr>
            <w:tcW w:w="1234" w:type="dxa"/>
            <w:vMerge w:val="continue"/>
            <w:tcBorders>
              <w:top w:val="nil"/>
              <w:left w:val="single" w:color="auto" w:sz="4" w:space="0"/>
              <w:bottom w:val="single" w:color="auto" w:sz="4" w:space="0"/>
              <w:right w:val="single" w:color="auto" w:sz="4" w:space="0"/>
            </w:tcBorders>
            <w:vAlign w:val="center"/>
          </w:tcPr>
          <w:p w14:paraId="1F2EBE99">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550EFAFF">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AF7C3E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统一事件汇聚</w:t>
            </w:r>
          </w:p>
        </w:tc>
        <w:tc>
          <w:tcPr>
            <w:tcW w:w="1418" w:type="dxa"/>
            <w:tcBorders>
              <w:top w:val="nil"/>
              <w:left w:val="nil"/>
              <w:bottom w:val="single" w:color="auto" w:sz="4" w:space="0"/>
              <w:right w:val="single" w:color="auto" w:sz="4" w:space="0"/>
            </w:tcBorders>
            <w:shd w:val="clear" w:color="auto" w:fill="auto"/>
            <w:vAlign w:val="center"/>
          </w:tcPr>
          <w:p w14:paraId="35A0BA2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vAlign w:val="center"/>
          </w:tcPr>
          <w:p w14:paraId="5BF41A8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2996B811">
        <w:tblPrEx>
          <w:tblCellMar>
            <w:top w:w="0" w:type="dxa"/>
            <w:left w:w="108" w:type="dxa"/>
            <w:bottom w:w="0" w:type="dxa"/>
            <w:right w:w="108" w:type="dxa"/>
          </w:tblCellMar>
        </w:tblPrEx>
        <w:trPr>
          <w:trHeight w:val="480"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B3E497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35</w:t>
            </w:r>
          </w:p>
        </w:tc>
        <w:tc>
          <w:tcPr>
            <w:tcW w:w="1234" w:type="dxa"/>
            <w:vMerge w:val="continue"/>
            <w:tcBorders>
              <w:top w:val="nil"/>
              <w:left w:val="single" w:color="auto" w:sz="4" w:space="0"/>
              <w:bottom w:val="single" w:color="auto" w:sz="4" w:space="0"/>
              <w:right w:val="single" w:color="auto" w:sz="4" w:space="0"/>
            </w:tcBorders>
            <w:vAlign w:val="center"/>
          </w:tcPr>
          <w:p w14:paraId="68259649">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7D91924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统一分拨平台</w:t>
            </w:r>
          </w:p>
        </w:tc>
        <w:tc>
          <w:tcPr>
            <w:tcW w:w="3286" w:type="dxa"/>
            <w:tcBorders>
              <w:top w:val="nil"/>
              <w:left w:val="nil"/>
              <w:bottom w:val="single" w:color="auto" w:sz="4" w:space="0"/>
              <w:right w:val="single" w:color="auto" w:sz="4" w:space="0"/>
            </w:tcBorders>
            <w:shd w:val="clear" w:color="auto" w:fill="auto"/>
            <w:vAlign w:val="center"/>
          </w:tcPr>
          <w:p w14:paraId="4B9BDFF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统一用户登录</w:t>
            </w:r>
          </w:p>
        </w:tc>
        <w:tc>
          <w:tcPr>
            <w:tcW w:w="1418" w:type="dxa"/>
            <w:tcBorders>
              <w:top w:val="nil"/>
              <w:left w:val="nil"/>
              <w:bottom w:val="single" w:color="auto" w:sz="4" w:space="0"/>
              <w:right w:val="single" w:color="auto" w:sz="4" w:space="0"/>
            </w:tcBorders>
            <w:shd w:val="clear" w:color="auto" w:fill="auto"/>
            <w:vAlign w:val="center"/>
          </w:tcPr>
          <w:p w14:paraId="19FF664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vAlign w:val="center"/>
          </w:tcPr>
          <w:p w14:paraId="79C1069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4FDE3512">
        <w:tblPrEx>
          <w:tblCellMar>
            <w:top w:w="0" w:type="dxa"/>
            <w:left w:w="108" w:type="dxa"/>
            <w:bottom w:w="0" w:type="dxa"/>
            <w:right w:w="108" w:type="dxa"/>
          </w:tblCellMar>
        </w:tblPrEx>
        <w:trPr>
          <w:trHeight w:val="480"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B87AB2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36</w:t>
            </w:r>
          </w:p>
        </w:tc>
        <w:tc>
          <w:tcPr>
            <w:tcW w:w="1234" w:type="dxa"/>
            <w:vMerge w:val="continue"/>
            <w:tcBorders>
              <w:top w:val="nil"/>
              <w:left w:val="single" w:color="auto" w:sz="4" w:space="0"/>
              <w:bottom w:val="single" w:color="auto" w:sz="4" w:space="0"/>
              <w:right w:val="single" w:color="auto" w:sz="4" w:space="0"/>
            </w:tcBorders>
            <w:vAlign w:val="center"/>
          </w:tcPr>
          <w:p w14:paraId="721E6F23">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35BF5B75">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46DE3E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案件分拨管理</w:t>
            </w:r>
          </w:p>
        </w:tc>
        <w:tc>
          <w:tcPr>
            <w:tcW w:w="1418" w:type="dxa"/>
            <w:tcBorders>
              <w:top w:val="nil"/>
              <w:left w:val="nil"/>
              <w:bottom w:val="single" w:color="auto" w:sz="4" w:space="0"/>
              <w:right w:val="single" w:color="auto" w:sz="4" w:space="0"/>
            </w:tcBorders>
            <w:shd w:val="clear" w:color="auto" w:fill="auto"/>
            <w:vAlign w:val="center"/>
          </w:tcPr>
          <w:p w14:paraId="1149A30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vAlign w:val="center"/>
          </w:tcPr>
          <w:p w14:paraId="5E20ECD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4E78F50B">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C64629C">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37</w:t>
            </w:r>
          </w:p>
        </w:tc>
        <w:tc>
          <w:tcPr>
            <w:tcW w:w="1234" w:type="dxa"/>
            <w:vMerge w:val="continue"/>
            <w:tcBorders>
              <w:top w:val="nil"/>
              <w:left w:val="single" w:color="auto" w:sz="4" w:space="0"/>
              <w:bottom w:val="single" w:color="auto" w:sz="4" w:space="0"/>
              <w:right w:val="single" w:color="auto" w:sz="4" w:space="0"/>
            </w:tcBorders>
            <w:vAlign w:val="center"/>
          </w:tcPr>
          <w:p w14:paraId="3F0F6E6F">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FF1A5EC">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54D0F2D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案件智能化派遣</w:t>
            </w:r>
          </w:p>
        </w:tc>
        <w:tc>
          <w:tcPr>
            <w:tcW w:w="1418" w:type="dxa"/>
            <w:tcBorders>
              <w:top w:val="nil"/>
              <w:left w:val="nil"/>
              <w:bottom w:val="single" w:color="auto" w:sz="4" w:space="0"/>
              <w:right w:val="single" w:color="auto" w:sz="4" w:space="0"/>
            </w:tcBorders>
            <w:shd w:val="clear" w:color="auto" w:fill="auto"/>
            <w:vAlign w:val="center"/>
          </w:tcPr>
          <w:p w14:paraId="4C4BB18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1198A6D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41B4A6E7">
        <w:tblPrEx>
          <w:tblCellMar>
            <w:top w:w="0" w:type="dxa"/>
            <w:left w:w="108" w:type="dxa"/>
            <w:bottom w:w="0" w:type="dxa"/>
            <w:right w:w="108" w:type="dxa"/>
          </w:tblCellMar>
        </w:tblPrEx>
        <w:trPr>
          <w:trHeight w:val="480"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5F32B1C">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38</w:t>
            </w:r>
          </w:p>
        </w:tc>
        <w:tc>
          <w:tcPr>
            <w:tcW w:w="1234" w:type="dxa"/>
            <w:vMerge w:val="continue"/>
            <w:tcBorders>
              <w:top w:val="nil"/>
              <w:left w:val="single" w:color="auto" w:sz="4" w:space="0"/>
              <w:bottom w:val="single" w:color="auto" w:sz="4" w:space="0"/>
              <w:right w:val="single" w:color="auto" w:sz="4" w:space="0"/>
            </w:tcBorders>
            <w:vAlign w:val="center"/>
          </w:tcPr>
          <w:p w14:paraId="2E28B83E">
            <w:pPr>
              <w:adjustRightInd w:val="0"/>
              <w:snapToGrid w:val="0"/>
              <w:rPr>
                <w:rFonts w:ascii="Times New Roman" w:hAnsi="Times New Roman" w:eastAsia="宋体" w:cs="Times New Roman"/>
                <w:color w:val="auto"/>
                <w:sz w:val="24"/>
                <w:szCs w:val="21"/>
              </w:rPr>
            </w:pPr>
          </w:p>
        </w:tc>
        <w:tc>
          <w:tcPr>
            <w:tcW w:w="969" w:type="dxa"/>
            <w:tcBorders>
              <w:top w:val="nil"/>
              <w:left w:val="nil"/>
              <w:bottom w:val="single" w:color="auto" w:sz="4" w:space="0"/>
              <w:right w:val="single" w:color="auto" w:sz="4" w:space="0"/>
            </w:tcBorders>
            <w:shd w:val="clear" w:color="auto" w:fill="auto"/>
            <w:vAlign w:val="center"/>
          </w:tcPr>
          <w:p w14:paraId="6CF5920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统一办理平台</w:t>
            </w:r>
          </w:p>
        </w:tc>
        <w:tc>
          <w:tcPr>
            <w:tcW w:w="3286" w:type="dxa"/>
            <w:tcBorders>
              <w:top w:val="nil"/>
              <w:left w:val="nil"/>
              <w:bottom w:val="single" w:color="auto" w:sz="4" w:space="0"/>
              <w:right w:val="single" w:color="auto" w:sz="4" w:space="0"/>
            </w:tcBorders>
            <w:shd w:val="clear" w:color="auto" w:fill="auto"/>
            <w:vAlign w:val="center"/>
          </w:tcPr>
          <w:p w14:paraId="68A61CF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案件办理管理</w:t>
            </w:r>
          </w:p>
        </w:tc>
        <w:tc>
          <w:tcPr>
            <w:tcW w:w="1418" w:type="dxa"/>
            <w:tcBorders>
              <w:top w:val="nil"/>
              <w:left w:val="nil"/>
              <w:bottom w:val="single" w:color="auto" w:sz="4" w:space="0"/>
              <w:right w:val="single" w:color="auto" w:sz="4" w:space="0"/>
            </w:tcBorders>
            <w:shd w:val="clear" w:color="auto" w:fill="auto"/>
            <w:vAlign w:val="center"/>
          </w:tcPr>
          <w:p w14:paraId="1412C6A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vAlign w:val="center"/>
          </w:tcPr>
          <w:p w14:paraId="263DFBE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735FA366">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D16AD69">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39</w:t>
            </w:r>
          </w:p>
        </w:tc>
        <w:tc>
          <w:tcPr>
            <w:tcW w:w="1234" w:type="dxa"/>
            <w:vMerge w:val="continue"/>
            <w:tcBorders>
              <w:top w:val="nil"/>
              <w:left w:val="single" w:color="auto" w:sz="4" w:space="0"/>
              <w:bottom w:val="single" w:color="auto" w:sz="4" w:space="0"/>
              <w:right w:val="single" w:color="auto" w:sz="4" w:space="0"/>
            </w:tcBorders>
            <w:vAlign w:val="center"/>
          </w:tcPr>
          <w:p w14:paraId="233AA458">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2E53215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部门联动处置</w:t>
            </w:r>
          </w:p>
        </w:tc>
        <w:tc>
          <w:tcPr>
            <w:tcW w:w="3286" w:type="dxa"/>
            <w:tcBorders>
              <w:top w:val="nil"/>
              <w:left w:val="nil"/>
              <w:bottom w:val="single" w:color="auto" w:sz="4" w:space="0"/>
              <w:right w:val="single" w:color="auto" w:sz="4" w:space="0"/>
            </w:tcBorders>
            <w:shd w:val="clear" w:color="auto" w:fill="auto"/>
            <w:vAlign w:val="center"/>
          </w:tcPr>
          <w:p w14:paraId="165500D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街道联动</w:t>
            </w:r>
          </w:p>
        </w:tc>
        <w:tc>
          <w:tcPr>
            <w:tcW w:w="1418" w:type="dxa"/>
            <w:tcBorders>
              <w:top w:val="nil"/>
              <w:left w:val="nil"/>
              <w:bottom w:val="single" w:color="auto" w:sz="4" w:space="0"/>
              <w:right w:val="single" w:color="auto" w:sz="4" w:space="0"/>
            </w:tcBorders>
            <w:shd w:val="clear" w:color="auto" w:fill="auto"/>
            <w:vAlign w:val="center"/>
          </w:tcPr>
          <w:p w14:paraId="51B7E3B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051C0DA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7400D585">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86EB3BF">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40</w:t>
            </w:r>
          </w:p>
        </w:tc>
        <w:tc>
          <w:tcPr>
            <w:tcW w:w="1234" w:type="dxa"/>
            <w:vMerge w:val="continue"/>
            <w:tcBorders>
              <w:top w:val="nil"/>
              <w:left w:val="single" w:color="auto" w:sz="4" w:space="0"/>
              <w:bottom w:val="single" w:color="auto" w:sz="4" w:space="0"/>
              <w:right w:val="single" w:color="auto" w:sz="4" w:space="0"/>
            </w:tcBorders>
            <w:vAlign w:val="center"/>
          </w:tcPr>
          <w:p w14:paraId="7F29BBE2">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55D7F19">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0ECA06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一键联动</w:t>
            </w:r>
          </w:p>
        </w:tc>
        <w:tc>
          <w:tcPr>
            <w:tcW w:w="1418" w:type="dxa"/>
            <w:tcBorders>
              <w:top w:val="nil"/>
              <w:left w:val="nil"/>
              <w:bottom w:val="single" w:color="auto" w:sz="4" w:space="0"/>
              <w:right w:val="single" w:color="auto" w:sz="4" w:space="0"/>
            </w:tcBorders>
            <w:shd w:val="clear" w:color="auto" w:fill="auto"/>
            <w:vAlign w:val="center"/>
          </w:tcPr>
          <w:p w14:paraId="0F43AD0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615E20A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3662A233">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50D330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41</w:t>
            </w:r>
          </w:p>
        </w:tc>
        <w:tc>
          <w:tcPr>
            <w:tcW w:w="1234" w:type="dxa"/>
            <w:vMerge w:val="continue"/>
            <w:tcBorders>
              <w:top w:val="nil"/>
              <w:left w:val="single" w:color="auto" w:sz="4" w:space="0"/>
              <w:bottom w:val="single" w:color="auto" w:sz="4" w:space="0"/>
              <w:right w:val="single" w:color="auto" w:sz="4" w:space="0"/>
            </w:tcBorders>
            <w:vAlign w:val="center"/>
          </w:tcPr>
          <w:p w14:paraId="52BFD4B4">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61221B4">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61F205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部门报到</w:t>
            </w:r>
          </w:p>
        </w:tc>
        <w:tc>
          <w:tcPr>
            <w:tcW w:w="1418" w:type="dxa"/>
            <w:tcBorders>
              <w:top w:val="nil"/>
              <w:left w:val="nil"/>
              <w:bottom w:val="single" w:color="auto" w:sz="4" w:space="0"/>
              <w:right w:val="single" w:color="auto" w:sz="4" w:space="0"/>
            </w:tcBorders>
            <w:shd w:val="clear" w:color="auto" w:fill="auto"/>
            <w:vAlign w:val="center"/>
          </w:tcPr>
          <w:p w14:paraId="08082FE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6DFD8C9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63B8A948">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1F2DA05">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42</w:t>
            </w:r>
          </w:p>
        </w:tc>
        <w:tc>
          <w:tcPr>
            <w:tcW w:w="1234" w:type="dxa"/>
            <w:vMerge w:val="continue"/>
            <w:tcBorders>
              <w:top w:val="nil"/>
              <w:left w:val="single" w:color="auto" w:sz="4" w:space="0"/>
              <w:bottom w:val="single" w:color="auto" w:sz="4" w:space="0"/>
              <w:right w:val="single" w:color="auto" w:sz="4" w:space="0"/>
            </w:tcBorders>
            <w:vAlign w:val="center"/>
          </w:tcPr>
          <w:p w14:paraId="5651C082">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72E5A143">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198D2D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综合查询</w:t>
            </w:r>
          </w:p>
        </w:tc>
        <w:tc>
          <w:tcPr>
            <w:tcW w:w="1418" w:type="dxa"/>
            <w:tcBorders>
              <w:top w:val="nil"/>
              <w:left w:val="nil"/>
              <w:bottom w:val="single" w:color="auto" w:sz="4" w:space="0"/>
              <w:right w:val="single" w:color="auto" w:sz="4" w:space="0"/>
            </w:tcBorders>
            <w:shd w:val="clear" w:color="auto" w:fill="auto"/>
            <w:vAlign w:val="center"/>
          </w:tcPr>
          <w:p w14:paraId="44C16AC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004797C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0F279C44">
        <w:tblPrEx>
          <w:tblCellMar>
            <w:top w:w="0" w:type="dxa"/>
            <w:left w:w="108" w:type="dxa"/>
            <w:bottom w:w="0" w:type="dxa"/>
            <w:right w:w="108" w:type="dxa"/>
          </w:tblCellMar>
        </w:tblPrEx>
        <w:trPr>
          <w:trHeight w:val="480"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7793EBD4">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43</w:t>
            </w:r>
          </w:p>
        </w:tc>
        <w:tc>
          <w:tcPr>
            <w:tcW w:w="1234" w:type="dxa"/>
            <w:vMerge w:val="continue"/>
            <w:tcBorders>
              <w:top w:val="nil"/>
              <w:left w:val="single" w:color="auto" w:sz="4" w:space="0"/>
              <w:bottom w:val="single" w:color="auto" w:sz="4" w:space="0"/>
              <w:right w:val="single" w:color="auto" w:sz="4" w:space="0"/>
            </w:tcBorders>
            <w:vAlign w:val="center"/>
          </w:tcPr>
          <w:p w14:paraId="652661ED">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B6DB61C">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5D8718C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综合考评</w:t>
            </w:r>
          </w:p>
        </w:tc>
        <w:tc>
          <w:tcPr>
            <w:tcW w:w="1418" w:type="dxa"/>
            <w:tcBorders>
              <w:top w:val="nil"/>
              <w:left w:val="nil"/>
              <w:bottom w:val="single" w:color="auto" w:sz="4" w:space="0"/>
              <w:right w:val="single" w:color="auto" w:sz="4" w:space="0"/>
            </w:tcBorders>
            <w:shd w:val="clear" w:color="auto" w:fill="auto"/>
            <w:vAlign w:val="center"/>
          </w:tcPr>
          <w:p w14:paraId="56C133D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vAlign w:val="center"/>
          </w:tcPr>
          <w:p w14:paraId="105E8A6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0597F493">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E5F415F">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44</w:t>
            </w:r>
          </w:p>
        </w:tc>
        <w:tc>
          <w:tcPr>
            <w:tcW w:w="1234" w:type="dxa"/>
            <w:vMerge w:val="continue"/>
            <w:tcBorders>
              <w:top w:val="nil"/>
              <w:left w:val="single" w:color="auto" w:sz="4" w:space="0"/>
              <w:bottom w:val="single" w:color="auto" w:sz="4" w:space="0"/>
              <w:right w:val="single" w:color="auto" w:sz="4" w:space="0"/>
            </w:tcBorders>
            <w:vAlign w:val="center"/>
          </w:tcPr>
          <w:p w14:paraId="1E615E38">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3E8A1F9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信息采集员管理</w:t>
            </w:r>
          </w:p>
        </w:tc>
        <w:tc>
          <w:tcPr>
            <w:tcW w:w="3286" w:type="dxa"/>
            <w:tcBorders>
              <w:top w:val="nil"/>
              <w:left w:val="nil"/>
              <w:bottom w:val="single" w:color="auto" w:sz="4" w:space="0"/>
              <w:right w:val="single" w:color="auto" w:sz="4" w:space="0"/>
            </w:tcBorders>
            <w:shd w:val="clear" w:color="auto" w:fill="auto"/>
            <w:vAlign w:val="center"/>
          </w:tcPr>
          <w:p w14:paraId="7DB8DEA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监控统计指标</w:t>
            </w:r>
          </w:p>
        </w:tc>
        <w:tc>
          <w:tcPr>
            <w:tcW w:w="1418" w:type="dxa"/>
            <w:tcBorders>
              <w:top w:val="nil"/>
              <w:left w:val="nil"/>
              <w:bottom w:val="single" w:color="auto" w:sz="4" w:space="0"/>
              <w:right w:val="single" w:color="auto" w:sz="4" w:space="0"/>
            </w:tcBorders>
            <w:shd w:val="clear" w:color="auto" w:fill="auto"/>
            <w:vAlign w:val="center"/>
          </w:tcPr>
          <w:p w14:paraId="4666A45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7A7203B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335039BC">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AC8D4E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45</w:t>
            </w:r>
          </w:p>
        </w:tc>
        <w:tc>
          <w:tcPr>
            <w:tcW w:w="1234" w:type="dxa"/>
            <w:vMerge w:val="continue"/>
            <w:tcBorders>
              <w:top w:val="nil"/>
              <w:left w:val="single" w:color="auto" w:sz="4" w:space="0"/>
              <w:bottom w:val="single" w:color="auto" w:sz="4" w:space="0"/>
              <w:right w:val="single" w:color="auto" w:sz="4" w:space="0"/>
            </w:tcBorders>
            <w:vAlign w:val="center"/>
          </w:tcPr>
          <w:p w14:paraId="1E3A6B2E">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22E6744">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0FE1F61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三定维护</w:t>
            </w:r>
          </w:p>
        </w:tc>
        <w:tc>
          <w:tcPr>
            <w:tcW w:w="1418" w:type="dxa"/>
            <w:tcBorders>
              <w:top w:val="nil"/>
              <w:left w:val="nil"/>
              <w:bottom w:val="single" w:color="auto" w:sz="4" w:space="0"/>
              <w:right w:val="single" w:color="auto" w:sz="4" w:space="0"/>
            </w:tcBorders>
            <w:shd w:val="clear" w:color="auto" w:fill="auto"/>
            <w:vAlign w:val="center"/>
          </w:tcPr>
          <w:p w14:paraId="0A1802B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1B65F64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5D3FC36E">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565C9D9">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46</w:t>
            </w:r>
          </w:p>
        </w:tc>
        <w:tc>
          <w:tcPr>
            <w:tcW w:w="1234" w:type="dxa"/>
            <w:vMerge w:val="continue"/>
            <w:tcBorders>
              <w:top w:val="nil"/>
              <w:left w:val="single" w:color="auto" w:sz="4" w:space="0"/>
              <w:bottom w:val="single" w:color="auto" w:sz="4" w:space="0"/>
              <w:right w:val="single" w:color="auto" w:sz="4" w:space="0"/>
            </w:tcBorders>
            <w:vAlign w:val="center"/>
          </w:tcPr>
          <w:p w14:paraId="09FAD493">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D51BD89">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501A03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状态监控</w:t>
            </w:r>
          </w:p>
        </w:tc>
        <w:tc>
          <w:tcPr>
            <w:tcW w:w="1418" w:type="dxa"/>
            <w:tcBorders>
              <w:top w:val="nil"/>
              <w:left w:val="nil"/>
              <w:bottom w:val="single" w:color="auto" w:sz="4" w:space="0"/>
              <w:right w:val="single" w:color="auto" w:sz="4" w:space="0"/>
            </w:tcBorders>
            <w:shd w:val="clear" w:color="auto" w:fill="auto"/>
            <w:vAlign w:val="center"/>
          </w:tcPr>
          <w:p w14:paraId="5BD55B0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4D6B1A0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3FB9EBF3">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A29645E">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47</w:t>
            </w:r>
          </w:p>
        </w:tc>
        <w:tc>
          <w:tcPr>
            <w:tcW w:w="1234" w:type="dxa"/>
            <w:vMerge w:val="continue"/>
            <w:tcBorders>
              <w:top w:val="nil"/>
              <w:left w:val="single" w:color="auto" w:sz="4" w:space="0"/>
              <w:bottom w:val="single" w:color="auto" w:sz="4" w:space="0"/>
              <w:right w:val="single" w:color="auto" w:sz="4" w:space="0"/>
            </w:tcBorders>
            <w:vAlign w:val="center"/>
          </w:tcPr>
          <w:p w14:paraId="007C38D7">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3772A7C">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0FB160C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巡更管理</w:t>
            </w:r>
          </w:p>
        </w:tc>
        <w:tc>
          <w:tcPr>
            <w:tcW w:w="1418" w:type="dxa"/>
            <w:tcBorders>
              <w:top w:val="nil"/>
              <w:left w:val="nil"/>
              <w:bottom w:val="single" w:color="auto" w:sz="4" w:space="0"/>
              <w:right w:val="single" w:color="auto" w:sz="4" w:space="0"/>
            </w:tcBorders>
            <w:shd w:val="clear" w:color="auto" w:fill="auto"/>
            <w:vAlign w:val="center"/>
          </w:tcPr>
          <w:p w14:paraId="64DF091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5CF30C8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55B88F12">
        <w:tblPrEx>
          <w:tblCellMar>
            <w:top w:w="0" w:type="dxa"/>
            <w:left w:w="108" w:type="dxa"/>
            <w:bottom w:w="0" w:type="dxa"/>
            <w:right w:w="108" w:type="dxa"/>
          </w:tblCellMar>
        </w:tblPrEx>
        <w:trPr>
          <w:trHeight w:val="480"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D81499C">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48</w:t>
            </w:r>
          </w:p>
        </w:tc>
        <w:tc>
          <w:tcPr>
            <w:tcW w:w="1234" w:type="dxa"/>
            <w:vMerge w:val="continue"/>
            <w:tcBorders>
              <w:top w:val="nil"/>
              <w:left w:val="single" w:color="auto" w:sz="4" w:space="0"/>
              <w:bottom w:val="single" w:color="auto" w:sz="4" w:space="0"/>
              <w:right w:val="single" w:color="auto" w:sz="4" w:space="0"/>
            </w:tcBorders>
            <w:vAlign w:val="center"/>
          </w:tcPr>
          <w:p w14:paraId="06DCA5B1">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37B86BC">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526E718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采集考核</w:t>
            </w:r>
          </w:p>
        </w:tc>
        <w:tc>
          <w:tcPr>
            <w:tcW w:w="1418" w:type="dxa"/>
            <w:tcBorders>
              <w:top w:val="nil"/>
              <w:left w:val="nil"/>
              <w:bottom w:val="single" w:color="auto" w:sz="4" w:space="0"/>
              <w:right w:val="single" w:color="auto" w:sz="4" w:space="0"/>
            </w:tcBorders>
            <w:shd w:val="clear" w:color="auto" w:fill="auto"/>
            <w:vAlign w:val="center"/>
          </w:tcPr>
          <w:p w14:paraId="1F6B31C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vAlign w:val="center"/>
          </w:tcPr>
          <w:p w14:paraId="57AB012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13916A63">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71E21B1">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49</w:t>
            </w:r>
          </w:p>
        </w:tc>
        <w:tc>
          <w:tcPr>
            <w:tcW w:w="1234" w:type="dxa"/>
            <w:vMerge w:val="continue"/>
            <w:tcBorders>
              <w:top w:val="nil"/>
              <w:left w:val="single" w:color="auto" w:sz="4" w:space="0"/>
              <w:bottom w:val="single" w:color="auto" w:sz="4" w:space="0"/>
              <w:right w:val="single" w:color="auto" w:sz="4" w:space="0"/>
            </w:tcBorders>
            <w:vAlign w:val="center"/>
          </w:tcPr>
          <w:p w14:paraId="1EB7C502">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103B606">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9B9C22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预警管理</w:t>
            </w:r>
          </w:p>
        </w:tc>
        <w:tc>
          <w:tcPr>
            <w:tcW w:w="1418" w:type="dxa"/>
            <w:tcBorders>
              <w:top w:val="nil"/>
              <w:left w:val="nil"/>
              <w:bottom w:val="single" w:color="auto" w:sz="4" w:space="0"/>
              <w:right w:val="single" w:color="auto" w:sz="4" w:space="0"/>
            </w:tcBorders>
            <w:shd w:val="clear" w:color="auto" w:fill="auto"/>
            <w:vAlign w:val="center"/>
          </w:tcPr>
          <w:p w14:paraId="665735F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55A7388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61AA6A2C">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D8EFAB3">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50</w:t>
            </w:r>
          </w:p>
        </w:tc>
        <w:tc>
          <w:tcPr>
            <w:tcW w:w="1234" w:type="dxa"/>
            <w:vMerge w:val="continue"/>
            <w:tcBorders>
              <w:top w:val="nil"/>
              <w:left w:val="single" w:color="auto" w:sz="4" w:space="0"/>
              <w:bottom w:val="single" w:color="auto" w:sz="4" w:space="0"/>
              <w:right w:val="single" w:color="auto" w:sz="4" w:space="0"/>
            </w:tcBorders>
            <w:vAlign w:val="center"/>
          </w:tcPr>
          <w:p w14:paraId="6ACD9A64">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773D7C7">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533043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考核申诉</w:t>
            </w:r>
          </w:p>
        </w:tc>
        <w:tc>
          <w:tcPr>
            <w:tcW w:w="1418" w:type="dxa"/>
            <w:tcBorders>
              <w:top w:val="nil"/>
              <w:left w:val="nil"/>
              <w:bottom w:val="single" w:color="auto" w:sz="4" w:space="0"/>
              <w:right w:val="single" w:color="auto" w:sz="4" w:space="0"/>
            </w:tcBorders>
            <w:shd w:val="clear" w:color="auto" w:fill="auto"/>
            <w:vAlign w:val="center"/>
          </w:tcPr>
          <w:p w14:paraId="428F597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0EF3F6A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156D754F">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09A5CD9">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51</w:t>
            </w:r>
          </w:p>
        </w:tc>
        <w:tc>
          <w:tcPr>
            <w:tcW w:w="1234" w:type="dxa"/>
            <w:vMerge w:val="continue"/>
            <w:tcBorders>
              <w:top w:val="nil"/>
              <w:left w:val="single" w:color="auto" w:sz="4" w:space="0"/>
              <w:bottom w:val="single" w:color="auto" w:sz="4" w:space="0"/>
              <w:right w:val="single" w:color="auto" w:sz="4" w:space="0"/>
            </w:tcBorders>
            <w:vAlign w:val="center"/>
          </w:tcPr>
          <w:p w14:paraId="108CD105">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5A25EADA">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660B51A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设备管理</w:t>
            </w:r>
          </w:p>
        </w:tc>
        <w:tc>
          <w:tcPr>
            <w:tcW w:w="1418" w:type="dxa"/>
            <w:tcBorders>
              <w:top w:val="nil"/>
              <w:left w:val="nil"/>
              <w:bottom w:val="single" w:color="auto" w:sz="4" w:space="0"/>
              <w:right w:val="single" w:color="auto" w:sz="4" w:space="0"/>
            </w:tcBorders>
            <w:shd w:val="clear" w:color="auto" w:fill="auto"/>
            <w:vAlign w:val="center"/>
          </w:tcPr>
          <w:p w14:paraId="65A9AB4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4655831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49139C32">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31C64DC">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52</w:t>
            </w:r>
          </w:p>
        </w:tc>
        <w:tc>
          <w:tcPr>
            <w:tcW w:w="1234" w:type="dxa"/>
            <w:vMerge w:val="continue"/>
            <w:tcBorders>
              <w:top w:val="nil"/>
              <w:left w:val="single" w:color="auto" w:sz="4" w:space="0"/>
              <w:bottom w:val="single" w:color="auto" w:sz="4" w:space="0"/>
              <w:right w:val="single" w:color="auto" w:sz="4" w:space="0"/>
            </w:tcBorders>
            <w:vAlign w:val="center"/>
          </w:tcPr>
          <w:p w14:paraId="762D4372">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36DEAD0D">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BC81B0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考核报表</w:t>
            </w:r>
          </w:p>
        </w:tc>
        <w:tc>
          <w:tcPr>
            <w:tcW w:w="1418" w:type="dxa"/>
            <w:tcBorders>
              <w:top w:val="nil"/>
              <w:left w:val="nil"/>
              <w:bottom w:val="single" w:color="auto" w:sz="4" w:space="0"/>
              <w:right w:val="single" w:color="auto" w:sz="4" w:space="0"/>
            </w:tcBorders>
            <w:shd w:val="clear" w:color="auto" w:fill="auto"/>
            <w:vAlign w:val="center"/>
          </w:tcPr>
          <w:p w14:paraId="1D50A2B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1E1B269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28322802">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E0F2AAC">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53</w:t>
            </w:r>
          </w:p>
        </w:tc>
        <w:tc>
          <w:tcPr>
            <w:tcW w:w="1234" w:type="dxa"/>
            <w:vMerge w:val="continue"/>
            <w:tcBorders>
              <w:top w:val="nil"/>
              <w:left w:val="single" w:color="auto" w:sz="4" w:space="0"/>
              <w:bottom w:val="single" w:color="auto" w:sz="4" w:space="0"/>
              <w:right w:val="single" w:color="auto" w:sz="4" w:space="0"/>
            </w:tcBorders>
            <w:vAlign w:val="center"/>
          </w:tcPr>
          <w:p w14:paraId="1548ED6D">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3DF9ED1">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F4308E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短信提醒</w:t>
            </w:r>
          </w:p>
        </w:tc>
        <w:tc>
          <w:tcPr>
            <w:tcW w:w="1418" w:type="dxa"/>
            <w:tcBorders>
              <w:top w:val="nil"/>
              <w:left w:val="nil"/>
              <w:bottom w:val="single" w:color="auto" w:sz="4" w:space="0"/>
              <w:right w:val="single" w:color="auto" w:sz="4" w:space="0"/>
            </w:tcBorders>
            <w:shd w:val="clear" w:color="auto" w:fill="auto"/>
            <w:vAlign w:val="center"/>
          </w:tcPr>
          <w:p w14:paraId="0B2A5CF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tcBorders>
              <w:top w:val="nil"/>
              <w:left w:val="nil"/>
              <w:bottom w:val="single" w:color="auto" w:sz="4" w:space="0"/>
              <w:right w:val="single" w:color="auto" w:sz="4" w:space="0"/>
            </w:tcBorders>
            <w:shd w:val="clear" w:color="auto" w:fill="auto"/>
            <w:vAlign w:val="center"/>
          </w:tcPr>
          <w:p w14:paraId="62A9691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w:t>
            </w:r>
          </w:p>
        </w:tc>
      </w:tr>
      <w:tr w14:paraId="04B465DB">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EACB93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54</w:t>
            </w:r>
          </w:p>
        </w:tc>
        <w:tc>
          <w:tcPr>
            <w:tcW w:w="1234" w:type="dxa"/>
            <w:vMerge w:val="restart"/>
            <w:tcBorders>
              <w:top w:val="nil"/>
              <w:left w:val="single" w:color="auto" w:sz="4" w:space="0"/>
              <w:bottom w:val="single" w:color="auto" w:sz="4" w:space="0"/>
              <w:right w:val="single" w:color="auto" w:sz="4" w:space="0"/>
            </w:tcBorders>
            <w:shd w:val="clear" w:color="auto" w:fill="auto"/>
            <w:vAlign w:val="center"/>
          </w:tcPr>
          <w:p w14:paraId="685B567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日常指挥协同</w:t>
            </w: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20C94F7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力量管理</w:t>
            </w:r>
          </w:p>
        </w:tc>
        <w:tc>
          <w:tcPr>
            <w:tcW w:w="3286" w:type="dxa"/>
            <w:tcBorders>
              <w:top w:val="nil"/>
              <w:left w:val="nil"/>
              <w:bottom w:val="single" w:color="auto" w:sz="4" w:space="0"/>
              <w:right w:val="single" w:color="auto" w:sz="4" w:space="0"/>
            </w:tcBorders>
            <w:shd w:val="clear" w:color="auto" w:fill="auto"/>
            <w:vAlign w:val="center"/>
          </w:tcPr>
          <w:p w14:paraId="7E8C061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力量信息维护</w:t>
            </w:r>
          </w:p>
        </w:tc>
        <w:tc>
          <w:tcPr>
            <w:tcW w:w="1418" w:type="dxa"/>
            <w:tcBorders>
              <w:top w:val="nil"/>
              <w:left w:val="nil"/>
              <w:bottom w:val="single" w:color="auto" w:sz="4" w:space="0"/>
              <w:right w:val="single" w:color="auto" w:sz="4" w:space="0"/>
            </w:tcBorders>
            <w:shd w:val="clear" w:color="auto" w:fill="auto"/>
            <w:vAlign w:val="center"/>
          </w:tcPr>
          <w:p w14:paraId="3E19C86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vAlign w:val="center"/>
          </w:tcPr>
          <w:p w14:paraId="48698FF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4A935298">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4C4DA5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55</w:t>
            </w:r>
          </w:p>
        </w:tc>
        <w:tc>
          <w:tcPr>
            <w:tcW w:w="1234" w:type="dxa"/>
            <w:vMerge w:val="continue"/>
            <w:tcBorders>
              <w:top w:val="nil"/>
              <w:left w:val="single" w:color="auto" w:sz="4" w:space="0"/>
              <w:bottom w:val="single" w:color="auto" w:sz="4" w:space="0"/>
              <w:right w:val="single" w:color="auto" w:sz="4" w:space="0"/>
            </w:tcBorders>
            <w:vAlign w:val="center"/>
          </w:tcPr>
          <w:p w14:paraId="783458B2">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32A70ADF">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E5B94A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力量定位监督</w:t>
            </w:r>
          </w:p>
        </w:tc>
        <w:tc>
          <w:tcPr>
            <w:tcW w:w="1418" w:type="dxa"/>
            <w:tcBorders>
              <w:top w:val="nil"/>
              <w:left w:val="nil"/>
              <w:bottom w:val="single" w:color="auto" w:sz="4" w:space="0"/>
              <w:right w:val="single" w:color="auto" w:sz="4" w:space="0"/>
            </w:tcBorders>
            <w:shd w:val="clear" w:color="auto" w:fill="auto"/>
            <w:vAlign w:val="center"/>
          </w:tcPr>
          <w:p w14:paraId="10AB6E9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64107BC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6671DD7A">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54AAECF">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56</w:t>
            </w:r>
          </w:p>
        </w:tc>
        <w:tc>
          <w:tcPr>
            <w:tcW w:w="1234" w:type="dxa"/>
            <w:vMerge w:val="continue"/>
            <w:tcBorders>
              <w:top w:val="nil"/>
              <w:left w:val="single" w:color="auto" w:sz="4" w:space="0"/>
              <w:bottom w:val="single" w:color="auto" w:sz="4" w:space="0"/>
              <w:right w:val="single" w:color="auto" w:sz="4" w:space="0"/>
            </w:tcBorders>
            <w:vAlign w:val="center"/>
          </w:tcPr>
          <w:p w14:paraId="6F826C7F">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6883503F">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DED8C2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力量部署管理</w:t>
            </w:r>
          </w:p>
        </w:tc>
        <w:tc>
          <w:tcPr>
            <w:tcW w:w="1418" w:type="dxa"/>
            <w:tcBorders>
              <w:top w:val="nil"/>
              <w:left w:val="nil"/>
              <w:bottom w:val="single" w:color="auto" w:sz="4" w:space="0"/>
              <w:right w:val="single" w:color="auto" w:sz="4" w:space="0"/>
            </w:tcBorders>
            <w:shd w:val="clear" w:color="auto" w:fill="auto"/>
            <w:vAlign w:val="center"/>
          </w:tcPr>
          <w:p w14:paraId="0F3FE6A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4078465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7D7D7127">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D05052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57</w:t>
            </w:r>
          </w:p>
        </w:tc>
        <w:tc>
          <w:tcPr>
            <w:tcW w:w="1234" w:type="dxa"/>
            <w:vMerge w:val="continue"/>
            <w:tcBorders>
              <w:top w:val="nil"/>
              <w:left w:val="single" w:color="auto" w:sz="4" w:space="0"/>
              <w:bottom w:val="single" w:color="auto" w:sz="4" w:space="0"/>
              <w:right w:val="single" w:color="auto" w:sz="4" w:space="0"/>
            </w:tcBorders>
            <w:vAlign w:val="center"/>
          </w:tcPr>
          <w:p w14:paraId="4694DB81">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9DCDD4C">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68A188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力量通讯调度</w:t>
            </w:r>
          </w:p>
        </w:tc>
        <w:tc>
          <w:tcPr>
            <w:tcW w:w="1418" w:type="dxa"/>
            <w:tcBorders>
              <w:top w:val="nil"/>
              <w:left w:val="nil"/>
              <w:bottom w:val="single" w:color="auto" w:sz="4" w:space="0"/>
              <w:right w:val="single" w:color="auto" w:sz="4" w:space="0"/>
            </w:tcBorders>
            <w:shd w:val="clear" w:color="auto" w:fill="auto"/>
            <w:vAlign w:val="center"/>
          </w:tcPr>
          <w:p w14:paraId="1972828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59FC8FC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7465F332">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6E1206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58</w:t>
            </w:r>
          </w:p>
        </w:tc>
        <w:tc>
          <w:tcPr>
            <w:tcW w:w="1234" w:type="dxa"/>
            <w:vMerge w:val="continue"/>
            <w:tcBorders>
              <w:top w:val="nil"/>
              <w:left w:val="single" w:color="auto" w:sz="4" w:space="0"/>
              <w:bottom w:val="single" w:color="auto" w:sz="4" w:space="0"/>
              <w:right w:val="single" w:color="auto" w:sz="4" w:space="0"/>
            </w:tcBorders>
            <w:vAlign w:val="center"/>
          </w:tcPr>
          <w:p w14:paraId="18EA7A7A">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14B5872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目标掌控</w:t>
            </w:r>
          </w:p>
        </w:tc>
        <w:tc>
          <w:tcPr>
            <w:tcW w:w="3286" w:type="dxa"/>
            <w:tcBorders>
              <w:top w:val="nil"/>
              <w:left w:val="nil"/>
              <w:bottom w:val="single" w:color="auto" w:sz="4" w:space="0"/>
              <w:right w:val="single" w:color="auto" w:sz="4" w:space="0"/>
            </w:tcBorders>
            <w:shd w:val="clear" w:color="auto" w:fill="auto"/>
            <w:vAlign w:val="center"/>
          </w:tcPr>
          <w:p w14:paraId="2542CBE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防控目标管理</w:t>
            </w:r>
          </w:p>
        </w:tc>
        <w:tc>
          <w:tcPr>
            <w:tcW w:w="1418" w:type="dxa"/>
            <w:tcBorders>
              <w:top w:val="nil"/>
              <w:left w:val="nil"/>
              <w:bottom w:val="single" w:color="auto" w:sz="4" w:space="0"/>
              <w:right w:val="single" w:color="auto" w:sz="4" w:space="0"/>
            </w:tcBorders>
            <w:shd w:val="clear" w:color="auto" w:fill="auto"/>
            <w:vAlign w:val="center"/>
          </w:tcPr>
          <w:p w14:paraId="7912046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4BEE96E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3F2387F4">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70B298DB">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59</w:t>
            </w:r>
          </w:p>
        </w:tc>
        <w:tc>
          <w:tcPr>
            <w:tcW w:w="1234" w:type="dxa"/>
            <w:vMerge w:val="continue"/>
            <w:tcBorders>
              <w:top w:val="nil"/>
              <w:left w:val="single" w:color="auto" w:sz="4" w:space="0"/>
              <w:bottom w:val="single" w:color="auto" w:sz="4" w:space="0"/>
              <w:right w:val="single" w:color="auto" w:sz="4" w:space="0"/>
            </w:tcBorders>
            <w:vAlign w:val="center"/>
          </w:tcPr>
          <w:p w14:paraId="00402B49">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E34691C">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10FFCD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日常安全检查</w:t>
            </w:r>
          </w:p>
        </w:tc>
        <w:tc>
          <w:tcPr>
            <w:tcW w:w="1418" w:type="dxa"/>
            <w:tcBorders>
              <w:top w:val="nil"/>
              <w:left w:val="nil"/>
              <w:bottom w:val="single" w:color="auto" w:sz="4" w:space="0"/>
              <w:right w:val="single" w:color="auto" w:sz="4" w:space="0"/>
            </w:tcBorders>
            <w:shd w:val="clear" w:color="auto" w:fill="auto"/>
            <w:vAlign w:val="center"/>
          </w:tcPr>
          <w:p w14:paraId="466942C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4BB495F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6945C7FC">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036EBC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60</w:t>
            </w:r>
          </w:p>
        </w:tc>
        <w:tc>
          <w:tcPr>
            <w:tcW w:w="1234" w:type="dxa"/>
            <w:vMerge w:val="continue"/>
            <w:tcBorders>
              <w:top w:val="nil"/>
              <w:left w:val="single" w:color="auto" w:sz="4" w:space="0"/>
              <w:bottom w:val="single" w:color="auto" w:sz="4" w:space="0"/>
              <w:right w:val="single" w:color="auto" w:sz="4" w:space="0"/>
            </w:tcBorders>
            <w:vAlign w:val="center"/>
          </w:tcPr>
          <w:p w14:paraId="5E80ACED">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FC7761F">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03B3F2F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预案管理</w:t>
            </w:r>
          </w:p>
        </w:tc>
        <w:tc>
          <w:tcPr>
            <w:tcW w:w="1418" w:type="dxa"/>
            <w:tcBorders>
              <w:top w:val="nil"/>
              <w:left w:val="nil"/>
              <w:bottom w:val="single" w:color="auto" w:sz="4" w:space="0"/>
              <w:right w:val="single" w:color="auto" w:sz="4" w:space="0"/>
            </w:tcBorders>
            <w:shd w:val="clear" w:color="auto" w:fill="auto"/>
            <w:vAlign w:val="center"/>
          </w:tcPr>
          <w:p w14:paraId="181A444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1D428D9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1128B02F">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E761B44">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61</w:t>
            </w:r>
          </w:p>
        </w:tc>
        <w:tc>
          <w:tcPr>
            <w:tcW w:w="1234" w:type="dxa"/>
            <w:vMerge w:val="continue"/>
            <w:tcBorders>
              <w:top w:val="nil"/>
              <w:left w:val="single" w:color="auto" w:sz="4" w:space="0"/>
              <w:bottom w:val="single" w:color="auto" w:sz="4" w:space="0"/>
              <w:right w:val="single" w:color="auto" w:sz="4" w:space="0"/>
            </w:tcBorders>
            <w:vAlign w:val="center"/>
          </w:tcPr>
          <w:p w14:paraId="57D463EB">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4BC8417F">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11EF195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目标视频调阅</w:t>
            </w:r>
          </w:p>
        </w:tc>
        <w:tc>
          <w:tcPr>
            <w:tcW w:w="1418" w:type="dxa"/>
            <w:tcBorders>
              <w:top w:val="nil"/>
              <w:left w:val="nil"/>
              <w:bottom w:val="single" w:color="auto" w:sz="4" w:space="0"/>
              <w:right w:val="single" w:color="auto" w:sz="4" w:space="0"/>
            </w:tcBorders>
            <w:shd w:val="clear" w:color="auto" w:fill="auto"/>
            <w:vAlign w:val="center"/>
          </w:tcPr>
          <w:p w14:paraId="4E63493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13FD5C9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0F22DAED">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75A00E63">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62</w:t>
            </w:r>
          </w:p>
        </w:tc>
        <w:tc>
          <w:tcPr>
            <w:tcW w:w="1234" w:type="dxa"/>
            <w:vMerge w:val="continue"/>
            <w:tcBorders>
              <w:top w:val="nil"/>
              <w:left w:val="single" w:color="auto" w:sz="4" w:space="0"/>
              <w:bottom w:val="single" w:color="auto" w:sz="4" w:space="0"/>
              <w:right w:val="single" w:color="auto" w:sz="4" w:space="0"/>
            </w:tcBorders>
            <w:vAlign w:val="center"/>
          </w:tcPr>
          <w:p w14:paraId="09911671">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1353EB4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任务追踪</w:t>
            </w:r>
          </w:p>
        </w:tc>
        <w:tc>
          <w:tcPr>
            <w:tcW w:w="3286" w:type="dxa"/>
            <w:tcBorders>
              <w:top w:val="nil"/>
              <w:left w:val="nil"/>
              <w:bottom w:val="single" w:color="auto" w:sz="4" w:space="0"/>
              <w:right w:val="single" w:color="auto" w:sz="4" w:space="0"/>
            </w:tcBorders>
            <w:shd w:val="clear" w:color="auto" w:fill="auto"/>
            <w:vAlign w:val="center"/>
          </w:tcPr>
          <w:p w14:paraId="4615805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任务分类管理</w:t>
            </w:r>
          </w:p>
        </w:tc>
        <w:tc>
          <w:tcPr>
            <w:tcW w:w="1418" w:type="dxa"/>
            <w:tcBorders>
              <w:top w:val="nil"/>
              <w:left w:val="nil"/>
              <w:bottom w:val="single" w:color="auto" w:sz="4" w:space="0"/>
              <w:right w:val="single" w:color="auto" w:sz="4" w:space="0"/>
            </w:tcBorders>
            <w:shd w:val="clear" w:color="auto" w:fill="auto"/>
            <w:vAlign w:val="center"/>
          </w:tcPr>
          <w:p w14:paraId="06488BB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10EE9E1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6CDE0C46">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C9A3199">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63</w:t>
            </w:r>
          </w:p>
        </w:tc>
        <w:tc>
          <w:tcPr>
            <w:tcW w:w="1234" w:type="dxa"/>
            <w:vMerge w:val="continue"/>
            <w:tcBorders>
              <w:top w:val="nil"/>
              <w:left w:val="single" w:color="auto" w:sz="4" w:space="0"/>
              <w:bottom w:val="single" w:color="auto" w:sz="4" w:space="0"/>
              <w:right w:val="single" w:color="auto" w:sz="4" w:space="0"/>
            </w:tcBorders>
            <w:vAlign w:val="center"/>
          </w:tcPr>
          <w:p w14:paraId="28BA3916">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97B4CAC">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629969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任务预案化管理</w:t>
            </w:r>
          </w:p>
        </w:tc>
        <w:tc>
          <w:tcPr>
            <w:tcW w:w="1418" w:type="dxa"/>
            <w:tcBorders>
              <w:top w:val="nil"/>
              <w:left w:val="nil"/>
              <w:bottom w:val="single" w:color="auto" w:sz="4" w:space="0"/>
              <w:right w:val="single" w:color="auto" w:sz="4" w:space="0"/>
            </w:tcBorders>
            <w:shd w:val="clear" w:color="auto" w:fill="auto"/>
            <w:vAlign w:val="center"/>
          </w:tcPr>
          <w:p w14:paraId="52FA4B4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6DBFFF7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249938EF">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0F95A3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64</w:t>
            </w:r>
          </w:p>
        </w:tc>
        <w:tc>
          <w:tcPr>
            <w:tcW w:w="1234" w:type="dxa"/>
            <w:vMerge w:val="continue"/>
            <w:tcBorders>
              <w:top w:val="nil"/>
              <w:left w:val="single" w:color="auto" w:sz="4" w:space="0"/>
              <w:bottom w:val="single" w:color="auto" w:sz="4" w:space="0"/>
              <w:right w:val="single" w:color="auto" w:sz="4" w:space="0"/>
            </w:tcBorders>
            <w:vAlign w:val="center"/>
          </w:tcPr>
          <w:p w14:paraId="5A55485E">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E78A267">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66DDE23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任务安排管理</w:t>
            </w:r>
          </w:p>
        </w:tc>
        <w:tc>
          <w:tcPr>
            <w:tcW w:w="1418" w:type="dxa"/>
            <w:tcBorders>
              <w:top w:val="nil"/>
              <w:left w:val="nil"/>
              <w:bottom w:val="single" w:color="auto" w:sz="4" w:space="0"/>
              <w:right w:val="single" w:color="auto" w:sz="4" w:space="0"/>
            </w:tcBorders>
            <w:shd w:val="clear" w:color="auto" w:fill="auto"/>
            <w:vAlign w:val="center"/>
          </w:tcPr>
          <w:p w14:paraId="056FBD9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5FA117E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0F888F67">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142F231">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65</w:t>
            </w:r>
          </w:p>
        </w:tc>
        <w:tc>
          <w:tcPr>
            <w:tcW w:w="1234" w:type="dxa"/>
            <w:vMerge w:val="continue"/>
            <w:tcBorders>
              <w:top w:val="nil"/>
              <w:left w:val="single" w:color="auto" w:sz="4" w:space="0"/>
              <w:bottom w:val="single" w:color="auto" w:sz="4" w:space="0"/>
              <w:right w:val="single" w:color="auto" w:sz="4" w:space="0"/>
            </w:tcBorders>
            <w:vAlign w:val="center"/>
          </w:tcPr>
          <w:p w14:paraId="36A98D99">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B15FA6F">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1814609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任务反馈跟踪</w:t>
            </w:r>
          </w:p>
        </w:tc>
        <w:tc>
          <w:tcPr>
            <w:tcW w:w="1418" w:type="dxa"/>
            <w:tcBorders>
              <w:top w:val="nil"/>
              <w:left w:val="nil"/>
              <w:bottom w:val="single" w:color="auto" w:sz="4" w:space="0"/>
              <w:right w:val="single" w:color="auto" w:sz="4" w:space="0"/>
            </w:tcBorders>
            <w:shd w:val="clear" w:color="auto" w:fill="auto"/>
            <w:vAlign w:val="center"/>
          </w:tcPr>
          <w:p w14:paraId="1237CFF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5B09FA1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69FBD9FA">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44B9228">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66</w:t>
            </w:r>
          </w:p>
        </w:tc>
        <w:tc>
          <w:tcPr>
            <w:tcW w:w="1234" w:type="dxa"/>
            <w:vMerge w:val="continue"/>
            <w:tcBorders>
              <w:top w:val="nil"/>
              <w:left w:val="single" w:color="auto" w:sz="4" w:space="0"/>
              <w:bottom w:val="single" w:color="auto" w:sz="4" w:space="0"/>
              <w:right w:val="single" w:color="auto" w:sz="4" w:space="0"/>
            </w:tcBorders>
            <w:vAlign w:val="center"/>
          </w:tcPr>
          <w:p w14:paraId="46E08F49">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32EFE439">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1852224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任务统计分析管理</w:t>
            </w:r>
          </w:p>
        </w:tc>
        <w:tc>
          <w:tcPr>
            <w:tcW w:w="1418" w:type="dxa"/>
            <w:tcBorders>
              <w:top w:val="nil"/>
              <w:left w:val="nil"/>
              <w:bottom w:val="single" w:color="auto" w:sz="4" w:space="0"/>
              <w:right w:val="single" w:color="auto" w:sz="4" w:space="0"/>
            </w:tcBorders>
            <w:shd w:val="clear" w:color="auto" w:fill="auto"/>
            <w:vAlign w:val="center"/>
          </w:tcPr>
          <w:p w14:paraId="019BC77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4093675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2383B2DA">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7F3C65D8">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67</w:t>
            </w:r>
          </w:p>
        </w:tc>
        <w:tc>
          <w:tcPr>
            <w:tcW w:w="1234" w:type="dxa"/>
            <w:vMerge w:val="continue"/>
            <w:tcBorders>
              <w:top w:val="nil"/>
              <w:left w:val="single" w:color="auto" w:sz="4" w:space="0"/>
              <w:bottom w:val="single" w:color="auto" w:sz="4" w:space="0"/>
              <w:right w:val="single" w:color="auto" w:sz="4" w:space="0"/>
            </w:tcBorders>
            <w:vAlign w:val="center"/>
          </w:tcPr>
          <w:p w14:paraId="2DF8830B">
            <w:pPr>
              <w:adjustRightInd w:val="0"/>
              <w:snapToGrid w:val="0"/>
              <w:rPr>
                <w:rFonts w:ascii="Times New Roman" w:hAnsi="Times New Roman" w:eastAsia="宋体" w:cs="Times New Roman"/>
                <w:color w:val="auto"/>
                <w:sz w:val="24"/>
                <w:szCs w:val="21"/>
              </w:rPr>
            </w:pPr>
          </w:p>
        </w:tc>
        <w:tc>
          <w:tcPr>
            <w:tcW w:w="969" w:type="dxa"/>
            <w:tcBorders>
              <w:top w:val="nil"/>
              <w:left w:val="nil"/>
              <w:bottom w:val="single" w:color="auto" w:sz="4" w:space="0"/>
              <w:right w:val="single" w:color="auto" w:sz="4" w:space="0"/>
            </w:tcBorders>
            <w:shd w:val="clear" w:color="auto" w:fill="auto"/>
            <w:vAlign w:val="center"/>
          </w:tcPr>
          <w:p w14:paraId="520B15F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形势研判</w:t>
            </w:r>
          </w:p>
        </w:tc>
        <w:tc>
          <w:tcPr>
            <w:tcW w:w="3286" w:type="dxa"/>
            <w:tcBorders>
              <w:top w:val="nil"/>
              <w:left w:val="nil"/>
              <w:bottom w:val="single" w:color="auto" w:sz="4" w:space="0"/>
              <w:right w:val="single" w:color="auto" w:sz="4" w:space="0"/>
            </w:tcBorders>
            <w:shd w:val="clear" w:color="auto" w:fill="auto"/>
            <w:vAlign w:val="center"/>
          </w:tcPr>
          <w:p w14:paraId="0F672EF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形势研判</w:t>
            </w:r>
          </w:p>
        </w:tc>
        <w:tc>
          <w:tcPr>
            <w:tcW w:w="1418" w:type="dxa"/>
            <w:tcBorders>
              <w:top w:val="nil"/>
              <w:left w:val="nil"/>
              <w:bottom w:val="single" w:color="auto" w:sz="4" w:space="0"/>
              <w:right w:val="single" w:color="auto" w:sz="4" w:space="0"/>
            </w:tcBorders>
            <w:shd w:val="clear" w:color="auto" w:fill="auto"/>
            <w:vAlign w:val="center"/>
          </w:tcPr>
          <w:p w14:paraId="46C3AB0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6CA53D5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22F8CDEA">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60A67FA">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68</w:t>
            </w:r>
          </w:p>
        </w:tc>
        <w:tc>
          <w:tcPr>
            <w:tcW w:w="1234" w:type="dxa"/>
            <w:vMerge w:val="restart"/>
            <w:tcBorders>
              <w:top w:val="nil"/>
              <w:left w:val="single" w:color="auto" w:sz="4" w:space="0"/>
              <w:bottom w:val="single" w:color="auto" w:sz="4" w:space="0"/>
              <w:right w:val="single" w:color="auto" w:sz="4" w:space="0"/>
            </w:tcBorders>
            <w:shd w:val="clear" w:color="auto" w:fill="auto"/>
            <w:vAlign w:val="center"/>
          </w:tcPr>
          <w:p w14:paraId="036326A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应急指挥调度</w:t>
            </w: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1173885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应急值班值守</w:t>
            </w:r>
          </w:p>
        </w:tc>
        <w:tc>
          <w:tcPr>
            <w:tcW w:w="3286" w:type="dxa"/>
            <w:tcBorders>
              <w:top w:val="nil"/>
              <w:left w:val="nil"/>
              <w:bottom w:val="single" w:color="auto" w:sz="4" w:space="0"/>
              <w:right w:val="single" w:color="auto" w:sz="4" w:space="0"/>
            </w:tcBorders>
            <w:shd w:val="clear" w:color="auto" w:fill="auto"/>
            <w:vAlign w:val="center"/>
          </w:tcPr>
          <w:p w14:paraId="35C30FA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事件接报管理</w:t>
            </w:r>
          </w:p>
        </w:tc>
        <w:tc>
          <w:tcPr>
            <w:tcW w:w="1418" w:type="dxa"/>
            <w:tcBorders>
              <w:top w:val="nil"/>
              <w:left w:val="nil"/>
              <w:bottom w:val="single" w:color="auto" w:sz="4" w:space="0"/>
              <w:right w:val="single" w:color="auto" w:sz="4" w:space="0"/>
            </w:tcBorders>
            <w:shd w:val="clear" w:color="auto" w:fill="auto"/>
            <w:vAlign w:val="center"/>
          </w:tcPr>
          <w:p w14:paraId="387E7A8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40EC5C5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65C8BBEB">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5D42619">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69</w:t>
            </w:r>
          </w:p>
        </w:tc>
        <w:tc>
          <w:tcPr>
            <w:tcW w:w="1234" w:type="dxa"/>
            <w:vMerge w:val="continue"/>
            <w:tcBorders>
              <w:top w:val="nil"/>
              <w:left w:val="single" w:color="auto" w:sz="4" w:space="0"/>
              <w:bottom w:val="single" w:color="auto" w:sz="4" w:space="0"/>
              <w:right w:val="single" w:color="auto" w:sz="4" w:space="0"/>
            </w:tcBorders>
            <w:vAlign w:val="center"/>
          </w:tcPr>
          <w:p w14:paraId="00370FD5">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0BB1F68">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0850224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值班通信调度管理</w:t>
            </w:r>
          </w:p>
        </w:tc>
        <w:tc>
          <w:tcPr>
            <w:tcW w:w="1418" w:type="dxa"/>
            <w:tcBorders>
              <w:top w:val="nil"/>
              <w:left w:val="nil"/>
              <w:bottom w:val="single" w:color="auto" w:sz="4" w:space="0"/>
              <w:right w:val="single" w:color="auto" w:sz="4" w:space="0"/>
            </w:tcBorders>
            <w:shd w:val="clear" w:color="auto" w:fill="auto"/>
            <w:vAlign w:val="center"/>
          </w:tcPr>
          <w:p w14:paraId="00E8298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3A1F83F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51221E96">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ECE576B">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70</w:t>
            </w:r>
          </w:p>
        </w:tc>
        <w:tc>
          <w:tcPr>
            <w:tcW w:w="1234" w:type="dxa"/>
            <w:vMerge w:val="continue"/>
            <w:tcBorders>
              <w:top w:val="nil"/>
              <w:left w:val="single" w:color="auto" w:sz="4" w:space="0"/>
              <w:bottom w:val="single" w:color="auto" w:sz="4" w:space="0"/>
              <w:right w:val="single" w:color="auto" w:sz="4" w:space="0"/>
            </w:tcBorders>
            <w:vAlign w:val="center"/>
          </w:tcPr>
          <w:p w14:paraId="6D15C9C2">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2C29725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预案数字化</w:t>
            </w:r>
          </w:p>
        </w:tc>
        <w:tc>
          <w:tcPr>
            <w:tcW w:w="3286" w:type="dxa"/>
            <w:tcBorders>
              <w:top w:val="nil"/>
              <w:left w:val="nil"/>
              <w:bottom w:val="single" w:color="auto" w:sz="4" w:space="0"/>
              <w:right w:val="single" w:color="auto" w:sz="4" w:space="0"/>
            </w:tcBorders>
            <w:shd w:val="clear" w:color="auto" w:fill="auto"/>
            <w:vAlign w:val="center"/>
          </w:tcPr>
          <w:p w14:paraId="01B43CB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预案制作</w:t>
            </w:r>
          </w:p>
        </w:tc>
        <w:tc>
          <w:tcPr>
            <w:tcW w:w="1418" w:type="dxa"/>
            <w:tcBorders>
              <w:top w:val="nil"/>
              <w:left w:val="nil"/>
              <w:bottom w:val="single" w:color="auto" w:sz="4" w:space="0"/>
              <w:right w:val="single" w:color="auto" w:sz="4" w:space="0"/>
            </w:tcBorders>
            <w:shd w:val="clear" w:color="auto" w:fill="auto"/>
            <w:vAlign w:val="center"/>
          </w:tcPr>
          <w:p w14:paraId="67DFBA7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008303C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38090210">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74B83E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71</w:t>
            </w:r>
          </w:p>
        </w:tc>
        <w:tc>
          <w:tcPr>
            <w:tcW w:w="1234" w:type="dxa"/>
            <w:vMerge w:val="continue"/>
            <w:tcBorders>
              <w:top w:val="nil"/>
              <w:left w:val="single" w:color="auto" w:sz="4" w:space="0"/>
              <w:bottom w:val="single" w:color="auto" w:sz="4" w:space="0"/>
              <w:right w:val="single" w:color="auto" w:sz="4" w:space="0"/>
            </w:tcBorders>
            <w:vAlign w:val="center"/>
          </w:tcPr>
          <w:p w14:paraId="1C13C3C7">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681405A">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545F13B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预案管理</w:t>
            </w:r>
          </w:p>
        </w:tc>
        <w:tc>
          <w:tcPr>
            <w:tcW w:w="1418" w:type="dxa"/>
            <w:tcBorders>
              <w:top w:val="nil"/>
              <w:left w:val="nil"/>
              <w:bottom w:val="single" w:color="auto" w:sz="4" w:space="0"/>
              <w:right w:val="single" w:color="auto" w:sz="4" w:space="0"/>
            </w:tcBorders>
            <w:shd w:val="clear" w:color="auto" w:fill="auto"/>
            <w:vAlign w:val="center"/>
          </w:tcPr>
          <w:p w14:paraId="53E1ADE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106A3E5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3D8532F6">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A80EC9E">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72</w:t>
            </w:r>
          </w:p>
        </w:tc>
        <w:tc>
          <w:tcPr>
            <w:tcW w:w="1234" w:type="dxa"/>
            <w:vMerge w:val="continue"/>
            <w:tcBorders>
              <w:top w:val="nil"/>
              <w:left w:val="single" w:color="auto" w:sz="4" w:space="0"/>
              <w:bottom w:val="single" w:color="auto" w:sz="4" w:space="0"/>
              <w:right w:val="single" w:color="auto" w:sz="4" w:space="0"/>
            </w:tcBorders>
            <w:vAlign w:val="center"/>
          </w:tcPr>
          <w:p w14:paraId="13F7F689">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3F8509C2">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02C5862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数字预案管理</w:t>
            </w:r>
          </w:p>
        </w:tc>
        <w:tc>
          <w:tcPr>
            <w:tcW w:w="1418" w:type="dxa"/>
            <w:tcBorders>
              <w:top w:val="nil"/>
              <w:left w:val="nil"/>
              <w:bottom w:val="single" w:color="auto" w:sz="4" w:space="0"/>
              <w:right w:val="single" w:color="auto" w:sz="4" w:space="0"/>
            </w:tcBorders>
            <w:shd w:val="clear" w:color="auto" w:fill="auto"/>
            <w:vAlign w:val="center"/>
          </w:tcPr>
          <w:p w14:paraId="5034941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4E29279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3009878C">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E35B764">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73</w:t>
            </w:r>
          </w:p>
        </w:tc>
        <w:tc>
          <w:tcPr>
            <w:tcW w:w="1234" w:type="dxa"/>
            <w:vMerge w:val="continue"/>
            <w:tcBorders>
              <w:top w:val="nil"/>
              <w:left w:val="single" w:color="auto" w:sz="4" w:space="0"/>
              <w:bottom w:val="single" w:color="auto" w:sz="4" w:space="0"/>
              <w:right w:val="single" w:color="auto" w:sz="4" w:space="0"/>
            </w:tcBorders>
            <w:vAlign w:val="center"/>
          </w:tcPr>
          <w:p w14:paraId="5A748362">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637EAFD">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39E2F4B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预案调度管理</w:t>
            </w:r>
          </w:p>
        </w:tc>
        <w:tc>
          <w:tcPr>
            <w:tcW w:w="1418" w:type="dxa"/>
            <w:tcBorders>
              <w:top w:val="nil"/>
              <w:left w:val="nil"/>
              <w:bottom w:val="single" w:color="auto" w:sz="4" w:space="0"/>
              <w:right w:val="single" w:color="auto" w:sz="4" w:space="0"/>
            </w:tcBorders>
            <w:shd w:val="clear" w:color="auto" w:fill="auto"/>
            <w:vAlign w:val="center"/>
          </w:tcPr>
          <w:p w14:paraId="3CD9E97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2EF7E0B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10CCA096">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DFF17A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74</w:t>
            </w:r>
          </w:p>
        </w:tc>
        <w:tc>
          <w:tcPr>
            <w:tcW w:w="1234" w:type="dxa"/>
            <w:vMerge w:val="continue"/>
            <w:tcBorders>
              <w:top w:val="nil"/>
              <w:left w:val="single" w:color="auto" w:sz="4" w:space="0"/>
              <w:bottom w:val="single" w:color="auto" w:sz="4" w:space="0"/>
              <w:right w:val="single" w:color="auto" w:sz="4" w:space="0"/>
            </w:tcBorders>
            <w:vAlign w:val="center"/>
          </w:tcPr>
          <w:p w14:paraId="27B6C806">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9FB393E">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8CA591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预案专家系统</w:t>
            </w:r>
          </w:p>
        </w:tc>
        <w:tc>
          <w:tcPr>
            <w:tcW w:w="1418" w:type="dxa"/>
            <w:tcBorders>
              <w:top w:val="nil"/>
              <w:left w:val="nil"/>
              <w:bottom w:val="single" w:color="auto" w:sz="4" w:space="0"/>
              <w:right w:val="single" w:color="auto" w:sz="4" w:space="0"/>
            </w:tcBorders>
            <w:shd w:val="clear" w:color="auto" w:fill="auto"/>
            <w:vAlign w:val="center"/>
          </w:tcPr>
          <w:p w14:paraId="674CC4F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06D70BB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1DCA9F42">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76E02D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75</w:t>
            </w:r>
          </w:p>
        </w:tc>
        <w:tc>
          <w:tcPr>
            <w:tcW w:w="1234" w:type="dxa"/>
            <w:vMerge w:val="continue"/>
            <w:tcBorders>
              <w:top w:val="nil"/>
              <w:left w:val="single" w:color="auto" w:sz="4" w:space="0"/>
              <w:bottom w:val="single" w:color="auto" w:sz="4" w:space="0"/>
              <w:right w:val="single" w:color="auto" w:sz="4" w:space="0"/>
            </w:tcBorders>
            <w:vAlign w:val="center"/>
          </w:tcPr>
          <w:p w14:paraId="256FF2B9">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74B4A26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应急资源一张图</w:t>
            </w:r>
          </w:p>
        </w:tc>
        <w:tc>
          <w:tcPr>
            <w:tcW w:w="3286" w:type="dxa"/>
            <w:tcBorders>
              <w:top w:val="nil"/>
              <w:left w:val="nil"/>
              <w:bottom w:val="single" w:color="auto" w:sz="4" w:space="0"/>
              <w:right w:val="single" w:color="auto" w:sz="4" w:space="0"/>
            </w:tcBorders>
            <w:shd w:val="clear" w:color="auto" w:fill="auto"/>
            <w:vAlign w:val="center"/>
          </w:tcPr>
          <w:p w14:paraId="21F00CE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应急资源标准规范建设</w:t>
            </w:r>
          </w:p>
        </w:tc>
        <w:tc>
          <w:tcPr>
            <w:tcW w:w="1418" w:type="dxa"/>
            <w:tcBorders>
              <w:top w:val="nil"/>
              <w:left w:val="nil"/>
              <w:bottom w:val="single" w:color="auto" w:sz="4" w:space="0"/>
              <w:right w:val="single" w:color="auto" w:sz="4" w:space="0"/>
            </w:tcBorders>
            <w:shd w:val="clear" w:color="auto" w:fill="auto"/>
            <w:vAlign w:val="center"/>
          </w:tcPr>
          <w:p w14:paraId="28E436C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009A72C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4D48207A">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5B9393A">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76</w:t>
            </w:r>
          </w:p>
        </w:tc>
        <w:tc>
          <w:tcPr>
            <w:tcW w:w="1234" w:type="dxa"/>
            <w:vMerge w:val="continue"/>
            <w:tcBorders>
              <w:top w:val="nil"/>
              <w:left w:val="single" w:color="auto" w:sz="4" w:space="0"/>
              <w:bottom w:val="single" w:color="auto" w:sz="4" w:space="0"/>
              <w:right w:val="single" w:color="auto" w:sz="4" w:space="0"/>
            </w:tcBorders>
            <w:vAlign w:val="center"/>
          </w:tcPr>
          <w:p w14:paraId="41B2D2CD">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7839926">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317F837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数据采集与数据整合</w:t>
            </w:r>
          </w:p>
        </w:tc>
        <w:tc>
          <w:tcPr>
            <w:tcW w:w="1418" w:type="dxa"/>
            <w:tcBorders>
              <w:top w:val="nil"/>
              <w:left w:val="nil"/>
              <w:bottom w:val="single" w:color="auto" w:sz="4" w:space="0"/>
              <w:right w:val="single" w:color="auto" w:sz="4" w:space="0"/>
            </w:tcBorders>
            <w:shd w:val="clear" w:color="auto" w:fill="auto"/>
            <w:vAlign w:val="center"/>
          </w:tcPr>
          <w:p w14:paraId="04245CF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73B51ED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5F07729F">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9DB2BF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77</w:t>
            </w:r>
          </w:p>
        </w:tc>
        <w:tc>
          <w:tcPr>
            <w:tcW w:w="1234" w:type="dxa"/>
            <w:vMerge w:val="continue"/>
            <w:tcBorders>
              <w:top w:val="nil"/>
              <w:left w:val="single" w:color="auto" w:sz="4" w:space="0"/>
              <w:bottom w:val="single" w:color="auto" w:sz="4" w:space="0"/>
              <w:right w:val="single" w:color="auto" w:sz="4" w:space="0"/>
            </w:tcBorders>
            <w:vAlign w:val="center"/>
          </w:tcPr>
          <w:p w14:paraId="4BDD1736">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A68EEC2">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9239CA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数据服务发布及管理</w:t>
            </w:r>
          </w:p>
        </w:tc>
        <w:tc>
          <w:tcPr>
            <w:tcW w:w="1418" w:type="dxa"/>
            <w:tcBorders>
              <w:top w:val="nil"/>
              <w:left w:val="nil"/>
              <w:bottom w:val="single" w:color="auto" w:sz="4" w:space="0"/>
              <w:right w:val="single" w:color="auto" w:sz="4" w:space="0"/>
            </w:tcBorders>
            <w:shd w:val="clear" w:color="auto" w:fill="auto"/>
            <w:vAlign w:val="center"/>
          </w:tcPr>
          <w:p w14:paraId="5947BF5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07BE569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1025F466">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D198305">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78</w:t>
            </w:r>
          </w:p>
        </w:tc>
        <w:tc>
          <w:tcPr>
            <w:tcW w:w="1234" w:type="dxa"/>
            <w:vMerge w:val="continue"/>
            <w:tcBorders>
              <w:top w:val="nil"/>
              <w:left w:val="single" w:color="auto" w:sz="4" w:space="0"/>
              <w:bottom w:val="single" w:color="auto" w:sz="4" w:space="0"/>
              <w:right w:val="single" w:color="auto" w:sz="4" w:space="0"/>
            </w:tcBorders>
            <w:vAlign w:val="center"/>
          </w:tcPr>
          <w:p w14:paraId="12E7ADCC">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7FDDCC8B">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01371F7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资源数据展示应用</w:t>
            </w:r>
          </w:p>
        </w:tc>
        <w:tc>
          <w:tcPr>
            <w:tcW w:w="1418" w:type="dxa"/>
            <w:tcBorders>
              <w:top w:val="nil"/>
              <w:left w:val="nil"/>
              <w:bottom w:val="single" w:color="auto" w:sz="4" w:space="0"/>
              <w:right w:val="single" w:color="auto" w:sz="4" w:space="0"/>
            </w:tcBorders>
            <w:shd w:val="clear" w:color="auto" w:fill="auto"/>
            <w:vAlign w:val="center"/>
          </w:tcPr>
          <w:p w14:paraId="6D2C8F6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7B56EFD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69079BDE">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321534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79</w:t>
            </w:r>
          </w:p>
        </w:tc>
        <w:tc>
          <w:tcPr>
            <w:tcW w:w="1234" w:type="dxa"/>
            <w:vMerge w:val="continue"/>
            <w:tcBorders>
              <w:top w:val="nil"/>
              <w:left w:val="single" w:color="auto" w:sz="4" w:space="0"/>
              <w:bottom w:val="single" w:color="auto" w:sz="4" w:space="0"/>
              <w:right w:val="single" w:color="auto" w:sz="4" w:space="0"/>
            </w:tcBorders>
            <w:vAlign w:val="center"/>
          </w:tcPr>
          <w:p w14:paraId="36582965">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0394BF9">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BC6686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应急资源基础悉心维护</w:t>
            </w:r>
          </w:p>
        </w:tc>
        <w:tc>
          <w:tcPr>
            <w:tcW w:w="1418" w:type="dxa"/>
            <w:tcBorders>
              <w:top w:val="nil"/>
              <w:left w:val="nil"/>
              <w:bottom w:val="single" w:color="auto" w:sz="4" w:space="0"/>
              <w:right w:val="single" w:color="auto" w:sz="4" w:space="0"/>
            </w:tcBorders>
            <w:shd w:val="clear" w:color="auto" w:fill="auto"/>
            <w:vAlign w:val="center"/>
          </w:tcPr>
          <w:p w14:paraId="1E1F2C9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5B65BF9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3C356C5F">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E75D32F">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80</w:t>
            </w:r>
          </w:p>
        </w:tc>
        <w:tc>
          <w:tcPr>
            <w:tcW w:w="1234" w:type="dxa"/>
            <w:vMerge w:val="continue"/>
            <w:tcBorders>
              <w:top w:val="nil"/>
              <w:left w:val="single" w:color="auto" w:sz="4" w:space="0"/>
              <w:bottom w:val="single" w:color="auto" w:sz="4" w:space="0"/>
              <w:right w:val="single" w:color="auto" w:sz="4" w:space="0"/>
            </w:tcBorders>
            <w:vAlign w:val="center"/>
          </w:tcPr>
          <w:p w14:paraId="501BA09D">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5E52BADF">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3266C4D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应急资源展示检索服务</w:t>
            </w:r>
          </w:p>
        </w:tc>
        <w:tc>
          <w:tcPr>
            <w:tcW w:w="1418" w:type="dxa"/>
            <w:tcBorders>
              <w:top w:val="nil"/>
              <w:left w:val="nil"/>
              <w:bottom w:val="single" w:color="auto" w:sz="4" w:space="0"/>
              <w:right w:val="single" w:color="auto" w:sz="4" w:space="0"/>
            </w:tcBorders>
            <w:shd w:val="clear" w:color="auto" w:fill="auto"/>
            <w:vAlign w:val="center"/>
          </w:tcPr>
          <w:p w14:paraId="5BBFF38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容器化改造</w:t>
            </w:r>
          </w:p>
        </w:tc>
        <w:tc>
          <w:tcPr>
            <w:tcW w:w="1012" w:type="dxa"/>
            <w:tcBorders>
              <w:top w:val="nil"/>
              <w:left w:val="nil"/>
              <w:bottom w:val="single" w:color="auto" w:sz="4" w:space="0"/>
              <w:right w:val="single" w:color="auto" w:sz="4" w:space="0"/>
            </w:tcBorders>
            <w:shd w:val="clear" w:color="auto" w:fill="auto"/>
          </w:tcPr>
          <w:p w14:paraId="58010FD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原有功能改造</w:t>
            </w:r>
          </w:p>
        </w:tc>
      </w:tr>
      <w:tr w14:paraId="08F60029">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3C634CB">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81</w:t>
            </w:r>
          </w:p>
        </w:tc>
        <w:tc>
          <w:tcPr>
            <w:tcW w:w="1234" w:type="dxa"/>
            <w:vMerge w:val="continue"/>
            <w:tcBorders>
              <w:top w:val="nil"/>
              <w:left w:val="single" w:color="auto" w:sz="4" w:space="0"/>
              <w:bottom w:val="single" w:color="auto" w:sz="4" w:space="0"/>
              <w:right w:val="single" w:color="auto" w:sz="4" w:space="0"/>
            </w:tcBorders>
            <w:vAlign w:val="center"/>
          </w:tcPr>
          <w:p w14:paraId="46A2C927">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0C532FB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应急处置-预防准备</w:t>
            </w:r>
          </w:p>
        </w:tc>
        <w:tc>
          <w:tcPr>
            <w:tcW w:w="3286" w:type="dxa"/>
            <w:tcBorders>
              <w:top w:val="nil"/>
              <w:left w:val="nil"/>
              <w:bottom w:val="single" w:color="auto" w:sz="4" w:space="0"/>
              <w:right w:val="single" w:color="auto" w:sz="4" w:space="0"/>
            </w:tcBorders>
            <w:shd w:val="clear" w:color="auto" w:fill="auto"/>
            <w:vAlign w:val="center"/>
          </w:tcPr>
          <w:p w14:paraId="40F1B9B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风险预警-预警数据汇聚</w:t>
            </w:r>
          </w:p>
        </w:tc>
        <w:tc>
          <w:tcPr>
            <w:tcW w:w="1418" w:type="dxa"/>
            <w:tcBorders>
              <w:top w:val="nil"/>
              <w:left w:val="nil"/>
              <w:bottom w:val="single" w:color="auto" w:sz="4" w:space="0"/>
              <w:right w:val="single" w:color="auto" w:sz="4" w:space="0"/>
            </w:tcBorders>
            <w:shd w:val="clear" w:color="auto" w:fill="auto"/>
            <w:vAlign w:val="center"/>
          </w:tcPr>
          <w:p w14:paraId="0712A45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restart"/>
            <w:tcBorders>
              <w:top w:val="nil"/>
              <w:left w:val="single" w:color="auto" w:sz="4" w:space="0"/>
              <w:bottom w:val="single" w:color="auto" w:sz="4" w:space="0"/>
              <w:right w:val="single" w:color="auto" w:sz="4" w:space="0"/>
            </w:tcBorders>
            <w:shd w:val="clear" w:color="auto" w:fill="auto"/>
            <w:vAlign w:val="center"/>
          </w:tcPr>
          <w:p w14:paraId="713BFDE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基于住建部建设指南，完善城综平台应急事件处置体系</w:t>
            </w:r>
          </w:p>
        </w:tc>
      </w:tr>
      <w:tr w14:paraId="2DC38AAB">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0175C4A">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82</w:t>
            </w:r>
          </w:p>
        </w:tc>
        <w:tc>
          <w:tcPr>
            <w:tcW w:w="1234" w:type="dxa"/>
            <w:vMerge w:val="continue"/>
            <w:tcBorders>
              <w:top w:val="nil"/>
              <w:left w:val="single" w:color="auto" w:sz="4" w:space="0"/>
              <w:bottom w:val="single" w:color="auto" w:sz="4" w:space="0"/>
              <w:right w:val="single" w:color="auto" w:sz="4" w:space="0"/>
            </w:tcBorders>
            <w:vAlign w:val="center"/>
          </w:tcPr>
          <w:p w14:paraId="12A7AC8E">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4EF8AEC">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0775F36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风险预警-风险预警设置</w:t>
            </w:r>
          </w:p>
        </w:tc>
        <w:tc>
          <w:tcPr>
            <w:tcW w:w="1418" w:type="dxa"/>
            <w:tcBorders>
              <w:top w:val="nil"/>
              <w:left w:val="nil"/>
              <w:bottom w:val="single" w:color="auto" w:sz="4" w:space="0"/>
              <w:right w:val="single" w:color="auto" w:sz="4" w:space="0"/>
            </w:tcBorders>
            <w:shd w:val="clear" w:color="auto" w:fill="auto"/>
            <w:vAlign w:val="center"/>
          </w:tcPr>
          <w:p w14:paraId="65599A9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60162353">
            <w:pPr>
              <w:adjustRightInd w:val="0"/>
              <w:snapToGrid w:val="0"/>
              <w:rPr>
                <w:rFonts w:ascii="Times New Roman" w:hAnsi="Times New Roman" w:eastAsia="宋体" w:cs="Times New Roman"/>
                <w:color w:val="auto"/>
                <w:sz w:val="24"/>
                <w:szCs w:val="21"/>
              </w:rPr>
            </w:pPr>
          </w:p>
        </w:tc>
      </w:tr>
      <w:tr w14:paraId="66CF8702">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E939C4B">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83</w:t>
            </w:r>
          </w:p>
        </w:tc>
        <w:tc>
          <w:tcPr>
            <w:tcW w:w="1234" w:type="dxa"/>
            <w:vMerge w:val="continue"/>
            <w:tcBorders>
              <w:top w:val="nil"/>
              <w:left w:val="single" w:color="auto" w:sz="4" w:space="0"/>
              <w:bottom w:val="single" w:color="auto" w:sz="4" w:space="0"/>
              <w:right w:val="single" w:color="auto" w:sz="4" w:space="0"/>
            </w:tcBorders>
            <w:vAlign w:val="center"/>
          </w:tcPr>
          <w:p w14:paraId="6A93C26E">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032B7A0">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354691F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风险预警-风险预警发布</w:t>
            </w:r>
          </w:p>
        </w:tc>
        <w:tc>
          <w:tcPr>
            <w:tcW w:w="1418" w:type="dxa"/>
            <w:tcBorders>
              <w:top w:val="nil"/>
              <w:left w:val="nil"/>
              <w:bottom w:val="single" w:color="auto" w:sz="4" w:space="0"/>
              <w:right w:val="single" w:color="auto" w:sz="4" w:space="0"/>
            </w:tcBorders>
            <w:shd w:val="clear" w:color="auto" w:fill="auto"/>
            <w:vAlign w:val="center"/>
          </w:tcPr>
          <w:p w14:paraId="19D6FEE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2558B253">
            <w:pPr>
              <w:adjustRightInd w:val="0"/>
              <w:snapToGrid w:val="0"/>
              <w:rPr>
                <w:rFonts w:ascii="Times New Roman" w:hAnsi="Times New Roman" w:eastAsia="宋体" w:cs="Times New Roman"/>
                <w:color w:val="auto"/>
                <w:sz w:val="24"/>
                <w:szCs w:val="21"/>
              </w:rPr>
            </w:pPr>
          </w:p>
        </w:tc>
      </w:tr>
      <w:tr w14:paraId="4DD022D1">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3E72ECF">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84</w:t>
            </w:r>
          </w:p>
        </w:tc>
        <w:tc>
          <w:tcPr>
            <w:tcW w:w="1234" w:type="dxa"/>
            <w:vMerge w:val="continue"/>
            <w:tcBorders>
              <w:top w:val="nil"/>
              <w:left w:val="single" w:color="auto" w:sz="4" w:space="0"/>
              <w:bottom w:val="single" w:color="auto" w:sz="4" w:space="0"/>
              <w:right w:val="single" w:color="auto" w:sz="4" w:space="0"/>
            </w:tcBorders>
            <w:vAlign w:val="center"/>
          </w:tcPr>
          <w:p w14:paraId="0E60C395">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4B738547">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558FDBE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风险预警-预警防范响应</w:t>
            </w:r>
          </w:p>
        </w:tc>
        <w:tc>
          <w:tcPr>
            <w:tcW w:w="1418" w:type="dxa"/>
            <w:tcBorders>
              <w:top w:val="nil"/>
              <w:left w:val="nil"/>
              <w:bottom w:val="single" w:color="auto" w:sz="4" w:space="0"/>
              <w:right w:val="single" w:color="auto" w:sz="4" w:space="0"/>
            </w:tcBorders>
            <w:shd w:val="clear" w:color="auto" w:fill="auto"/>
            <w:vAlign w:val="center"/>
          </w:tcPr>
          <w:p w14:paraId="7A97A81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7AF2982E">
            <w:pPr>
              <w:adjustRightInd w:val="0"/>
              <w:snapToGrid w:val="0"/>
              <w:rPr>
                <w:rFonts w:ascii="Times New Roman" w:hAnsi="Times New Roman" w:eastAsia="宋体" w:cs="Times New Roman"/>
                <w:color w:val="auto"/>
                <w:sz w:val="24"/>
                <w:szCs w:val="21"/>
              </w:rPr>
            </w:pPr>
          </w:p>
        </w:tc>
      </w:tr>
      <w:tr w14:paraId="4C4C8556">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B98B075">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85</w:t>
            </w:r>
          </w:p>
        </w:tc>
        <w:tc>
          <w:tcPr>
            <w:tcW w:w="1234" w:type="dxa"/>
            <w:vMerge w:val="continue"/>
            <w:tcBorders>
              <w:top w:val="nil"/>
              <w:left w:val="single" w:color="auto" w:sz="4" w:space="0"/>
              <w:bottom w:val="single" w:color="auto" w:sz="4" w:space="0"/>
              <w:right w:val="single" w:color="auto" w:sz="4" w:space="0"/>
            </w:tcBorders>
            <w:vAlign w:val="center"/>
          </w:tcPr>
          <w:p w14:paraId="1D8E7647">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51163DF4">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736435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值守管理-值班排班管理</w:t>
            </w:r>
          </w:p>
        </w:tc>
        <w:tc>
          <w:tcPr>
            <w:tcW w:w="1418" w:type="dxa"/>
            <w:tcBorders>
              <w:top w:val="nil"/>
              <w:left w:val="nil"/>
              <w:bottom w:val="single" w:color="auto" w:sz="4" w:space="0"/>
              <w:right w:val="single" w:color="auto" w:sz="4" w:space="0"/>
            </w:tcBorders>
            <w:shd w:val="clear" w:color="auto" w:fill="auto"/>
            <w:vAlign w:val="center"/>
          </w:tcPr>
          <w:p w14:paraId="2DD8F72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25E524B3">
            <w:pPr>
              <w:adjustRightInd w:val="0"/>
              <w:snapToGrid w:val="0"/>
              <w:rPr>
                <w:rFonts w:ascii="Times New Roman" w:hAnsi="Times New Roman" w:eastAsia="宋体" w:cs="Times New Roman"/>
                <w:color w:val="auto"/>
                <w:sz w:val="24"/>
                <w:szCs w:val="21"/>
              </w:rPr>
            </w:pPr>
          </w:p>
        </w:tc>
      </w:tr>
      <w:tr w14:paraId="76DD3197">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1C2B890">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86</w:t>
            </w:r>
          </w:p>
        </w:tc>
        <w:tc>
          <w:tcPr>
            <w:tcW w:w="1234" w:type="dxa"/>
            <w:vMerge w:val="continue"/>
            <w:tcBorders>
              <w:top w:val="nil"/>
              <w:left w:val="single" w:color="auto" w:sz="4" w:space="0"/>
              <w:bottom w:val="single" w:color="auto" w:sz="4" w:space="0"/>
              <w:right w:val="single" w:color="auto" w:sz="4" w:space="0"/>
            </w:tcBorders>
            <w:vAlign w:val="center"/>
          </w:tcPr>
          <w:p w14:paraId="76B90A2C">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3C91936C">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62FCD40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值守管理-值班日志管理</w:t>
            </w:r>
          </w:p>
        </w:tc>
        <w:tc>
          <w:tcPr>
            <w:tcW w:w="1418" w:type="dxa"/>
            <w:tcBorders>
              <w:top w:val="nil"/>
              <w:left w:val="nil"/>
              <w:bottom w:val="single" w:color="auto" w:sz="4" w:space="0"/>
              <w:right w:val="single" w:color="auto" w:sz="4" w:space="0"/>
            </w:tcBorders>
            <w:shd w:val="clear" w:color="auto" w:fill="auto"/>
            <w:vAlign w:val="center"/>
          </w:tcPr>
          <w:p w14:paraId="370800C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04B2EA3E">
            <w:pPr>
              <w:adjustRightInd w:val="0"/>
              <w:snapToGrid w:val="0"/>
              <w:rPr>
                <w:rFonts w:ascii="Times New Roman" w:hAnsi="Times New Roman" w:eastAsia="宋体" w:cs="Times New Roman"/>
                <w:color w:val="auto"/>
                <w:sz w:val="24"/>
                <w:szCs w:val="21"/>
              </w:rPr>
            </w:pPr>
          </w:p>
        </w:tc>
      </w:tr>
      <w:tr w14:paraId="5DBD2445">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460E85B">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87</w:t>
            </w:r>
          </w:p>
        </w:tc>
        <w:tc>
          <w:tcPr>
            <w:tcW w:w="1234" w:type="dxa"/>
            <w:vMerge w:val="continue"/>
            <w:tcBorders>
              <w:top w:val="nil"/>
              <w:left w:val="single" w:color="auto" w:sz="4" w:space="0"/>
              <w:bottom w:val="single" w:color="auto" w:sz="4" w:space="0"/>
              <w:right w:val="single" w:color="auto" w:sz="4" w:space="0"/>
            </w:tcBorders>
            <w:vAlign w:val="center"/>
          </w:tcPr>
          <w:p w14:paraId="7058393B">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3411AB66">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13CCD57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值守管理-待办事项管理</w:t>
            </w:r>
          </w:p>
        </w:tc>
        <w:tc>
          <w:tcPr>
            <w:tcW w:w="1418" w:type="dxa"/>
            <w:tcBorders>
              <w:top w:val="nil"/>
              <w:left w:val="nil"/>
              <w:bottom w:val="single" w:color="auto" w:sz="4" w:space="0"/>
              <w:right w:val="single" w:color="auto" w:sz="4" w:space="0"/>
            </w:tcBorders>
            <w:shd w:val="clear" w:color="auto" w:fill="auto"/>
            <w:vAlign w:val="center"/>
          </w:tcPr>
          <w:p w14:paraId="39093FC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56ACED88">
            <w:pPr>
              <w:adjustRightInd w:val="0"/>
              <w:snapToGrid w:val="0"/>
              <w:rPr>
                <w:rFonts w:ascii="Times New Roman" w:hAnsi="Times New Roman" w:eastAsia="宋体" w:cs="Times New Roman"/>
                <w:color w:val="auto"/>
                <w:sz w:val="24"/>
                <w:szCs w:val="21"/>
              </w:rPr>
            </w:pPr>
          </w:p>
        </w:tc>
      </w:tr>
      <w:tr w14:paraId="5CFDA07F">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DB35BE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88</w:t>
            </w:r>
          </w:p>
        </w:tc>
        <w:tc>
          <w:tcPr>
            <w:tcW w:w="1234" w:type="dxa"/>
            <w:vMerge w:val="continue"/>
            <w:tcBorders>
              <w:top w:val="nil"/>
              <w:left w:val="single" w:color="auto" w:sz="4" w:space="0"/>
              <w:bottom w:val="single" w:color="auto" w:sz="4" w:space="0"/>
              <w:right w:val="single" w:color="auto" w:sz="4" w:space="0"/>
            </w:tcBorders>
            <w:vAlign w:val="center"/>
          </w:tcPr>
          <w:p w14:paraId="691304EE">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4FE0A4B">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1DFBE8A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值守管理-在线值班管理</w:t>
            </w:r>
          </w:p>
        </w:tc>
        <w:tc>
          <w:tcPr>
            <w:tcW w:w="1418" w:type="dxa"/>
            <w:tcBorders>
              <w:top w:val="nil"/>
              <w:left w:val="nil"/>
              <w:bottom w:val="single" w:color="auto" w:sz="4" w:space="0"/>
              <w:right w:val="single" w:color="auto" w:sz="4" w:space="0"/>
            </w:tcBorders>
            <w:shd w:val="clear" w:color="auto" w:fill="auto"/>
            <w:vAlign w:val="center"/>
          </w:tcPr>
          <w:p w14:paraId="2D00B47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5433AB9C">
            <w:pPr>
              <w:adjustRightInd w:val="0"/>
              <w:snapToGrid w:val="0"/>
              <w:rPr>
                <w:rFonts w:ascii="Times New Roman" w:hAnsi="Times New Roman" w:eastAsia="宋体" w:cs="Times New Roman"/>
                <w:color w:val="auto"/>
                <w:sz w:val="24"/>
                <w:szCs w:val="21"/>
              </w:rPr>
            </w:pPr>
          </w:p>
        </w:tc>
      </w:tr>
      <w:tr w14:paraId="367B115F">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D657EE3">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89</w:t>
            </w:r>
          </w:p>
        </w:tc>
        <w:tc>
          <w:tcPr>
            <w:tcW w:w="1234" w:type="dxa"/>
            <w:vMerge w:val="continue"/>
            <w:tcBorders>
              <w:top w:val="nil"/>
              <w:left w:val="single" w:color="auto" w:sz="4" w:space="0"/>
              <w:bottom w:val="single" w:color="auto" w:sz="4" w:space="0"/>
              <w:right w:val="single" w:color="auto" w:sz="4" w:space="0"/>
            </w:tcBorders>
            <w:vAlign w:val="center"/>
          </w:tcPr>
          <w:p w14:paraId="413A9041">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A3640FA">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52ACE63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值守管理-文档材料管理</w:t>
            </w:r>
          </w:p>
        </w:tc>
        <w:tc>
          <w:tcPr>
            <w:tcW w:w="1418" w:type="dxa"/>
            <w:tcBorders>
              <w:top w:val="nil"/>
              <w:left w:val="nil"/>
              <w:bottom w:val="single" w:color="auto" w:sz="4" w:space="0"/>
              <w:right w:val="single" w:color="auto" w:sz="4" w:space="0"/>
            </w:tcBorders>
            <w:shd w:val="clear" w:color="auto" w:fill="auto"/>
            <w:vAlign w:val="center"/>
          </w:tcPr>
          <w:p w14:paraId="7B6F517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01E052EF">
            <w:pPr>
              <w:adjustRightInd w:val="0"/>
              <w:snapToGrid w:val="0"/>
              <w:rPr>
                <w:rFonts w:ascii="Times New Roman" w:hAnsi="Times New Roman" w:eastAsia="宋体" w:cs="Times New Roman"/>
                <w:color w:val="auto"/>
                <w:sz w:val="24"/>
                <w:szCs w:val="21"/>
              </w:rPr>
            </w:pPr>
          </w:p>
        </w:tc>
      </w:tr>
      <w:tr w14:paraId="7D89FA3A">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74193A1">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90</w:t>
            </w:r>
          </w:p>
        </w:tc>
        <w:tc>
          <w:tcPr>
            <w:tcW w:w="1234" w:type="dxa"/>
            <w:vMerge w:val="continue"/>
            <w:tcBorders>
              <w:top w:val="nil"/>
              <w:left w:val="single" w:color="auto" w:sz="4" w:space="0"/>
              <w:bottom w:val="single" w:color="auto" w:sz="4" w:space="0"/>
              <w:right w:val="single" w:color="auto" w:sz="4" w:space="0"/>
            </w:tcBorders>
            <w:vAlign w:val="center"/>
          </w:tcPr>
          <w:p w14:paraId="09C6D8F2">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364D510E">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1C1DA8F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值守管理-值班统计管理</w:t>
            </w:r>
          </w:p>
        </w:tc>
        <w:tc>
          <w:tcPr>
            <w:tcW w:w="1418" w:type="dxa"/>
            <w:tcBorders>
              <w:top w:val="nil"/>
              <w:left w:val="nil"/>
              <w:bottom w:val="single" w:color="auto" w:sz="4" w:space="0"/>
              <w:right w:val="single" w:color="auto" w:sz="4" w:space="0"/>
            </w:tcBorders>
            <w:shd w:val="clear" w:color="auto" w:fill="auto"/>
            <w:vAlign w:val="center"/>
          </w:tcPr>
          <w:p w14:paraId="0744D98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424F072D">
            <w:pPr>
              <w:adjustRightInd w:val="0"/>
              <w:snapToGrid w:val="0"/>
              <w:rPr>
                <w:rFonts w:ascii="Times New Roman" w:hAnsi="Times New Roman" w:eastAsia="宋体" w:cs="Times New Roman"/>
                <w:color w:val="auto"/>
                <w:sz w:val="24"/>
                <w:szCs w:val="21"/>
              </w:rPr>
            </w:pPr>
          </w:p>
        </w:tc>
      </w:tr>
      <w:tr w14:paraId="01C3FD57">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CA69540">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91</w:t>
            </w:r>
          </w:p>
        </w:tc>
        <w:tc>
          <w:tcPr>
            <w:tcW w:w="1234" w:type="dxa"/>
            <w:vMerge w:val="continue"/>
            <w:tcBorders>
              <w:top w:val="nil"/>
              <w:left w:val="single" w:color="auto" w:sz="4" w:space="0"/>
              <w:bottom w:val="single" w:color="auto" w:sz="4" w:space="0"/>
              <w:right w:val="single" w:color="auto" w:sz="4" w:space="0"/>
            </w:tcBorders>
            <w:vAlign w:val="center"/>
          </w:tcPr>
          <w:p w14:paraId="2847A8BC">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5D2C197B">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180097A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值守管理-通知公告管理</w:t>
            </w:r>
          </w:p>
        </w:tc>
        <w:tc>
          <w:tcPr>
            <w:tcW w:w="1418" w:type="dxa"/>
            <w:tcBorders>
              <w:top w:val="nil"/>
              <w:left w:val="nil"/>
              <w:bottom w:val="single" w:color="auto" w:sz="4" w:space="0"/>
              <w:right w:val="single" w:color="auto" w:sz="4" w:space="0"/>
            </w:tcBorders>
            <w:shd w:val="clear" w:color="auto" w:fill="auto"/>
            <w:vAlign w:val="center"/>
          </w:tcPr>
          <w:p w14:paraId="3A965FB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39F0210E">
            <w:pPr>
              <w:adjustRightInd w:val="0"/>
              <w:snapToGrid w:val="0"/>
              <w:rPr>
                <w:rFonts w:ascii="Times New Roman" w:hAnsi="Times New Roman" w:eastAsia="宋体" w:cs="Times New Roman"/>
                <w:color w:val="auto"/>
                <w:sz w:val="24"/>
                <w:szCs w:val="21"/>
              </w:rPr>
            </w:pPr>
          </w:p>
        </w:tc>
      </w:tr>
      <w:tr w14:paraId="1DED10BC">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0E79013">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92</w:t>
            </w:r>
          </w:p>
        </w:tc>
        <w:tc>
          <w:tcPr>
            <w:tcW w:w="1234" w:type="dxa"/>
            <w:vMerge w:val="continue"/>
            <w:tcBorders>
              <w:top w:val="nil"/>
              <w:left w:val="single" w:color="auto" w:sz="4" w:space="0"/>
              <w:bottom w:val="single" w:color="auto" w:sz="4" w:space="0"/>
              <w:right w:val="single" w:color="auto" w:sz="4" w:space="0"/>
            </w:tcBorders>
            <w:vAlign w:val="center"/>
          </w:tcPr>
          <w:p w14:paraId="399C9C4F">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7F1796E8">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0F4E544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预防演练-演练计划管理</w:t>
            </w:r>
          </w:p>
        </w:tc>
        <w:tc>
          <w:tcPr>
            <w:tcW w:w="1418" w:type="dxa"/>
            <w:tcBorders>
              <w:top w:val="nil"/>
              <w:left w:val="nil"/>
              <w:bottom w:val="single" w:color="auto" w:sz="4" w:space="0"/>
              <w:right w:val="single" w:color="auto" w:sz="4" w:space="0"/>
            </w:tcBorders>
            <w:shd w:val="clear" w:color="auto" w:fill="auto"/>
            <w:vAlign w:val="center"/>
          </w:tcPr>
          <w:p w14:paraId="293E16B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4429ACE3">
            <w:pPr>
              <w:adjustRightInd w:val="0"/>
              <w:snapToGrid w:val="0"/>
              <w:rPr>
                <w:rFonts w:ascii="Times New Roman" w:hAnsi="Times New Roman" w:eastAsia="宋体" w:cs="Times New Roman"/>
                <w:color w:val="auto"/>
                <w:sz w:val="24"/>
                <w:szCs w:val="21"/>
              </w:rPr>
            </w:pPr>
          </w:p>
        </w:tc>
      </w:tr>
      <w:tr w14:paraId="13820D79">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D867364">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93</w:t>
            </w:r>
          </w:p>
        </w:tc>
        <w:tc>
          <w:tcPr>
            <w:tcW w:w="1234" w:type="dxa"/>
            <w:vMerge w:val="continue"/>
            <w:tcBorders>
              <w:top w:val="nil"/>
              <w:left w:val="single" w:color="auto" w:sz="4" w:space="0"/>
              <w:bottom w:val="single" w:color="auto" w:sz="4" w:space="0"/>
              <w:right w:val="single" w:color="auto" w:sz="4" w:space="0"/>
            </w:tcBorders>
            <w:vAlign w:val="center"/>
          </w:tcPr>
          <w:p w14:paraId="32C7DDB8">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E5FC411">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D4A6AF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预防演练-模拟演练场景</w:t>
            </w:r>
          </w:p>
        </w:tc>
        <w:tc>
          <w:tcPr>
            <w:tcW w:w="1418" w:type="dxa"/>
            <w:tcBorders>
              <w:top w:val="nil"/>
              <w:left w:val="nil"/>
              <w:bottom w:val="single" w:color="auto" w:sz="4" w:space="0"/>
              <w:right w:val="single" w:color="auto" w:sz="4" w:space="0"/>
            </w:tcBorders>
            <w:shd w:val="clear" w:color="auto" w:fill="auto"/>
            <w:vAlign w:val="center"/>
          </w:tcPr>
          <w:p w14:paraId="3897B54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7CD0DF52">
            <w:pPr>
              <w:adjustRightInd w:val="0"/>
              <w:snapToGrid w:val="0"/>
              <w:rPr>
                <w:rFonts w:ascii="Times New Roman" w:hAnsi="Times New Roman" w:eastAsia="宋体" w:cs="Times New Roman"/>
                <w:color w:val="auto"/>
                <w:sz w:val="24"/>
                <w:szCs w:val="21"/>
              </w:rPr>
            </w:pPr>
          </w:p>
        </w:tc>
      </w:tr>
      <w:tr w14:paraId="435B3FE9">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7E4243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94</w:t>
            </w:r>
          </w:p>
        </w:tc>
        <w:tc>
          <w:tcPr>
            <w:tcW w:w="1234" w:type="dxa"/>
            <w:vMerge w:val="continue"/>
            <w:tcBorders>
              <w:top w:val="nil"/>
              <w:left w:val="single" w:color="auto" w:sz="4" w:space="0"/>
              <w:bottom w:val="single" w:color="auto" w:sz="4" w:space="0"/>
              <w:right w:val="single" w:color="auto" w:sz="4" w:space="0"/>
            </w:tcBorders>
            <w:vAlign w:val="center"/>
          </w:tcPr>
          <w:p w14:paraId="198BAADA">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1BF3841">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1E5099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预防演练-协同会商演练</w:t>
            </w:r>
          </w:p>
        </w:tc>
        <w:tc>
          <w:tcPr>
            <w:tcW w:w="1418" w:type="dxa"/>
            <w:tcBorders>
              <w:top w:val="nil"/>
              <w:left w:val="nil"/>
              <w:bottom w:val="single" w:color="auto" w:sz="4" w:space="0"/>
              <w:right w:val="single" w:color="auto" w:sz="4" w:space="0"/>
            </w:tcBorders>
            <w:shd w:val="clear" w:color="auto" w:fill="auto"/>
            <w:vAlign w:val="center"/>
          </w:tcPr>
          <w:p w14:paraId="6DC559A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22C39456">
            <w:pPr>
              <w:adjustRightInd w:val="0"/>
              <w:snapToGrid w:val="0"/>
              <w:rPr>
                <w:rFonts w:ascii="Times New Roman" w:hAnsi="Times New Roman" w:eastAsia="宋体" w:cs="Times New Roman"/>
                <w:color w:val="auto"/>
                <w:sz w:val="24"/>
                <w:szCs w:val="21"/>
              </w:rPr>
            </w:pPr>
          </w:p>
        </w:tc>
      </w:tr>
      <w:tr w14:paraId="738AA7B8">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4688CD5">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95</w:t>
            </w:r>
          </w:p>
        </w:tc>
        <w:tc>
          <w:tcPr>
            <w:tcW w:w="1234" w:type="dxa"/>
            <w:vMerge w:val="continue"/>
            <w:tcBorders>
              <w:top w:val="nil"/>
              <w:left w:val="single" w:color="auto" w:sz="4" w:space="0"/>
              <w:bottom w:val="single" w:color="auto" w:sz="4" w:space="0"/>
              <w:right w:val="single" w:color="auto" w:sz="4" w:space="0"/>
            </w:tcBorders>
            <w:vAlign w:val="center"/>
          </w:tcPr>
          <w:p w14:paraId="604E1C13">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624FD259">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EBE977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预防演练-演练评估总结</w:t>
            </w:r>
          </w:p>
        </w:tc>
        <w:tc>
          <w:tcPr>
            <w:tcW w:w="1418" w:type="dxa"/>
            <w:tcBorders>
              <w:top w:val="nil"/>
              <w:left w:val="nil"/>
              <w:bottom w:val="single" w:color="auto" w:sz="4" w:space="0"/>
              <w:right w:val="single" w:color="auto" w:sz="4" w:space="0"/>
            </w:tcBorders>
            <w:shd w:val="clear" w:color="auto" w:fill="auto"/>
            <w:vAlign w:val="center"/>
          </w:tcPr>
          <w:p w14:paraId="7D0E351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20ADDC66">
            <w:pPr>
              <w:adjustRightInd w:val="0"/>
              <w:snapToGrid w:val="0"/>
              <w:rPr>
                <w:rFonts w:ascii="Times New Roman" w:hAnsi="Times New Roman" w:eastAsia="宋体" w:cs="Times New Roman"/>
                <w:color w:val="auto"/>
                <w:sz w:val="24"/>
                <w:szCs w:val="21"/>
              </w:rPr>
            </w:pPr>
          </w:p>
        </w:tc>
      </w:tr>
      <w:tr w14:paraId="729467CC">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575C83A">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96</w:t>
            </w:r>
          </w:p>
        </w:tc>
        <w:tc>
          <w:tcPr>
            <w:tcW w:w="1234" w:type="dxa"/>
            <w:vMerge w:val="continue"/>
            <w:tcBorders>
              <w:top w:val="nil"/>
              <w:left w:val="single" w:color="auto" w:sz="4" w:space="0"/>
              <w:bottom w:val="single" w:color="auto" w:sz="4" w:space="0"/>
              <w:right w:val="single" w:color="auto" w:sz="4" w:space="0"/>
            </w:tcBorders>
            <w:vAlign w:val="center"/>
          </w:tcPr>
          <w:p w14:paraId="5B857983">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61F89342">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59C08AC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预防演练-演练统计分析</w:t>
            </w:r>
          </w:p>
        </w:tc>
        <w:tc>
          <w:tcPr>
            <w:tcW w:w="1418" w:type="dxa"/>
            <w:tcBorders>
              <w:top w:val="nil"/>
              <w:left w:val="nil"/>
              <w:bottom w:val="single" w:color="auto" w:sz="4" w:space="0"/>
              <w:right w:val="single" w:color="auto" w:sz="4" w:space="0"/>
            </w:tcBorders>
            <w:shd w:val="clear" w:color="auto" w:fill="auto"/>
            <w:vAlign w:val="center"/>
          </w:tcPr>
          <w:p w14:paraId="7FBEC8B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160E652F">
            <w:pPr>
              <w:adjustRightInd w:val="0"/>
              <w:snapToGrid w:val="0"/>
              <w:rPr>
                <w:rFonts w:ascii="Times New Roman" w:hAnsi="Times New Roman" w:eastAsia="宋体" w:cs="Times New Roman"/>
                <w:color w:val="auto"/>
                <w:sz w:val="24"/>
                <w:szCs w:val="21"/>
              </w:rPr>
            </w:pPr>
          </w:p>
        </w:tc>
      </w:tr>
      <w:tr w14:paraId="219C1ECB">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FB72AFE">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97</w:t>
            </w:r>
          </w:p>
        </w:tc>
        <w:tc>
          <w:tcPr>
            <w:tcW w:w="1234" w:type="dxa"/>
            <w:vMerge w:val="continue"/>
            <w:tcBorders>
              <w:top w:val="nil"/>
              <w:left w:val="single" w:color="auto" w:sz="4" w:space="0"/>
              <w:bottom w:val="single" w:color="auto" w:sz="4" w:space="0"/>
              <w:right w:val="single" w:color="auto" w:sz="4" w:space="0"/>
            </w:tcBorders>
            <w:vAlign w:val="center"/>
          </w:tcPr>
          <w:p w14:paraId="55495535">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46FD9101">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663EFF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预防演练-演练材料管理</w:t>
            </w:r>
          </w:p>
        </w:tc>
        <w:tc>
          <w:tcPr>
            <w:tcW w:w="1418" w:type="dxa"/>
            <w:tcBorders>
              <w:top w:val="nil"/>
              <w:left w:val="nil"/>
              <w:bottom w:val="single" w:color="auto" w:sz="4" w:space="0"/>
              <w:right w:val="single" w:color="auto" w:sz="4" w:space="0"/>
            </w:tcBorders>
            <w:shd w:val="clear" w:color="auto" w:fill="auto"/>
            <w:vAlign w:val="center"/>
          </w:tcPr>
          <w:p w14:paraId="1718715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171579FA">
            <w:pPr>
              <w:adjustRightInd w:val="0"/>
              <w:snapToGrid w:val="0"/>
              <w:rPr>
                <w:rFonts w:ascii="Times New Roman" w:hAnsi="Times New Roman" w:eastAsia="宋体" w:cs="Times New Roman"/>
                <w:color w:val="auto"/>
                <w:sz w:val="24"/>
                <w:szCs w:val="21"/>
              </w:rPr>
            </w:pPr>
          </w:p>
        </w:tc>
      </w:tr>
      <w:tr w14:paraId="64A7DAD5">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7B5049EE">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98</w:t>
            </w:r>
          </w:p>
        </w:tc>
        <w:tc>
          <w:tcPr>
            <w:tcW w:w="1234" w:type="dxa"/>
            <w:vMerge w:val="continue"/>
            <w:tcBorders>
              <w:top w:val="nil"/>
              <w:left w:val="single" w:color="auto" w:sz="4" w:space="0"/>
              <w:bottom w:val="single" w:color="auto" w:sz="4" w:space="0"/>
              <w:right w:val="single" w:color="auto" w:sz="4" w:space="0"/>
            </w:tcBorders>
            <w:vAlign w:val="center"/>
          </w:tcPr>
          <w:p w14:paraId="09C41C85">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6D746CFB">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6F0997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预防演练-演练交流共享</w:t>
            </w:r>
          </w:p>
        </w:tc>
        <w:tc>
          <w:tcPr>
            <w:tcW w:w="1418" w:type="dxa"/>
            <w:tcBorders>
              <w:top w:val="nil"/>
              <w:left w:val="nil"/>
              <w:bottom w:val="single" w:color="auto" w:sz="4" w:space="0"/>
              <w:right w:val="single" w:color="auto" w:sz="4" w:space="0"/>
            </w:tcBorders>
            <w:shd w:val="clear" w:color="auto" w:fill="auto"/>
            <w:vAlign w:val="center"/>
          </w:tcPr>
          <w:p w14:paraId="6BC782E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01462D52">
            <w:pPr>
              <w:adjustRightInd w:val="0"/>
              <w:snapToGrid w:val="0"/>
              <w:rPr>
                <w:rFonts w:ascii="Times New Roman" w:hAnsi="Times New Roman" w:eastAsia="宋体" w:cs="Times New Roman"/>
                <w:color w:val="auto"/>
                <w:sz w:val="24"/>
                <w:szCs w:val="21"/>
              </w:rPr>
            </w:pPr>
          </w:p>
        </w:tc>
      </w:tr>
      <w:tr w14:paraId="1C91B8F3">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3ACAE0D">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99</w:t>
            </w:r>
          </w:p>
        </w:tc>
        <w:tc>
          <w:tcPr>
            <w:tcW w:w="1234" w:type="dxa"/>
            <w:vMerge w:val="continue"/>
            <w:tcBorders>
              <w:top w:val="nil"/>
              <w:left w:val="single" w:color="auto" w:sz="4" w:space="0"/>
              <w:bottom w:val="single" w:color="auto" w:sz="4" w:space="0"/>
              <w:right w:val="single" w:color="auto" w:sz="4" w:space="0"/>
            </w:tcBorders>
            <w:vAlign w:val="center"/>
          </w:tcPr>
          <w:p w14:paraId="08DE8880">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1FD7787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应急处置-风险评估</w:t>
            </w:r>
          </w:p>
        </w:tc>
        <w:tc>
          <w:tcPr>
            <w:tcW w:w="3286" w:type="dxa"/>
            <w:tcBorders>
              <w:top w:val="nil"/>
              <w:left w:val="nil"/>
              <w:bottom w:val="single" w:color="auto" w:sz="4" w:space="0"/>
              <w:right w:val="single" w:color="auto" w:sz="4" w:space="0"/>
            </w:tcBorders>
            <w:shd w:val="clear" w:color="auto" w:fill="auto"/>
            <w:vAlign w:val="center"/>
          </w:tcPr>
          <w:p w14:paraId="3B49BF7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监控目标管理-防护目标管理</w:t>
            </w:r>
          </w:p>
        </w:tc>
        <w:tc>
          <w:tcPr>
            <w:tcW w:w="1418" w:type="dxa"/>
            <w:tcBorders>
              <w:top w:val="nil"/>
              <w:left w:val="nil"/>
              <w:bottom w:val="single" w:color="auto" w:sz="4" w:space="0"/>
              <w:right w:val="single" w:color="auto" w:sz="4" w:space="0"/>
            </w:tcBorders>
            <w:shd w:val="clear" w:color="auto" w:fill="auto"/>
            <w:vAlign w:val="center"/>
          </w:tcPr>
          <w:p w14:paraId="7B4094E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501DDBA8">
            <w:pPr>
              <w:adjustRightInd w:val="0"/>
              <w:snapToGrid w:val="0"/>
              <w:rPr>
                <w:rFonts w:ascii="Times New Roman" w:hAnsi="Times New Roman" w:eastAsia="宋体" w:cs="Times New Roman"/>
                <w:color w:val="auto"/>
                <w:sz w:val="24"/>
                <w:szCs w:val="21"/>
              </w:rPr>
            </w:pPr>
          </w:p>
        </w:tc>
      </w:tr>
      <w:tr w14:paraId="0F8C62EB">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1B0E0F3">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100</w:t>
            </w:r>
          </w:p>
        </w:tc>
        <w:tc>
          <w:tcPr>
            <w:tcW w:w="1234" w:type="dxa"/>
            <w:vMerge w:val="continue"/>
            <w:tcBorders>
              <w:top w:val="nil"/>
              <w:left w:val="single" w:color="auto" w:sz="4" w:space="0"/>
              <w:bottom w:val="single" w:color="auto" w:sz="4" w:space="0"/>
              <w:right w:val="single" w:color="auto" w:sz="4" w:space="0"/>
            </w:tcBorders>
            <w:vAlign w:val="center"/>
          </w:tcPr>
          <w:p w14:paraId="5E9BDA4B">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37E8EABB">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9B8B5B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监控目标管理-危险源管理</w:t>
            </w:r>
          </w:p>
        </w:tc>
        <w:tc>
          <w:tcPr>
            <w:tcW w:w="1418" w:type="dxa"/>
            <w:tcBorders>
              <w:top w:val="nil"/>
              <w:left w:val="nil"/>
              <w:bottom w:val="single" w:color="auto" w:sz="4" w:space="0"/>
              <w:right w:val="single" w:color="auto" w:sz="4" w:space="0"/>
            </w:tcBorders>
            <w:shd w:val="clear" w:color="auto" w:fill="auto"/>
            <w:vAlign w:val="center"/>
          </w:tcPr>
          <w:p w14:paraId="5C90962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77B88F90">
            <w:pPr>
              <w:adjustRightInd w:val="0"/>
              <w:snapToGrid w:val="0"/>
              <w:rPr>
                <w:rFonts w:ascii="Times New Roman" w:hAnsi="Times New Roman" w:eastAsia="宋体" w:cs="Times New Roman"/>
                <w:color w:val="auto"/>
                <w:sz w:val="24"/>
                <w:szCs w:val="21"/>
              </w:rPr>
            </w:pPr>
          </w:p>
        </w:tc>
      </w:tr>
      <w:tr w14:paraId="00DAC1AC">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337A2FC">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101</w:t>
            </w:r>
          </w:p>
        </w:tc>
        <w:tc>
          <w:tcPr>
            <w:tcW w:w="1234" w:type="dxa"/>
            <w:vMerge w:val="continue"/>
            <w:tcBorders>
              <w:top w:val="nil"/>
              <w:left w:val="single" w:color="auto" w:sz="4" w:space="0"/>
              <w:bottom w:val="single" w:color="auto" w:sz="4" w:space="0"/>
              <w:right w:val="single" w:color="auto" w:sz="4" w:space="0"/>
            </w:tcBorders>
            <w:vAlign w:val="center"/>
          </w:tcPr>
          <w:p w14:paraId="12E152F1">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A988120">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EBDC7B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风险信息查询-风险区划查询</w:t>
            </w:r>
          </w:p>
        </w:tc>
        <w:tc>
          <w:tcPr>
            <w:tcW w:w="1418" w:type="dxa"/>
            <w:tcBorders>
              <w:top w:val="nil"/>
              <w:left w:val="nil"/>
              <w:bottom w:val="single" w:color="auto" w:sz="4" w:space="0"/>
              <w:right w:val="single" w:color="auto" w:sz="4" w:space="0"/>
            </w:tcBorders>
            <w:shd w:val="clear" w:color="auto" w:fill="auto"/>
            <w:vAlign w:val="center"/>
          </w:tcPr>
          <w:p w14:paraId="76D789C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45D000CC">
            <w:pPr>
              <w:adjustRightInd w:val="0"/>
              <w:snapToGrid w:val="0"/>
              <w:rPr>
                <w:rFonts w:ascii="Times New Roman" w:hAnsi="Times New Roman" w:eastAsia="宋体" w:cs="Times New Roman"/>
                <w:color w:val="auto"/>
                <w:sz w:val="24"/>
                <w:szCs w:val="21"/>
              </w:rPr>
            </w:pPr>
          </w:p>
        </w:tc>
      </w:tr>
      <w:tr w14:paraId="1C4A9A9D">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7AC2C9C">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102</w:t>
            </w:r>
          </w:p>
        </w:tc>
        <w:tc>
          <w:tcPr>
            <w:tcW w:w="1234" w:type="dxa"/>
            <w:vMerge w:val="continue"/>
            <w:tcBorders>
              <w:top w:val="nil"/>
              <w:left w:val="single" w:color="auto" w:sz="4" w:space="0"/>
              <w:bottom w:val="single" w:color="auto" w:sz="4" w:space="0"/>
              <w:right w:val="single" w:color="auto" w:sz="4" w:space="0"/>
            </w:tcBorders>
            <w:vAlign w:val="center"/>
          </w:tcPr>
          <w:p w14:paraId="663FD8EB">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7DDBFEFF">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64DAA3D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风险信息查询-避灾点查询</w:t>
            </w:r>
          </w:p>
        </w:tc>
        <w:tc>
          <w:tcPr>
            <w:tcW w:w="1418" w:type="dxa"/>
            <w:tcBorders>
              <w:top w:val="nil"/>
              <w:left w:val="nil"/>
              <w:bottom w:val="single" w:color="auto" w:sz="4" w:space="0"/>
              <w:right w:val="single" w:color="auto" w:sz="4" w:space="0"/>
            </w:tcBorders>
            <w:shd w:val="clear" w:color="auto" w:fill="auto"/>
            <w:vAlign w:val="center"/>
          </w:tcPr>
          <w:p w14:paraId="3316F7F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23A2DA7A">
            <w:pPr>
              <w:adjustRightInd w:val="0"/>
              <w:snapToGrid w:val="0"/>
              <w:rPr>
                <w:rFonts w:ascii="Times New Roman" w:hAnsi="Times New Roman" w:eastAsia="宋体" w:cs="Times New Roman"/>
                <w:color w:val="auto"/>
                <w:sz w:val="24"/>
                <w:szCs w:val="21"/>
              </w:rPr>
            </w:pPr>
          </w:p>
        </w:tc>
      </w:tr>
      <w:tr w14:paraId="60D8C8D6">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51A0771">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103</w:t>
            </w:r>
          </w:p>
        </w:tc>
        <w:tc>
          <w:tcPr>
            <w:tcW w:w="1234" w:type="dxa"/>
            <w:vMerge w:val="continue"/>
            <w:tcBorders>
              <w:top w:val="nil"/>
              <w:left w:val="single" w:color="auto" w:sz="4" w:space="0"/>
              <w:bottom w:val="single" w:color="auto" w:sz="4" w:space="0"/>
              <w:right w:val="single" w:color="auto" w:sz="4" w:space="0"/>
            </w:tcBorders>
            <w:vAlign w:val="center"/>
          </w:tcPr>
          <w:p w14:paraId="65F24175">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63E3DC46">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E7A51B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风险信息查询-撤离路线分析</w:t>
            </w:r>
          </w:p>
        </w:tc>
        <w:tc>
          <w:tcPr>
            <w:tcW w:w="1418" w:type="dxa"/>
            <w:tcBorders>
              <w:top w:val="nil"/>
              <w:left w:val="nil"/>
              <w:bottom w:val="single" w:color="auto" w:sz="4" w:space="0"/>
              <w:right w:val="single" w:color="auto" w:sz="4" w:space="0"/>
            </w:tcBorders>
            <w:shd w:val="clear" w:color="auto" w:fill="auto"/>
            <w:vAlign w:val="center"/>
          </w:tcPr>
          <w:p w14:paraId="761B248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695AF6B1">
            <w:pPr>
              <w:adjustRightInd w:val="0"/>
              <w:snapToGrid w:val="0"/>
              <w:rPr>
                <w:rFonts w:ascii="Times New Roman" w:hAnsi="Times New Roman" w:eastAsia="宋体" w:cs="Times New Roman"/>
                <w:color w:val="auto"/>
                <w:sz w:val="24"/>
                <w:szCs w:val="21"/>
              </w:rPr>
            </w:pPr>
          </w:p>
        </w:tc>
      </w:tr>
      <w:tr w14:paraId="22C92CA5">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E5A199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104</w:t>
            </w:r>
          </w:p>
        </w:tc>
        <w:tc>
          <w:tcPr>
            <w:tcW w:w="1234" w:type="dxa"/>
            <w:vMerge w:val="continue"/>
            <w:tcBorders>
              <w:top w:val="nil"/>
              <w:left w:val="single" w:color="auto" w:sz="4" w:space="0"/>
              <w:bottom w:val="single" w:color="auto" w:sz="4" w:space="0"/>
              <w:right w:val="single" w:color="auto" w:sz="4" w:space="0"/>
            </w:tcBorders>
            <w:vAlign w:val="center"/>
          </w:tcPr>
          <w:p w14:paraId="3B103BE5">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3C3B9DA7">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012F29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风险研判分析-风险信息录入</w:t>
            </w:r>
          </w:p>
        </w:tc>
        <w:tc>
          <w:tcPr>
            <w:tcW w:w="1418" w:type="dxa"/>
            <w:tcBorders>
              <w:top w:val="nil"/>
              <w:left w:val="nil"/>
              <w:bottom w:val="single" w:color="auto" w:sz="4" w:space="0"/>
              <w:right w:val="single" w:color="auto" w:sz="4" w:space="0"/>
            </w:tcBorders>
            <w:shd w:val="clear" w:color="auto" w:fill="auto"/>
            <w:vAlign w:val="center"/>
          </w:tcPr>
          <w:p w14:paraId="1BCE37C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62A81F36">
            <w:pPr>
              <w:adjustRightInd w:val="0"/>
              <w:snapToGrid w:val="0"/>
              <w:rPr>
                <w:rFonts w:ascii="Times New Roman" w:hAnsi="Times New Roman" w:eastAsia="宋体" w:cs="Times New Roman"/>
                <w:color w:val="auto"/>
                <w:sz w:val="24"/>
                <w:szCs w:val="21"/>
              </w:rPr>
            </w:pPr>
          </w:p>
        </w:tc>
      </w:tr>
      <w:tr w14:paraId="28787474">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063C7AE">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105</w:t>
            </w:r>
          </w:p>
        </w:tc>
        <w:tc>
          <w:tcPr>
            <w:tcW w:w="1234" w:type="dxa"/>
            <w:vMerge w:val="continue"/>
            <w:tcBorders>
              <w:top w:val="nil"/>
              <w:left w:val="single" w:color="auto" w:sz="4" w:space="0"/>
              <w:bottom w:val="single" w:color="auto" w:sz="4" w:space="0"/>
              <w:right w:val="single" w:color="auto" w:sz="4" w:space="0"/>
            </w:tcBorders>
            <w:vAlign w:val="center"/>
          </w:tcPr>
          <w:p w14:paraId="21E50522">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4D542C33">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580EF6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风险研判分析-风险态势标绘</w:t>
            </w:r>
          </w:p>
        </w:tc>
        <w:tc>
          <w:tcPr>
            <w:tcW w:w="1418" w:type="dxa"/>
            <w:tcBorders>
              <w:top w:val="nil"/>
              <w:left w:val="nil"/>
              <w:bottom w:val="single" w:color="auto" w:sz="4" w:space="0"/>
              <w:right w:val="single" w:color="auto" w:sz="4" w:space="0"/>
            </w:tcBorders>
            <w:shd w:val="clear" w:color="auto" w:fill="auto"/>
            <w:vAlign w:val="center"/>
          </w:tcPr>
          <w:p w14:paraId="048CCC1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5C02B77C">
            <w:pPr>
              <w:adjustRightInd w:val="0"/>
              <w:snapToGrid w:val="0"/>
              <w:rPr>
                <w:rFonts w:ascii="Times New Roman" w:hAnsi="Times New Roman" w:eastAsia="宋体" w:cs="Times New Roman"/>
                <w:color w:val="auto"/>
                <w:sz w:val="24"/>
                <w:szCs w:val="21"/>
              </w:rPr>
            </w:pPr>
          </w:p>
        </w:tc>
      </w:tr>
      <w:tr w14:paraId="74401173">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C1CA594">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106</w:t>
            </w:r>
          </w:p>
        </w:tc>
        <w:tc>
          <w:tcPr>
            <w:tcW w:w="1234" w:type="dxa"/>
            <w:vMerge w:val="continue"/>
            <w:tcBorders>
              <w:top w:val="nil"/>
              <w:left w:val="single" w:color="auto" w:sz="4" w:space="0"/>
              <w:bottom w:val="single" w:color="auto" w:sz="4" w:space="0"/>
              <w:right w:val="single" w:color="auto" w:sz="4" w:space="0"/>
            </w:tcBorders>
            <w:vAlign w:val="center"/>
          </w:tcPr>
          <w:p w14:paraId="59EB6314">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7554801E">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114B31A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风险研判分析-风险研判</w:t>
            </w:r>
          </w:p>
        </w:tc>
        <w:tc>
          <w:tcPr>
            <w:tcW w:w="1418" w:type="dxa"/>
            <w:tcBorders>
              <w:top w:val="nil"/>
              <w:left w:val="nil"/>
              <w:bottom w:val="single" w:color="auto" w:sz="4" w:space="0"/>
              <w:right w:val="single" w:color="auto" w:sz="4" w:space="0"/>
            </w:tcBorders>
            <w:shd w:val="clear" w:color="auto" w:fill="auto"/>
            <w:vAlign w:val="center"/>
          </w:tcPr>
          <w:p w14:paraId="5C53601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3D237C73">
            <w:pPr>
              <w:adjustRightInd w:val="0"/>
              <w:snapToGrid w:val="0"/>
              <w:rPr>
                <w:rFonts w:ascii="Times New Roman" w:hAnsi="Times New Roman" w:eastAsia="宋体" w:cs="Times New Roman"/>
                <w:color w:val="auto"/>
                <w:sz w:val="24"/>
                <w:szCs w:val="21"/>
              </w:rPr>
            </w:pPr>
          </w:p>
        </w:tc>
      </w:tr>
      <w:tr w14:paraId="4B8C0899">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DEC2933">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107</w:t>
            </w:r>
          </w:p>
        </w:tc>
        <w:tc>
          <w:tcPr>
            <w:tcW w:w="1234" w:type="dxa"/>
            <w:vMerge w:val="continue"/>
            <w:tcBorders>
              <w:top w:val="nil"/>
              <w:left w:val="single" w:color="auto" w:sz="4" w:space="0"/>
              <w:bottom w:val="single" w:color="auto" w:sz="4" w:space="0"/>
              <w:right w:val="single" w:color="auto" w:sz="4" w:space="0"/>
            </w:tcBorders>
            <w:vAlign w:val="center"/>
          </w:tcPr>
          <w:p w14:paraId="20718C0F">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C7FD001">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DD04D1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风险研判分析-风险分析统计</w:t>
            </w:r>
          </w:p>
        </w:tc>
        <w:tc>
          <w:tcPr>
            <w:tcW w:w="1418" w:type="dxa"/>
            <w:tcBorders>
              <w:top w:val="nil"/>
              <w:left w:val="nil"/>
              <w:bottom w:val="single" w:color="auto" w:sz="4" w:space="0"/>
              <w:right w:val="single" w:color="auto" w:sz="4" w:space="0"/>
            </w:tcBorders>
            <w:shd w:val="clear" w:color="auto" w:fill="auto"/>
            <w:vAlign w:val="center"/>
          </w:tcPr>
          <w:p w14:paraId="09F3FD2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42C28603">
            <w:pPr>
              <w:adjustRightInd w:val="0"/>
              <w:snapToGrid w:val="0"/>
              <w:rPr>
                <w:rFonts w:ascii="Times New Roman" w:hAnsi="Times New Roman" w:eastAsia="宋体" w:cs="Times New Roman"/>
                <w:color w:val="auto"/>
                <w:sz w:val="24"/>
                <w:szCs w:val="21"/>
              </w:rPr>
            </w:pPr>
          </w:p>
        </w:tc>
      </w:tr>
      <w:tr w14:paraId="460F0315">
        <w:tblPrEx>
          <w:tblCellMar>
            <w:top w:w="0" w:type="dxa"/>
            <w:left w:w="108" w:type="dxa"/>
            <w:bottom w:w="0" w:type="dxa"/>
            <w:right w:w="108" w:type="dxa"/>
          </w:tblCellMar>
        </w:tblPrEx>
        <w:trPr>
          <w:trHeight w:val="480"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8250C6F">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108</w:t>
            </w:r>
          </w:p>
        </w:tc>
        <w:tc>
          <w:tcPr>
            <w:tcW w:w="1234" w:type="dxa"/>
            <w:vMerge w:val="continue"/>
            <w:tcBorders>
              <w:top w:val="nil"/>
              <w:left w:val="single" w:color="auto" w:sz="4" w:space="0"/>
              <w:bottom w:val="single" w:color="auto" w:sz="4" w:space="0"/>
              <w:right w:val="single" w:color="auto" w:sz="4" w:space="0"/>
            </w:tcBorders>
            <w:vAlign w:val="center"/>
          </w:tcPr>
          <w:p w14:paraId="546D48E9">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CA47E8B">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4C384D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风险评估模型-突发事件风险评估指标</w:t>
            </w:r>
          </w:p>
        </w:tc>
        <w:tc>
          <w:tcPr>
            <w:tcW w:w="1418" w:type="dxa"/>
            <w:tcBorders>
              <w:top w:val="nil"/>
              <w:left w:val="nil"/>
              <w:bottom w:val="single" w:color="auto" w:sz="4" w:space="0"/>
              <w:right w:val="single" w:color="auto" w:sz="4" w:space="0"/>
            </w:tcBorders>
            <w:shd w:val="clear" w:color="auto" w:fill="auto"/>
            <w:vAlign w:val="center"/>
          </w:tcPr>
          <w:p w14:paraId="705C9A6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359EAC5E">
            <w:pPr>
              <w:adjustRightInd w:val="0"/>
              <w:snapToGrid w:val="0"/>
              <w:rPr>
                <w:rFonts w:ascii="Times New Roman" w:hAnsi="Times New Roman" w:eastAsia="宋体" w:cs="Times New Roman"/>
                <w:color w:val="auto"/>
                <w:sz w:val="24"/>
                <w:szCs w:val="21"/>
              </w:rPr>
            </w:pPr>
          </w:p>
        </w:tc>
      </w:tr>
      <w:tr w14:paraId="08899BEA">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D96014B">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109</w:t>
            </w:r>
          </w:p>
        </w:tc>
        <w:tc>
          <w:tcPr>
            <w:tcW w:w="1234" w:type="dxa"/>
            <w:vMerge w:val="continue"/>
            <w:tcBorders>
              <w:top w:val="nil"/>
              <w:left w:val="single" w:color="auto" w:sz="4" w:space="0"/>
              <w:bottom w:val="single" w:color="auto" w:sz="4" w:space="0"/>
              <w:right w:val="single" w:color="auto" w:sz="4" w:space="0"/>
            </w:tcBorders>
            <w:vAlign w:val="center"/>
          </w:tcPr>
          <w:p w14:paraId="372A9542">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66749DEE">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3907B0B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风险评估模型-评估指标管理</w:t>
            </w:r>
          </w:p>
        </w:tc>
        <w:tc>
          <w:tcPr>
            <w:tcW w:w="1418" w:type="dxa"/>
            <w:tcBorders>
              <w:top w:val="nil"/>
              <w:left w:val="nil"/>
              <w:bottom w:val="single" w:color="auto" w:sz="4" w:space="0"/>
              <w:right w:val="single" w:color="auto" w:sz="4" w:space="0"/>
            </w:tcBorders>
            <w:shd w:val="clear" w:color="auto" w:fill="auto"/>
            <w:vAlign w:val="center"/>
          </w:tcPr>
          <w:p w14:paraId="49962CF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0DE05671">
            <w:pPr>
              <w:adjustRightInd w:val="0"/>
              <w:snapToGrid w:val="0"/>
              <w:rPr>
                <w:rFonts w:ascii="Times New Roman" w:hAnsi="Times New Roman" w:eastAsia="宋体" w:cs="Times New Roman"/>
                <w:color w:val="auto"/>
                <w:sz w:val="24"/>
                <w:szCs w:val="21"/>
              </w:rPr>
            </w:pPr>
          </w:p>
        </w:tc>
      </w:tr>
      <w:tr w14:paraId="0C23BE07">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11BE23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110</w:t>
            </w:r>
          </w:p>
        </w:tc>
        <w:tc>
          <w:tcPr>
            <w:tcW w:w="1234" w:type="dxa"/>
            <w:vMerge w:val="continue"/>
            <w:tcBorders>
              <w:top w:val="nil"/>
              <w:left w:val="single" w:color="auto" w:sz="4" w:space="0"/>
              <w:bottom w:val="single" w:color="auto" w:sz="4" w:space="0"/>
              <w:right w:val="single" w:color="auto" w:sz="4" w:space="0"/>
            </w:tcBorders>
            <w:vAlign w:val="center"/>
          </w:tcPr>
          <w:p w14:paraId="094FB30F">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8360BC3">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31A8889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风险评估模型-评估公式管理</w:t>
            </w:r>
          </w:p>
        </w:tc>
        <w:tc>
          <w:tcPr>
            <w:tcW w:w="1418" w:type="dxa"/>
            <w:tcBorders>
              <w:top w:val="nil"/>
              <w:left w:val="nil"/>
              <w:bottom w:val="single" w:color="auto" w:sz="4" w:space="0"/>
              <w:right w:val="single" w:color="auto" w:sz="4" w:space="0"/>
            </w:tcBorders>
            <w:shd w:val="clear" w:color="auto" w:fill="auto"/>
            <w:vAlign w:val="center"/>
          </w:tcPr>
          <w:p w14:paraId="26BE7B4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2824D57E">
            <w:pPr>
              <w:adjustRightInd w:val="0"/>
              <w:snapToGrid w:val="0"/>
              <w:rPr>
                <w:rFonts w:ascii="Times New Roman" w:hAnsi="Times New Roman" w:eastAsia="宋体" w:cs="Times New Roman"/>
                <w:color w:val="auto"/>
                <w:sz w:val="24"/>
                <w:szCs w:val="21"/>
              </w:rPr>
            </w:pPr>
          </w:p>
        </w:tc>
      </w:tr>
      <w:tr w14:paraId="4ADE20E9">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48439FE">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111</w:t>
            </w:r>
          </w:p>
        </w:tc>
        <w:tc>
          <w:tcPr>
            <w:tcW w:w="1234" w:type="dxa"/>
            <w:vMerge w:val="continue"/>
            <w:tcBorders>
              <w:top w:val="nil"/>
              <w:left w:val="single" w:color="auto" w:sz="4" w:space="0"/>
              <w:bottom w:val="single" w:color="auto" w:sz="4" w:space="0"/>
              <w:right w:val="single" w:color="auto" w:sz="4" w:space="0"/>
            </w:tcBorders>
            <w:vAlign w:val="center"/>
          </w:tcPr>
          <w:p w14:paraId="4A515A7C">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53020CA7">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2473CAE">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风险评估模型-评估方法管理</w:t>
            </w:r>
          </w:p>
        </w:tc>
        <w:tc>
          <w:tcPr>
            <w:tcW w:w="1418" w:type="dxa"/>
            <w:tcBorders>
              <w:top w:val="nil"/>
              <w:left w:val="nil"/>
              <w:bottom w:val="single" w:color="auto" w:sz="4" w:space="0"/>
              <w:right w:val="single" w:color="auto" w:sz="4" w:space="0"/>
            </w:tcBorders>
            <w:shd w:val="clear" w:color="auto" w:fill="auto"/>
            <w:vAlign w:val="center"/>
          </w:tcPr>
          <w:p w14:paraId="0BB33BF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12AE3EB6">
            <w:pPr>
              <w:adjustRightInd w:val="0"/>
              <w:snapToGrid w:val="0"/>
              <w:rPr>
                <w:rFonts w:ascii="Times New Roman" w:hAnsi="Times New Roman" w:eastAsia="宋体" w:cs="Times New Roman"/>
                <w:color w:val="auto"/>
                <w:sz w:val="24"/>
                <w:szCs w:val="21"/>
              </w:rPr>
            </w:pPr>
          </w:p>
        </w:tc>
      </w:tr>
      <w:tr w14:paraId="21204658">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7C46E5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112</w:t>
            </w:r>
          </w:p>
        </w:tc>
        <w:tc>
          <w:tcPr>
            <w:tcW w:w="1234" w:type="dxa"/>
            <w:vMerge w:val="continue"/>
            <w:tcBorders>
              <w:top w:val="nil"/>
              <w:left w:val="single" w:color="auto" w:sz="4" w:space="0"/>
              <w:bottom w:val="single" w:color="auto" w:sz="4" w:space="0"/>
              <w:right w:val="single" w:color="auto" w:sz="4" w:space="0"/>
            </w:tcBorders>
            <w:vAlign w:val="center"/>
          </w:tcPr>
          <w:p w14:paraId="62A2353E">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08CD188E">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3268935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风险报告管理</w:t>
            </w:r>
          </w:p>
        </w:tc>
        <w:tc>
          <w:tcPr>
            <w:tcW w:w="1418" w:type="dxa"/>
            <w:tcBorders>
              <w:top w:val="nil"/>
              <w:left w:val="nil"/>
              <w:bottom w:val="single" w:color="auto" w:sz="4" w:space="0"/>
              <w:right w:val="single" w:color="auto" w:sz="4" w:space="0"/>
            </w:tcBorders>
            <w:shd w:val="clear" w:color="auto" w:fill="auto"/>
            <w:vAlign w:val="center"/>
          </w:tcPr>
          <w:p w14:paraId="2121C01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78F5B3BB">
            <w:pPr>
              <w:adjustRightInd w:val="0"/>
              <w:snapToGrid w:val="0"/>
              <w:rPr>
                <w:rFonts w:ascii="Times New Roman" w:hAnsi="Times New Roman" w:eastAsia="宋体" w:cs="Times New Roman"/>
                <w:color w:val="auto"/>
                <w:sz w:val="24"/>
                <w:szCs w:val="21"/>
              </w:rPr>
            </w:pPr>
          </w:p>
        </w:tc>
      </w:tr>
      <w:tr w14:paraId="2F4AF833">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CDAD3F8">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113</w:t>
            </w:r>
          </w:p>
        </w:tc>
        <w:tc>
          <w:tcPr>
            <w:tcW w:w="1234" w:type="dxa"/>
            <w:vMerge w:val="continue"/>
            <w:tcBorders>
              <w:top w:val="nil"/>
              <w:left w:val="single" w:color="auto" w:sz="4" w:space="0"/>
              <w:bottom w:val="single" w:color="auto" w:sz="4" w:space="0"/>
              <w:right w:val="single" w:color="auto" w:sz="4" w:space="0"/>
            </w:tcBorders>
            <w:vAlign w:val="center"/>
          </w:tcPr>
          <w:p w14:paraId="288A9D8F">
            <w:pPr>
              <w:adjustRightInd w:val="0"/>
              <w:snapToGrid w:val="0"/>
              <w:rPr>
                <w:rFonts w:ascii="Times New Roman" w:hAnsi="Times New Roman" w:eastAsia="宋体" w:cs="Times New Roman"/>
                <w:color w:val="auto"/>
                <w:sz w:val="24"/>
                <w:szCs w:val="21"/>
              </w:rPr>
            </w:pPr>
          </w:p>
        </w:tc>
        <w:tc>
          <w:tcPr>
            <w:tcW w:w="969" w:type="dxa"/>
            <w:vMerge w:val="restart"/>
            <w:tcBorders>
              <w:top w:val="nil"/>
              <w:left w:val="single" w:color="auto" w:sz="4" w:space="0"/>
              <w:bottom w:val="single" w:color="auto" w:sz="4" w:space="0"/>
              <w:right w:val="single" w:color="auto" w:sz="4" w:space="0"/>
            </w:tcBorders>
            <w:shd w:val="clear" w:color="auto" w:fill="auto"/>
            <w:vAlign w:val="center"/>
          </w:tcPr>
          <w:p w14:paraId="2E16112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应急处置-指挥联动</w:t>
            </w:r>
          </w:p>
        </w:tc>
        <w:tc>
          <w:tcPr>
            <w:tcW w:w="3286" w:type="dxa"/>
            <w:tcBorders>
              <w:top w:val="nil"/>
              <w:left w:val="nil"/>
              <w:bottom w:val="single" w:color="auto" w:sz="4" w:space="0"/>
              <w:right w:val="single" w:color="auto" w:sz="4" w:space="0"/>
            </w:tcBorders>
            <w:shd w:val="clear" w:color="auto" w:fill="auto"/>
            <w:vAlign w:val="center"/>
          </w:tcPr>
          <w:p w14:paraId="0BCF415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指挥体系联动-组织体系管理</w:t>
            </w:r>
          </w:p>
        </w:tc>
        <w:tc>
          <w:tcPr>
            <w:tcW w:w="1418" w:type="dxa"/>
            <w:tcBorders>
              <w:top w:val="nil"/>
              <w:left w:val="nil"/>
              <w:bottom w:val="single" w:color="auto" w:sz="4" w:space="0"/>
              <w:right w:val="single" w:color="auto" w:sz="4" w:space="0"/>
            </w:tcBorders>
            <w:shd w:val="clear" w:color="auto" w:fill="auto"/>
            <w:vAlign w:val="center"/>
          </w:tcPr>
          <w:p w14:paraId="3F3EC21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7CFC8649">
            <w:pPr>
              <w:adjustRightInd w:val="0"/>
              <w:snapToGrid w:val="0"/>
              <w:rPr>
                <w:rFonts w:ascii="Times New Roman" w:hAnsi="Times New Roman" w:eastAsia="宋体" w:cs="Times New Roman"/>
                <w:color w:val="auto"/>
                <w:sz w:val="24"/>
                <w:szCs w:val="21"/>
              </w:rPr>
            </w:pPr>
          </w:p>
        </w:tc>
      </w:tr>
      <w:tr w14:paraId="67B4E802">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78A4611">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114</w:t>
            </w:r>
          </w:p>
        </w:tc>
        <w:tc>
          <w:tcPr>
            <w:tcW w:w="1234" w:type="dxa"/>
            <w:vMerge w:val="continue"/>
            <w:tcBorders>
              <w:top w:val="nil"/>
              <w:left w:val="single" w:color="auto" w:sz="4" w:space="0"/>
              <w:bottom w:val="single" w:color="auto" w:sz="4" w:space="0"/>
              <w:right w:val="single" w:color="auto" w:sz="4" w:space="0"/>
            </w:tcBorders>
            <w:vAlign w:val="center"/>
          </w:tcPr>
          <w:p w14:paraId="4E2D5949">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5C3F50FB">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92666C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指挥体系联动-信息自动关联</w:t>
            </w:r>
          </w:p>
        </w:tc>
        <w:tc>
          <w:tcPr>
            <w:tcW w:w="1418" w:type="dxa"/>
            <w:tcBorders>
              <w:top w:val="nil"/>
              <w:left w:val="nil"/>
              <w:bottom w:val="single" w:color="auto" w:sz="4" w:space="0"/>
              <w:right w:val="single" w:color="auto" w:sz="4" w:space="0"/>
            </w:tcBorders>
            <w:shd w:val="clear" w:color="auto" w:fill="auto"/>
            <w:vAlign w:val="center"/>
          </w:tcPr>
          <w:p w14:paraId="5D5B50B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2F369941">
            <w:pPr>
              <w:adjustRightInd w:val="0"/>
              <w:snapToGrid w:val="0"/>
              <w:rPr>
                <w:rFonts w:ascii="Times New Roman" w:hAnsi="Times New Roman" w:eastAsia="宋体" w:cs="Times New Roman"/>
                <w:color w:val="auto"/>
                <w:sz w:val="24"/>
                <w:szCs w:val="21"/>
              </w:rPr>
            </w:pPr>
          </w:p>
        </w:tc>
      </w:tr>
      <w:tr w14:paraId="201C1174">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9158AF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115</w:t>
            </w:r>
          </w:p>
        </w:tc>
        <w:tc>
          <w:tcPr>
            <w:tcW w:w="1234" w:type="dxa"/>
            <w:vMerge w:val="continue"/>
            <w:tcBorders>
              <w:top w:val="nil"/>
              <w:left w:val="single" w:color="auto" w:sz="4" w:space="0"/>
              <w:bottom w:val="single" w:color="auto" w:sz="4" w:space="0"/>
              <w:right w:val="single" w:color="auto" w:sz="4" w:space="0"/>
            </w:tcBorders>
            <w:vAlign w:val="center"/>
          </w:tcPr>
          <w:p w14:paraId="5C498A32">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57683C4">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6C7601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指挥体系联动-信息快速检索</w:t>
            </w:r>
          </w:p>
        </w:tc>
        <w:tc>
          <w:tcPr>
            <w:tcW w:w="1418" w:type="dxa"/>
            <w:tcBorders>
              <w:top w:val="nil"/>
              <w:left w:val="nil"/>
              <w:bottom w:val="single" w:color="auto" w:sz="4" w:space="0"/>
              <w:right w:val="single" w:color="auto" w:sz="4" w:space="0"/>
            </w:tcBorders>
            <w:shd w:val="clear" w:color="auto" w:fill="auto"/>
            <w:vAlign w:val="center"/>
          </w:tcPr>
          <w:p w14:paraId="3BB08CE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39CE7524">
            <w:pPr>
              <w:adjustRightInd w:val="0"/>
              <w:snapToGrid w:val="0"/>
              <w:rPr>
                <w:rFonts w:ascii="Times New Roman" w:hAnsi="Times New Roman" w:eastAsia="宋体" w:cs="Times New Roman"/>
                <w:color w:val="auto"/>
                <w:sz w:val="24"/>
                <w:szCs w:val="21"/>
              </w:rPr>
            </w:pPr>
          </w:p>
        </w:tc>
      </w:tr>
      <w:tr w14:paraId="65906614">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1349DE4">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116</w:t>
            </w:r>
          </w:p>
        </w:tc>
        <w:tc>
          <w:tcPr>
            <w:tcW w:w="1234" w:type="dxa"/>
            <w:vMerge w:val="continue"/>
            <w:tcBorders>
              <w:top w:val="nil"/>
              <w:left w:val="single" w:color="auto" w:sz="4" w:space="0"/>
              <w:bottom w:val="single" w:color="auto" w:sz="4" w:space="0"/>
              <w:right w:val="single" w:color="auto" w:sz="4" w:space="0"/>
            </w:tcBorders>
            <w:vAlign w:val="center"/>
          </w:tcPr>
          <w:p w14:paraId="29B7283C">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9ED7649">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163A493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指挥体系联动-指挥保障体系</w:t>
            </w:r>
          </w:p>
        </w:tc>
        <w:tc>
          <w:tcPr>
            <w:tcW w:w="1418" w:type="dxa"/>
            <w:tcBorders>
              <w:top w:val="nil"/>
              <w:left w:val="nil"/>
              <w:bottom w:val="single" w:color="auto" w:sz="4" w:space="0"/>
              <w:right w:val="single" w:color="auto" w:sz="4" w:space="0"/>
            </w:tcBorders>
            <w:shd w:val="clear" w:color="auto" w:fill="auto"/>
            <w:vAlign w:val="center"/>
          </w:tcPr>
          <w:p w14:paraId="601109C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196880AB">
            <w:pPr>
              <w:adjustRightInd w:val="0"/>
              <w:snapToGrid w:val="0"/>
              <w:rPr>
                <w:rFonts w:ascii="Times New Roman" w:hAnsi="Times New Roman" w:eastAsia="宋体" w:cs="Times New Roman"/>
                <w:color w:val="auto"/>
                <w:sz w:val="24"/>
                <w:szCs w:val="21"/>
              </w:rPr>
            </w:pPr>
          </w:p>
        </w:tc>
      </w:tr>
      <w:tr w14:paraId="5D260725">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090508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117</w:t>
            </w:r>
          </w:p>
        </w:tc>
        <w:tc>
          <w:tcPr>
            <w:tcW w:w="1234" w:type="dxa"/>
            <w:vMerge w:val="continue"/>
            <w:tcBorders>
              <w:top w:val="nil"/>
              <w:left w:val="single" w:color="auto" w:sz="4" w:space="0"/>
              <w:bottom w:val="single" w:color="auto" w:sz="4" w:space="0"/>
              <w:right w:val="single" w:color="auto" w:sz="4" w:space="0"/>
            </w:tcBorders>
            <w:vAlign w:val="center"/>
          </w:tcPr>
          <w:p w14:paraId="2274BAF0">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75C024A">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3A38924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指挥体系联动-指挥管理理体系</w:t>
            </w:r>
          </w:p>
        </w:tc>
        <w:tc>
          <w:tcPr>
            <w:tcW w:w="1418" w:type="dxa"/>
            <w:tcBorders>
              <w:top w:val="nil"/>
              <w:left w:val="nil"/>
              <w:bottom w:val="single" w:color="auto" w:sz="4" w:space="0"/>
              <w:right w:val="single" w:color="auto" w:sz="4" w:space="0"/>
            </w:tcBorders>
            <w:shd w:val="clear" w:color="auto" w:fill="auto"/>
            <w:vAlign w:val="center"/>
          </w:tcPr>
          <w:p w14:paraId="33E637B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3C6550A7">
            <w:pPr>
              <w:adjustRightInd w:val="0"/>
              <w:snapToGrid w:val="0"/>
              <w:rPr>
                <w:rFonts w:ascii="Times New Roman" w:hAnsi="Times New Roman" w:eastAsia="宋体" w:cs="Times New Roman"/>
                <w:color w:val="auto"/>
                <w:sz w:val="24"/>
                <w:szCs w:val="21"/>
              </w:rPr>
            </w:pPr>
          </w:p>
        </w:tc>
      </w:tr>
      <w:tr w14:paraId="5C40A662">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F087B6C">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118</w:t>
            </w:r>
          </w:p>
        </w:tc>
        <w:tc>
          <w:tcPr>
            <w:tcW w:w="1234" w:type="dxa"/>
            <w:vMerge w:val="continue"/>
            <w:tcBorders>
              <w:top w:val="nil"/>
              <w:left w:val="single" w:color="auto" w:sz="4" w:space="0"/>
              <w:bottom w:val="single" w:color="auto" w:sz="4" w:space="0"/>
              <w:right w:val="single" w:color="auto" w:sz="4" w:space="0"/>
            </w:tcBorders>
            <w:vAlign w:val="center"/>
          </w:tcPr>
          <w:p w14:paraId="2FD1653D">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6246A5CD">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54BBECE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资源调动联动-视频资源调度</w:t>
            </w:r>
          </w:p>
        </w:tc>
        <w:tc>
          <w:tcPr>
            <w:tcW w:w="1418" w:type="dxa"/>
            <w:tcBorders>
              <w:top w:val="nil"/>
              <w:left w:val="nil"/>
              <w:bottom w:val="single" w:color="auto" w:sz="4" w:space="0"/>
              <w:right w:val="single" w:color="auto" w:sz="4" w:space="0"/>
            </w:tcBorders>
            <w:shd w:val="clear" w:color="auto" w:fill="auto"/>
            <w:vAlign w:val="center"/>
          </w:tcPr>
          <w:p w14:paraId="4CD39B8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46E00088">
            <w:pPr>
              <w:adjustRightInd w:val="0"/>
              <w:snapToGrid w:val="0"/>
              <w:rPr>
                <w:rFonts w:ascii="Times New Roman" w:hAnsi="Times New Roman" w:eastAsia="宋体" w:cs="Times New Roman"/>
                <w:color w:val="auto"/>
                <w:sz w:val="24"/>
                <w:szCs w:val="21"/>
              </w:rPr>
            </w:pPr>
          </w:p>
        </w:tc>
      </w:tr>
      <w:tr w14:paraId="6B3C4B07">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9010EC3">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119</w:t>
            </w:r>
          </w:p>
        </w:tc>
        <w:tc>
          <w:tcPr>
            <w:tcW w:w="1234" w:type="dxa"/>
            <w:vMerge w:val="continue"/>
            <w:tcBorders>
              <w:top w:val="nil"/>
              <w:left w:val="single" w:color="auto" w:sz="4" w:space="0"/>
              <w:bottom w:val="single" w:color="auto" w:sz="4" w:space="0"/>
              <w:right w:val="single" w:color="auto" w:sz="4" w:space="0"/>
            </w:tcBorders>
            <w:vAlign w:val="center"/>
          </w:tcPr>
          <w:p w14:paraId="2E1F33BB">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4BEA992">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D7F0A2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资源调动联动-应急力量调度</w:t>
            </w:r>
          </w:p>
        </w:tc>
        <w:tc>
          <w:tcPr>
            <w:tcW w:w="1418" w:type="dxa"/>
            <w:tcBorders>
              <w:top w:val="nil"/>
              <w:left w:val="nil"/>
              <w:bottom w:val="single" w:color="auto" w:sz="4" w:space="0"/>
              <w:right w:val="single" w:color="auto" w:sz="4" w:space="0"/>
            </w:tcBorders>
            <w:shd w:val="clear" w:color="auto" w:fill="auto"/>
            <w:vAlign w:val="center"/>
          </w:tcPr>
          <w:p w14:paraId="6039A7C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50637BC9">
            <w:pPr>
              <w:adjustRightInd w:val="0"/>
              <w:snapToGrid w:val="0"/>
              <w:rPr>
                <w:rFonts w:ascii="Times New Roman" w:hAnsi="Times New Roman" w:eastAsia="宋体" w:cs="Times New Roman"/>
                <w:color w:val="auto"/>
                <w:sz w:val="24"/>
                <w:szCs w:val="21"/>
              </w:rPr>
            </w:pPr>
          </w:p>
        </w:tc>
      </w:tr>
      <w:tr w14:paraId="323DF606">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D4C886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120</w:t>
            </w:r>
          </w:p>
        </w:tc>
        <w:tc>
          <w:tcPr>
            <w:tcW w:w="1234" w:type="dxa"/>
            <w:vMerge w:val="continue"/>
            <w:tcBorders>
              <w:top w:val="nil"/>
              <w:left w:val="single" w:color="auto" w:sz="4" w:space="0"/>
              <w:bottom w:val="single" w:color="auto" w:sz="4" w:space="0"/>
              <w:right w:val="single" w:color="auto" w:sz="4" w:space="0"/>
            </w:tcBorders>
            <w:vAlign w:val="center"/>
          </w:tcPr>
          <w:p w14:paraId="6B73A167">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14CC20C">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065AAB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资源调动联动-通信资源调度</w:t>
            </w:r>
          </w:p>
        </w:tc>
        <w:tc>
          <w:tcPr>
            <w:tcW w:w="1418" w:type="dxa"/>
            <w:tcBorders>
              <w:top w:val="nil"/>
              <w:left w:val="nil"/>
              <w:bottom w:val="single" w:color="auto" w:sz="4" w:space="0"/>
              <w:right w:val="single" w:color="auto" w:sz="4" w:space="0"/>
            </w:tcBorders>
            <w:shd w:val="clear" w:color="auto" w:fill="auto"/>
            <w:vAlign w:val="center"/>
          </w:tcPr>
          <w:p w14:paraId="44B23C0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218BF22B">
            <w:pPr>
              <w:adjustRightInd w:val="0"/>
              <w:snapToGrid w:val="0"/>
              <w:rPr>
                <w:rFonts w:ascii="Times New Roman" w:hAnsi="Times New Roman" w:eastAsia="宋体" w:cs="Times New Roman"/>
                <w:color w:val="auto"/>
                <w:sz w:val="24"/>
                <w:szCs w:val="21"/>
              </w:rPr>
            </w:pPr>
          </w:p>
        </w:tc>
      </w:tr>
      <w:tr w14:paraId="4F4AEED7">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36E362D8">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121</w:t>
            </w:r>
          </w:p>
        </w:tc>
        <w:tc>
          <w:tcPr>
            <w:tcW w:w="1234" w:type="dxa"/>
            <w:vMerge w:val="continue"/>
            <w:tcBorders>
              <w:top w:val="nil"/>
              <w:left w:val="single" w:color="auto" w:sz="4" w:space="0"/>
              <w:bottom w:val="single" w:color="auto" w:sz="4" w:space="0"/>
              <w:right w:val="single" w:color="auto" w:sz="4" w:space="0"/>
            </w:tcBorders>
            <w:vAlign w:val="center"/>
          </w:tcPr>
          <w:p w14:paraId="0AA501E0">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7F6FD975">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1424E25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资源调动联动-物资资源调度</w:t>
            </w:r>
          </w:p>
        </w:tc>
        <w:tc>
          <w:tcPr>
            <w:tcW w:w="1418" w:type="dxa"/>
            <w:tcBorders>
              <w:top w:val="nil"/>
              <w:left w:val="nil"/>
              <w:bottom w:val="single" w:color="auto" w:sz="4" w:space="0"/>
              <w:right w:val="single" w:color="auto" w:sz="4" w:space="0"/>
            </w:tcBorders>
            <w:shd w:val="clear" w:color="auto" w:fill="auto"/>
            <w:vAlign w:val="center"/>
          </w:tcPr>
          <w:p w14:paraId="5619EAE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1481D58A">
            <w:pPr>
              <w:adjustRightInd w:val="0"/>
              <w:snapToGrid w:val="0"/>
              <w:rPr>
                <w:rFonts w:ascii="Times New Roman" w:hAnsi="Times New Roman" w:eastAsia="宋体" w:cs="Times New Roman"/>
                <w:color w:val="auto"/>
                <w:sz w:val="24"/>
                <w:szCs w:val="21"/>
              </w:rPr>
            </w:pPr>
          </w:p>
        </w:tc>
      </w:tr>
      <w:tr w14:paraId="64223988">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8F6085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122</w:t>
            </w:r>
          </w:p>
        </w:tc>
        <w:tc>
          <w:tcPr>
            <w:tcW w:w="1234" w:type="dxa"/>
            <w:vMerge w:val="continue"/>
            <w:tcBorders>
              <w:top w:val="nil"/>
              <w:left w:val="single" w:color="auto" w:sz="4" w:space="0"/>
              <w:bottom w:val="single" w:color="auto" w:sz="4" w:space="0"/>
              <w:right w:val="single" w:color="auto" w:sz="4" w:space="0"/>
            </w:tcBorders>
            <w:vAlign w:val="center"/>
          </w:tcPr>
          <w:p w14:paraId="10475AFD">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72253650">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09FDA6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资源调动联动-交通运输调度</w:t>
            </w:r>
          </w:p>
        </w:tc>
        <w:tc>
          <w:tcPr>
            <w:tcW w:w="1418" w:type="dxa"/>
            <w:tcBorders>
              <w:top w:val="nil"/>
              <w:left w:val="nil"/>
              <w:bottom w:val="single" w:color="auto" w:sz="4" w:space="0"/>
              <w:right w:val="single" w:color="auto" w:sz="4" w:space="0"/>
            </w:tcBorders>
            <w:shd w:val="clear" w:color="auto" w:fill="auto"/>
            <w:vAlign w:val="center"/>
          </w:tcPr>
          <w:p w14:paraId="01C25BD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28041C2E">
            <w:pPr>
              <w:adjustRightInd w:val="0"/>
              <w:snapToGrid w:val="0"/>
              <w:rPr>
                <w:rFonts w:ascii="Times New Roman" w:hAnsi="Times New Roman" w:eastAsia="宋体" w:cs="Times New Roman"/>
                <w:color w:val="auto"/>
                <w:sz w:val="24"/>
                <w:szCs w:val="21"/>
              </w:rPr>
            </w:pPr>
          </w:p>
        </w:tc>
      </w:tr>
      <w:tr w14:paraId="7BF346C8">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7BA1EE18">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123</w:t>
            </w:r>
          </w:p>
        </w:tc>
        <w:tc>
          <w:tcPr>
            <w:tcW w:w="1234" w:type="dxa"/>
            <w:vMerge w:val="continue"/>
            <w:tcBorders>
              <w:top w:val="nil"/>
              <w:left w:val="single" w:color="auto" w:sz="4" w:space="0"/>
              <w:bottom w:val="single" w:color="auto" w:sz="4" w:space="0"/>
              <w:right w:val="single" w:color="auto" w:sz="4" w:space="0"/>
            </w:tcBorders>
            <w:vAlign w:val="center"/>
          </w:tcPr>
          <w:p w14:paraId="15B4B559">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72C1DA49">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01F1AE0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资源调动联动-人员防护管理</w:t>
            </w:r>
          </w:p>
        </w:tc>
        <w:tc>
          <w:tcPr>
            <w:tcW w:w="1418" w:type="dxa"/>
            <w:tcBorders>
              <w:top w:val="nil"/>
              <w:left w:val="nil"/>
              <w:bottom w:val="single" w:color="auto" w:sz="4" w:space="0"/>
              <w:right w:val="single" w:color="auto" w:sz="4" w:space="0"/>
            </w:tcBorders>
            <w:shd w:val="clear" w:color="auto" w:fill="auto"/>
            <w:vAlign w:val="center"/>
          </w:tcPr>
          <w:p w14:paraId="1F33D66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417B85F8">
            <w:pPr>
              <w:adjustRightInd w:val="0"/>
              <w:snapToGrid w:val="0"/>
              <w:rPr>
                <w:rFonts w:ascii="Times New Roman" w:hAnsi="Times New Roman" w:eastAsia="宋体" w:cs="Times New Roman"/>
                <w:color w:val="auto"/>
                <w:sz w:val="24"/>
                <w:szCs w:val="21"/>
              </w:rPr>
            </w:pPr>
          </w:p>
        </w:tc>
      </w:tr>
      <w:tr w14:paraId="24063804">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7E402658">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124</w:t>
            </w:r>
          </w:p>
        </w:tc>
        <w:tc>
          <w:tcPr>
            <w:tcW w:w="1234" w:type="dxa"/>
            <w:vMerge w:val="continue"/>
            <w:tcBorders>
              <w:top w:val="nil"/>
              <w:left w:val="single" w:color="auto" w:sz="4" w:space="0"/>
              <w:bottom w:val="single" w:color="auto" w:sz="4" w:space="0"/>
              <w:right w:val="single" w:color="auto" w:sz="4" w:space="0"/>
            </w:tcBorders>
            <w:vAlign w:val="center"/>
          </w:tcPr>
          <w:p w14:paraId="78C42F75">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7B57E100">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23DE8E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资源调动联动-医疗保障管理</w:t>
            </w:r>
          </w:p>
        </w:tc>
        <w:tc>
          <w:tcPr>
            <w:tcW w:w="1418" w:type="dxa"/>
            <w:tcBorders>
              <w:top w:val="nil"/>
              <w:left w:val="nil"/>
              <w:bottom w:val="single" w:color="auto" w:sz="4" w:space="0"/>
              <w:right w:val="single" w:color="auto" w:sz="4" w:space="0"/>
            </w:tcBorders>
            <w:shd w:val="clear" w:color="auto" w:fill="auto"/>
            <w:vAlign w:val="center"/>
          </w:tcPr>
          <w:p w14:paraId="6BCB842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1D9AA25F">
            <w:pPr>
              <w:adjustRightInd w:val="0"/>
              <w:snapToGrid w:val="0"/>
              <w:rPr>
                <w:rFonts w:ascii="Times New Roman" w:hAnsi="Times New Roman" w:eastAsia="宋体" w:cs="Times New Roman"/>
                <w:color w:val="auto"/>
                <w:sz w:val="24"/>
                <w:szCs w:val="21"/>
              </w:rPr>
            </w:pPr>
          </w:p>
        </w:tc>
      </w:tr>
      <w:tr w14:paraId="39D8143C">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1EAB55D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125</w:t>
            </w:r>
          </w:p>
        </w:tc>
        <w:tc>
          <w:tcPr>
            <w:tcW w:w="1234" w:type="dxa"/>
            <w:vMerge w:val="continue"/>
            <w:tcBorders>
              <w:top w:val="nil"/>
              <w:left w:val="single" w:color="auto" w:sz="4" w:space="0"/>
              <w:bottom w:val="single" w:color="auto" w:sz="4" w:space="0"/>
              <w:right w:val="single" w:color="auto" w:sz="4" w:space="0"/>
            </w:tcBorders>
            <w:vAlign w:val="center"/>
          </w:tcPr>
          <w:p w14:paraId="5449C1F2">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4BA10AA9">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9B3935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消息服务联动-通知公告</w:t>
            </w:r>
          </w:p>
        </w:tc>
        <w:tc>
          <w:tcPr>
            <w:tcW w:w="1418" w:type="dxa"/>
            <w:tcBorders>
              <w:top w:val="nil"/>
              <w:left w:val="nil"/>
              <w:bottom w:val="single" w:color="auto" w:sz="4" w:space="0"/>
              <w:right w:val="single" w:color="auto" w:sz="4" w:space="0"/>
            </w:tcBorders>
            <w:shd w:val="clear" w:color="auto" w:fill="auto"/>
            <w:vAlign w:val="center"/>
          </w:tcPr>
          <w:p w14:paraId="041730A6">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029B8D43">
            <w:pPr>
              <w:adjustRightInd w:val="0"/>
              <w:snapToGrid w:val="0"/>
              <w:rPr>
                <w:rFonts w:ascii="Times New Roman" w:hAnsi="Times New Roman" w:eastAsia="宋体" w:cs="Times New Roman"/>
                <w:color w:val="auto"/>
                <w:sz w:val="24"/>
                <w:szCs w:val="21"/>
              </w:rPr>
            </w:pPr>
          </w:p>
        </w:tc>
      </w:tr>
      <w:tr w14:paraId="48F5F023">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768F122">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126</w:t>
            </w:r>
          </w:p>
        </w:tc>
        <w:tc>
          <w:tcPr>
            <w:tcW w:w="1234" w:type="dxa"/>
            <w:vMerge w:val="continue"/>
            <w:tcBorders>
              <w:top w:val="nil"/>
              <w:left w:val="single" w:color="auto" w:sz="4" w:space="0"/>
              <w:bottom w:val="single" w:color="auto" w:sz="4" w:space="0"/>
              <w:right w:val="single" w:color="auto" w:sz="4" w:space="0"/>
            </w:tcBorders>
            <w:vAlign w:val="center"/>
          </w:tcPr>
          <w:p w14:paraId="33DEF28E">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743A9548">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FBA6A9F">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消息服务联动-指令下达</w:t>
            </w:r>
          </w:p>
        </w:tc>
        <w:tc>
          <w:tcPr>
            <w:tcW w:w="1418" w:type="dxa"/>
            <w:tcBorders>
              <w:top w:val="nil"/>
              <w:left w:val="nil"/>
              <w:bottom w:val="single" w:color="auto" w:sz="4" w:space="0"/>
              <w:right w:val="single" w:color="auto" w:sz="4" w:space="0"/>
            </w:tcBorders>
            <w:shd w:val="clear" w:color="auto" w:fill="auto"/>
            <w:vAlign w:val="center"/>
          </w:tcPr>
          <w:p w14:paraId="3FDE773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078BD3C9">
            <w:pPr>
              <w:adjustRightInd w:val="0"/>
              <w:snapToGrid w:val="0"/>
              <w:rPr>
                <w:rFonts w:ascii="Times New Roman" w:hAnsi="Times New Roman" w:eastAsia="宋体" w:cs="Times New Roman"/>
                <w:color w:val="auto"/>
                <w:sz w:val="24"/>
                <w:szCs w:val="21"/>
              </w:rPr>
            </w:pPr>
          </w:p>
        </w:tc>
      </w:tr>
      <w:tr w14:paraId="4548D8D3">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9254DDB">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127</w:t>
            </w:r>
          </w:p>
        </w:tc>
        <w:tc>
          <w:tcPr>
            <w:tcW w:w="1234" w:type="dxa"/>
            <w:vMerge w:val="continue"/>
            <w:tcBorders>
              <w:top w:val="nil"/>
              <w:left w:val="single" w:color="auto" w:sz="4" w:space="0"/>
              <w:bottom w:val="single" w:color="auto" w:sz="4" w:space="0"/>
              <w:right w:val="single" w:color="auto" w:sz="4" w:space="0"/>
            </w:tcBorders>
            <w:vAlign w:val="center"/>
          </w:tcPr>
          <w:p w14:paraId="1F308AA8">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C797054">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63CE120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消息服务联动-短信服务</w:t>
            </w:r>
          </w:p>
        </w:tc>
        <w:tc>
          <w:tcPr>
            <w:tcW w:w="1418" w:type="dxa"/>
            <w:tcBorders>
              <w:top w:val="nil"/>
              <w:left w:val="nil"/>
              <w:bottom w:val="single" w:color="auto" w:sz="4" w:space="0"/>
              <w:right w:val="single" w:color="auto" w:sz="4" w:space="0"/>
            </w:tcBorders>
            <w:shd w:val="clear" w:color="auto" w:fill="auto"/>
            <w:vAlign w:val="center"/>
          </w:tcPr>
          <w:p w14:paraId="2DE0939B">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65836502">
            <w:pPr>
              <w:adjustRightInd w:val="0"/>
              <w:snapToGrid w:val="0"/>
              <w:rPr>
                <w:rFonts w:ascii="Times New Roman" w:hAnsi="Times New Roman" w:eastAsia="宋体" w:cs="Times New Roman"/>
                <w:color w:val="auto"/>
                <w:sz w:val="24"/>
                <w:szCs w:val="21"/>
              </w:rPr>
            </w:pPr>
          </w:p>
        </w:tc>
      </w:tr>
      <w:tr w14:paraId="09050334">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4549CA78">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128</w:t>
            </w:r>
          </w:p>
        </w:tc>
        <w:tc>
          <w:tcPr>
            <w:tcW w:w="1234" w:type="dxa"/>
            <w:vMerge w:val="continue"/>
            <w:tcBorders>
              <w:top w:val="nil"/>
              <w:left w:val="single" w:color="auto" w:sz="4" w:space="0"/>
              <w:bottom w:val="single" w:color="auto" w:sz="4" w:space="0"/>
              <w:right w:val="single" w:color="auto" w:sz="4" w:space="0"/>
            </w:tcBorders>
            <w:vAlign w:val="center"/>
          </w:tcPr>
          <w:p w14:paraId="118AB5AD">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59230ECA">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538B937">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消息服务联动-文件管理</w:t>
            </w:r>
          </w:p>
        </w:tc>
        <w:tc>
          <w:tcPr>
            <w:tcW w:w="1418" w:type="dxa"/>
            <w:tcBorders>
              <w:top w:val="nil"/>
              <w:left w:val="nil"/>
              <w:bottom w:val="single" w:color="auto" w:sz="4" w:space="0"/>
              <w:right w:val="single" w:color="auto" w:sz="4" w:space="0"/>
            </w:tcBorders>
            <w:shd w:val="clear" w:color="auto" w:fill="auto"/>
            <w:vAlign w:val="center"/>
          </w:tcPr>
          <w:p w14:paraId="022E8F74">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124A87AF">
            <w:pPr>
              <w:adjustRightInd w:val="0"/>
              <w:snapToGrid w:val="0"/>
              <w:rPr>
                <w:rFonts w:ascii="Times New Roman" w:hAnsi="Times New Roman" w:eastAsia="宋体" w:cs="Times New Roman"/>
                <w:color w:val="auto"/>
                <w:sz w:val="24"/>
                <w:szCs w:val="21"/>
              </w:rPr>
            </w:pPr>
          </w:p>
        </w:tc>
      </w:tr>
      <w:tr w14:paraId="58FF5732">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FF3E1F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129</w:t>
            </w:r>
          </w:p>
        </w:tc>
        <w:tc>
          <w:tcPr>
            <w:tcW w:w="1234" w:type="dxa"/>
            <w:vMerge w:val="continue"/>
            <w:tcBorders>
              <w:top w:val="nil"/>
              <w:left w:val="single" w:color="auto" w:sz="4" w:space="0"/>
              <w:bottom w:val="single" w:color="auto" w:sz="4" w:space="0"/>
              <w:right w:val="single" w:color="auto" w:sz="4" w:space="0"/>
            </w:tcBorders>
            <w:vAlign w:val="center"/>
          </w:tcPr>
          <w:p w14:paraId="674C1604">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4F7F670A">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5988729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指挥处置联动-融合受理</w:t>
            </w:r>
          </w:p>
        </w:tc>
        <w:tc>
          <w:tcPr>
            <w:tcW w:w="1418" w:type="dxa"/>
            <w:tcBorders>
              <w:top w:val="nil"/>
              <w:left w:val="nil"/>
              <w:bottom w:val="single" w:color="auto" w:sz="4" w:space="0"/>
              <w:right w:val="single" w:color="auto" w:sz="4" w:space="0"/>
            </w:tcBorders>
            <w:shd w:val="clear" w:color="auto" w:fill="auto"/>
            <w:vAlign w:val="center"/>
          </w:tcPr>
          <w:p w14:paraId="1F5A438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6A4A7658">
            <w:pPr>
              <w:adjustRightInd w:val="0"/>
              <w:snapToGrid w:val="0"/>
              <w:rPr>
                <w:rFonts w:ascii="Times New Roman" w:hAnsi="Times New Roman" w:eastAsia="宋体" w:cs="Times New Roman"/>
                <w:color w:val="auto"/>
                <w:sz w:val="24"/>
                <w:szCs w:val="21"/>
              </w:rPr>
            </w:pPr>
          </w:p>
        </w:tc>
      </w:tr>
      <w:tr w14:paraId="5E7F9BC4">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76F9C06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130</w:t>
            </w:r>
          </w:p>
        </w:tc>
        <w:tc>
          <w:tcPr>
            <w:tcW w:w="1234" w:type="dxa"/>
            <w:vMerge w:val="continue"/>
            <w:tcBorders>
              <w:top w:val="nil"/>
              <w:left w:val="single" w:color="auto" w:sz="4" w:space="0"/>
              <w:bottom w:val="single" w:color="auto" w:sz="4" w:space="0"/>
              <w:right w:val="single" w:color="auto" w:sz="4" w:space="0"/>
            </w:tcBorders>
            <w:vAlign w:val="center"/>
          </w:tcPr>
          <w:p w14:paraId="7A5BA093">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30CC781D">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653C1EF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指挥处置联动-指挥调度</w:t>
            </w:r>
          </w:p>
        </w:tc>
        <w:tc>
          <w:tcPr>
            <w:tcW w:w="1418" w:type="dxa"/>
            <w:tcBorders>
              <w:top w:val="nil"/>
              <w:left w:val="nil"/>
              <w:bottom w:val="single" w:color="auto" w:sz="4" w:space="0"/>
              <w:right w:val="single" w:color="auto" w:sz="4" w:space="0"/>
            </w:tcBorders>
            <w:shd w:val="clear" w:color="auto" w:fill="auto"/>
            <w:vAlign w:val="center"/>
          </w:tcPr>
          <w:p w14:paraId="52B81B4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7EA0699B">
            <w:pPr>
              <w:adjustRightInd w:val="0"/>
              <w:snapToGrid w:val="0"/>
              <w:rPr>
                <w:rFonts w:ascii="Times New Roman" w:hAnsi="Times New Roman" w:eastAsia="宋体" w:cs="Times New Roman"/>
                <w:color w:val="auto"/>
                <w:sz w:val="24"/>
                <w:szCs w:val="21"/>
              </w:rPr>
            </w:pPr>
          </w:p>
        </w:tc>
      </w:tr>
      <w:tr w14:paraId="3EA8BCCE">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2696BCC">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131</w:t>
            </w:r>
          </w:p>
        </w:tc>
        <w:tc>
          <w:tcPr>
            <w:tcW w:w="1234" w:type="dxa"/>
            <w:vMerge w:val="continue"/>
            <w:tcBorders>
              <w:top w:val="nil"/>
              <w:left w:val="single" w:color="auto" w:sz="4" w:space="0"/>
              <w:bottom w:val="single" w:color="auto" w:sz="4" w:space="0"/>
              <w:right w:val="single" w:color="auto" w:sz="4" w:space="0"/>
            </w:tcBorders>
            <w:vAlign w:val="center"/>
          </w:tcPr>
          <w:p w14:paraId="6576439E">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9B08E04">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34FF48D8">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指挥处置联动-联动处置</w:t>
            </w:r>
          </w:p>
        </w:tc>
        <w:tc>
          <w:tcPr>
            <w:tcW w:w="1418" w:type="dxa"/>
            <w:tcBorders>
              <w:top w:val="nil"/>
              <w:left w:val="nil"/>
              <w:bottom w:val="single" w:color="auto" w:sz="4" w:space="0"/>
              <w:right w:val="single" w:color="auto" w:sz="4" w:space="0"/>
            </w:tcBorders>
            <w:shd w:val="clear" w:color="auto" w:fill="auto"/>
            <w:vAlign w:val="center"/>
          </w:tcPr>
          <w:p w14:paraId="72C760C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20DE5FFC">
            <w:pPr>
              <w:adjustRightInd w:val="0"/>
              <w:snapToGrid w:val="0"/>
              <w:rPr>
                <w:rFonts w:ascii="Times New Roman" w:hAnsi="Times New Roman" w:eastAsia="宋体" w:cs="Times New Roman"/>
                <w:color w:val="auto"/>
                <w:sz w:val="24"/>
                <w:szCs w:val="21"/>
              </w:rPr>
            </w:pPr>
          </w:p>
        </w:tc>
      </w:tr>
      <w:tr w14:paraId="761D24AD">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006DE1B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132</w:t>
            </w:r>
          </w:p>
        </w:tc>
        <w:tc>
          <w:tcPr>
            <w:tcW w:w="1234" w:type="dxa"/>
            <w:vMerge w:val="continue"/>
            <w:tcBorders>
              <w:top w:val="nil"/>
              <w:left w:val="single" w:color="auto" w:sz="4" w:space="0"/>
              <w:bottom w:val="single" w:color="auto" w:sz="4" w:space="0"/>
              <w:right w:val="single" w:color="auto" w:sz="4" w:space="0"/>
            </w:tcBorders>
            <w:vAlign w:val="center"/>
          </w:tcPr>
          <w:p w14:paraId="7D6C8264">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781E0B72">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4480B0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督办联动处置-任务登记</w:t>
            </w:r>
          </w:p>
        </w:tc>
        <w:tc>
          <w:tcPr>
            <w:tcW w:w="1418" w:type="dxa"/>
            <w:tcBorders>
              <w:top w:val="nil"/>
              <w:left w:val="nil"/>
              <w:bottom w:val="single" w:color="auto" w:sz="4" w:space="0"/>
              <w:right w:val="single" w:color="auto" w:sz="4" w:space="0"/>
            </w:tcBorders>
            <w:shd w:val="clear" w:color="auto" w:fill="auto"/>
            <w:vAlign w:val="center"/>
          </w:tcPr>
          <w:p w14:paraId="29011F6C">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3A4B2903">
            <w:pPr>
              <w:adjustRightInd w:val="0"/>
              <w:snapToGrid w:val="0"/>
              <w:rPr>
                <w:rFonts w:ascii="Times New Roman" w:hAnsi="Times New Roman" w:eastAsia="宋体" w:cs="Times New Roman"/>
                <w:color w:val="auto"/>
                <w:sz w:val="24"/>
                <w:szCs w:val="21"/>
              </w:rPr>
            </w:pPr>
          </w:p>
        </w:tc>
      </w:tr>
      <w:tr w14:paraId="552DCCC4">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4080F7A">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133</w:t>
            </w:r>
          </w:p>
        </w:tc>
        <w:tc>
          <w:tcPr>
            <w:tcW w:w="1234" w:type="dxa"/>
            <w:vMerge w:val="continue"/>
            <w:tcBorders>
              <w:top w:val="nil"/>
              <w:left w:val="single" w:color="auto" w:sz="4" w:space="0"/>
              <w:bottom w:val="single" w:color="auto" w:sz="4" w:space="0"/>
              <w:right w:val="single" w:color="auto" w:sz="4" w:space="0"/>
            </w:tcBorders>
            <w:vAlign w:val="center"/>
          </w:tcPr>
          <w:p w14:paraId="71F2FA54">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5B152725">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74E2358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督办联动处置-交办派发</w:t>
            </w:r>
          </w:p>
        </w:tc>
        <w:tc>
          <w:tcPr>
            <w:tcW w:w="1418" w:type="dxa"/>
            <w:tcBorders>
              <w:top w:val="nil"/>
              <w:left w:val="nil"/>
              <w:bottom w:val="single" w:color="auto" w:sz="4" w:space="0"/>
              <w:right w:val="single" w:color="auto" w:sz="4" w:space="0"/>
            </w:tcBorders>
            <w:shd w:val="clear" w:color="auto" w:fill="auto"/>
            <w:vAlign w:val="center"/>
          </w:tcPr>
          <w:p w14:paraId="2FAE830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58D5DC90">
            <w:pPr>
              <w:adjustRightInd w:val="0"/>
              <w:snapToGrid w:val="0"/>
              <w:rPr>
                <w:rFonts w:ascii="Times New Roman" w:hAnsi="Times New Roman" w:eastAsia="宋体" w:cs="Times New Roman"/>
                <w:color w:val="auto"/>
                <w:sz w:val="24"/>
                <w:szCs w:val="21"/>
              </w:rPr>
            </w:pPr>
          </w:p>
        </w:tc>
      </w:tr>
      <w:tr w14:paraId="6065C60D">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7269903C">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134</w:t>
            </w:r>
          </w:p>
        </w:tc>
        <w:tc>
          <w:tcPr>
            <w:tcW w:w="1234" w:type="dxa"/>
            <w:vMerge w:val="continue"/>
            <w:tcBorders>
              <w:top w:val="nil"/>
              <w:left w:val="single" w:color="auto" w:sz="4" w:space="0"/>
              <w:bottom w:val="single" w:color="auto" w:sz="4" w:space="0"/>
              <w:right w:val="single" w:color="auto" w:sz="4" w:space="0"/>
            </w:tcBorders>
            <w:vAlign w:val="center"/>
          </w:tcPr>
          <w:p w14:paraId="5277EA9E">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9BC7109">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3237242D">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督办联动处置-签收落实</w:t>
            </w:r>
          </w:p>
        </w:tc>
        <w:tc>
          <w:tcPr>
            <w:tcW w:w="1418" w:type="dxa"/>
            <w:tcBorders>
              <w:top w:val="nil"/>
              <w:left w:val="nil"/>
              <w:bottom w:val="single" w:color="auto" w:sz="4" w:space="0"/>
              <w:right w:val="single" w:color="auto" w:sz="4" w:space="0"/>
            </w:tcBorders>
            <w:shd w:val="clear" w:color="auto" w:fill="auto"/>
            <w:vAlign w:val="center"/>
          </w:tcPr>
          <w:p w14:paraId="0832543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3120908C">
            <w:pPr>
              <w:adjustRightInd w:val="0"/>
              <w:snapToGrid w:val="0"/>
              <w:rPr>
                <w:rFonts w:ascii="Times New Roman" w:hAnsi="Times New Roman" w:eastAsia="宋体" w:cs="Times New Roman"/>
                <w:color w:val="auto"/>
                <w:sz w:val="24"/>
                <w:szCs w:val="21"/>
              </w:rPr>
            </w:pPr>
          </w:p>
        </w:tc>
      </w:tr>
      <w:tr w14:paraId="431866C6">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7AA33E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135</w:t>
            </w:r>
          </w:p>
        </w:tc>
        <w:tc>
          <w:tcPr>
            <w:tcW w:w="1234" w:type="dxa"/>
            <w:vMerge w:val="continue"/>
            <w:tcBorders>
              <w:top w:val="nil"/>
              <w:left w:val="single" w:color="auto" w:sz="4" w:space="0"/>
              <w:bottom w:val="single" w:color="auto" w:sz="4" w:space="0"/>
              <w:right w:val="single" w:color="auto" w:sz="4" w:space="0"/>
            </w:tcBorders>
            <w:vAlign w:val="center"/>
          </w:tcPr>
          <w:p w14:paraId="46ACAC4C">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3E03C613">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5B7E6373">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督办联动处置-联动交流</w:t>
            </w:r>
          </w:p>
        </w:tc>
        <w:tc>
          <w:tcPr>
            <w:tcW w:w="1418" w:type="dxa"/>
            <w:tcBorders>
              <w:top w:val="nil"/>
              <w:left w:val="nil"/>
              <w:bottom w:val="single" w:color="auto" w:sz="4" w:space="0"/>
              <w:right w:val="single" w:color="auto" w:sz="4" w:space="0"/>
            </w:tcBorders>
            <w:shd w:val="clear" w:color="auto" w:fill="auto"/>
            <w:vAlign w:val="center"/>
          </w:tcPr>
          <w:p w14:paraId="708B7F6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127B26B5">
            <w:pPr>
              <w:adjustRightInd w:val="0"/>
              <w:snapToGrid w:val="0"/>
              <w:rPr>
                <w:rFonts w:ascii="Times New Roman" w:hAnsi="Times New Roman" w:eastAsia="宋体" w:cs="Times New Roman"/>
                <w:color w:val="auto"/>
                <w:sz w:val="24"/>
                <w:szCs w:val="21"/>
              </w:rPr>
            </w:pPr>
          </w:p>
        </w:tc>
      </w:tr>
      <w:tr w14:paraId="78DB6CB1">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E84CC63">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136</w:t>
            </w:r>
          </w:p>
        </w:tc>
        <w:tc>
          <w:tcPr>
            <w:tcW w:w="1234" w:type="dxa"/>
            <w:vMerge w:val="continue"/>
            <w:tcBorders>
              <w:top w:val="nil"/>
              <w:left w:val="single" w:color="auto" w:sz="4" w:space="0"/>
              <w:bottom w:val="single" w:color="auto" w:sz="4" w:space="0"/>
              <w:right w:val="single" w:color="auto" w:sz="4" w:space="0"/>
            </w:tcBorders>
            <w:vAlign w:val="center"/>
          </w:tcPr>
          <w:p w14:paraId="475D2431">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21BA7417">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6609D0B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督办联动处置-催办督办</w:t>
            </w:r>
          </w:p>
        </w:tc>
        <w:tc>
          <w:tcPr>
            <w:tcW w:w="1418" w:type="dxa"/>
            <w:tcBorders>
              <w:top w:val="nil"/>
              <w:left w:val="nil"/>
              <w:bottom w:val="single" w:color="auto" w:sz="4" w:space="0"/>
              <w:right w:val="single" w:color="auto" w:sz="4" w:space="0"/>
            </w:tcBorders>
            <w:shd w:val="clear" w:color="auto" w:fill="auto"/>
            <w:vAlign w:val="center"/>
          </w:tcPr>
          <w:p w14:paraId="6F8FB4B5">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30B3E0FB">
            <w:pPr>
              <w:adjustRightInd w:val="0"/>
              <w:snapToGrid w:val="0"/>
              <w:rPr>
                <w:rFonts w:ascii="Times New Roman" w:hAnsi="Times New Roman" w:eastAsia="宋体" w:cs="Times New Roman"/>
                <w:color w:val="auto"/>
                <w:sz w:val="24"/>
                <w:szCs w:val="21"/>
              </w:rPr>
            </w:pPr>
          </w:p>
        </w:tc>
      </w:tr>
      <w:tr w14:paraId="48FF23B1">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08CF4C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137</w:t>
            </w:r>
          </w:p>
        </w:tc>
        <w:tc>
          <w:tcPr>
            <w:tcW w:w="1234" w:type="dxa"/>
            <w:vMerge w:val="continue"/>
            <w:tcBorders>
              <w:top w:val="nil"/>
              <w:left w:val="single" w:color="auto" w:sz="4" w:space="0"/>
              <w:bottom w:val="single" w:color="auto" w:sz="4" w:space="0"/>
              <w:right w:val="single" w:color="auto" w:sz="4" w:space="0"/>
            </w:tcBorders>
            <w:vAlign w:val="center"/>
          </w:tcPr>
          <w:p w14:paraId="56030F84">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24BF876">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4FB6437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督办联动处置-过程反馈</w:t>
            </w:r>
          </w:p>
        </w:tc>
        <w:tc>
          <w:tcPr>
            <w:tcW w:w="1418" w:type="dxa"/>
            <w:tcBorders>
              <w:top w:val="nil"/>
              <w:left w:val="nil"/>
              <w:bottom w:val="single" w:color="auto" w:sz="4" w:space="0"/>
              <w:right w:val="single" w:color="auto" w:sz="4" w:space="0"/>
            </w:tcBorders>
            <w:shd w:val="clear" w:color="auto" w:fill="auto"/>
            <w:vAlign w:val="center"/>
          </w:tcPr>
          <w:p w14:paraId="60536E00">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4EFEEEC1">
            <w:pPr>
              <w:adjustRightInd w:val="0"/>
              <w:snapToGrid w:val="0"/>
              <w:rPr>
                <w:rFonts w:ascii="Times New Roman" w:hAnsi="Times New Roman" w:eastAsia="宋体" w:cs="Times New Roman"/>
                <w:color w:val="auto"/>
                <w:sz w:val="24"/>
                <w:szCs w:val="21"/>
              </w:rPr>
            </w:pPr>
          </w:p>
        </w:tc>
      </w:tr>
      <w:tr w14:paraId="4B7FB59F">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27A1CB56">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138</w:t>
            </w:r>
          </w:p>
        </w:tc>
        <w:tc>
          <w:tcPr>
            <w:tcW w:w="1234" w:type="dxa"/>
            <w:vMerge w:val="continue"/>
            <w:tcBorders>
              <w:top w:val="nil"/>
              <w:left w:val="single" w:color="auto" w:sz="4" w:space="0"/>
              <w:bottom w:val="single" w:color="auto" w:sz="4" w:space="0"/>
              <w:right w:val="single" w:color="auto" w:sz="4" w:space="0"/>
            </w:tcBorders>
            <w:vAlign w:val="center"/>
          </w:tcPr>
          <w:p w14:paraId="6EDFA4F6">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1BB05F31">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819554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督办联动处置-考核评价</w:t>
            </w:r>
          </w:p>
        </w:tc>
        <w:tc>
          <w:tcPr>
            <w:tcW w:w="1418" w:type="dxa"/>
            <w:tcBorders>
              <w:top w:val="nil"/>
              <w:left w:val="nil"/>
              <w:bottom w:val="single" w:color="auto" w:sz="4" w:space="0"/>
              <w:right w:val="single" w:color="auto" w:sz="4" w:space="0"/>
            </w:tcBorders>
            <w:shd w:val="clear" w:color="auto" w:fill="auto"/>
            <w:vAlign w:val="center"/>
          </w:tcPr>
          <w:p w14:paraId="7DD52BF2">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4DAEC5BE">
            <w:pPr>
              <w:adjustRightInd w:val="0"/>
              <w:snapToGrid w:val="0"/>
              <w:rPr>
                <w:rFonts w:ascii="Times New Roman" w:hAnsi="Times New Roman" w:eastAsia="宋体" w:cs="Times New Roman"/>
                <w:color w:val="auto"/>
                <w:sz w:val="24"/>
                <w:szCs w:val="21"/>
              </w:rPr>
            </w:pPr>
          </w:p>
        </w:tc>
      </w:tr>
      <w:tr w14:paraId="13F6FC64">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5FD35127">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139</w:t>
            </w:r>
          </w:p>
        </w:tc>
        <w:tc>
          <w:tcPr>
            <w:tcW w:w="1234" w:type="dxa"/>
            <w:vMerge w:val="continue"/>
            <w:tcBorders>
              <w:top w:val="nil"/>
              <w:left w:val="single" w:color="auto" w:sz="4" w:space="0"/>
              <w:bottom w:val="single" w:color="auto" w:sz="4" w:space="0"/>
              <w:right w:val="single" w:color="auto" w:sz="4" w:space="0"/>
            </w:tcBorders>
            <w:vAlign w:val="center"/>
          </w:tcPr>
          <w:p w14:paraId="245872B6">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573F9A3E">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3C95C9C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督办联动处置-查询监控</w:t>
            </w:r>
          </w:p>
        </w:tc>
        <w:tc>
          <w:tcPr>
            <w:tcW w:w="1418" w:type="dxa"/>
            <w:tcBorders>
              <w:top w:val="nil"/>
              <w:left w:val="nil"/>
              <w:bottom w:val="single" w:color="auto" w:sz="4" w:space="0"/>
              <w:right w:val="single" w:color="auto" w:sz="4" w:space="0"/>
            </w:tcBorders>
            <w:shd w:val="clear" w:color="auto" w:fill="auto"/>
            <w:vAlign w:val="center"/>
          </w:tcPr>
          <w:p w14:paraId="76061AB1">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464B851B">
            <w:pPr>
              <w:adjustRightInd w:val="0"/>
              <w:snapToGrid w:val="0"/>
              <w:rPr>
                <w:rFonts w:ascii="Times New Roman" w:hAnsi="Times New Roman" w:eastAsia="宋体" w:cs="Times New Roman"/>
                <w:color w:val="auto"/>
                <w:sz w:val="24"/>
                <w:szCs w:val="21"/>
              </w:rPr>
            </w:pPr>
          </w:p>
        </w:tc>
      </w:tr>
      <w:tr w14:paraId="724ECF7A">
        <w:tblPrEx>
          <w:tblCellMar>
            <w:top w:w="0" w:type="dxa"/>
            <w:left w:w="108" w:type="dxa"/>
            <w:bottom w:w="0" w:type="dxa"/>
            <w:right w:w="108" w:type="dxa"/>
          </w:tblCellMar>
        </w:tblPrEx>
        <w:trPr>
          <w:trHeight w:val="285" w:hRule="atLeast"/>
          <w:jc w:val="center"/>
        </w:trPr>
        <w:tc>
          <w:tcPr>
            <w:tcW w:w="846" w:type="dxa"/>
            <w:tcBorders>
              <w:top w:val="nil"/>
              <w:left w:val="single" w:color="auto" w:sz="4" w:space="0"/>
              <w:bottom w:val="single" w:color="auto" w:sz="4" w:space="0"/>
              <w:right w:val="single" w:color="auto" w:sz="4" w:space="0"/>
            </w:tcBorders>
            <w:shd w:val="clear" w:color="auto" w:fill="auto"/>
            <w:vAlign w:val="center"/>
          </w:tcPr>
          <w:p w14:paraId="6791B5DF">
            <w:pPr>
              <w:adjustRightInd w:val="0"/>
              <w:snapToGrid w:val="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140</w:t>
            </w:r>
          </w:p>
        </w:tc>
        <w:tc>
          <w:tcPr>
            <w:tcW w:w="1234" w:type="dxa"/>
            <w:vMerge w:val="continue"/>
            <w:tcBorders>
              <w:top w:val="nil"/>
              <w:left w:val="single" w:color="auto" w:sz="4" w:space="0"/>
              <w:bottom w:val="single" w:color="auto" w:sz="4" w:space="0"/>
              <w:right w:val="single" w:color="auto" w:sz="4" w:space="0"/>
            </w:tcBorders>
            <w:vAlign w:val="center"/>
          </w:tcPr>
          <w:p w14:paraId="19D9207C">
            <w:pPr>
              <w:adjustRightInd w:val="0"/>
              <w:snapToGrid w:val="0"/>
              <w:rPr>
                <w:rFonts w:ascii="Times New Roman" w:hAnsi="Times New Roman" w:eastAsia="宋体" w:cs="Times New Roman"/>
                <w:color w:val="auto"/>
                <w:sz w:val="24"/>
                <w:szCs w:val="21"/>
              </w:rPr>
            </w:pPr>
          </w:p>
        </w:tc>
        <w:tc>
          <w:tcPr>
            <w:tcW w:w="969" w:type="dxa"/>
            <w:vMerge w:val="continue"/>
            <w:tcBorders>
              <w:top w:val="nil"/>
              <w:left w:val="single" w:color="auto" w:sz="4" w:space="0"/>
              <w:bottom w:val="single" w:color="auto" w:sz="4" w:space="0"/>
              <w:right w:val="single" w:color="auto" w:sz="4" w:space="0"/>
            </w:tcBorders>
            <w:vAlign w:val="center"/>
          </w:tcPr>
          <w:p w14:paraId="4907CD6B">
            <w:pPr>
              <w:adjustRightInd w:val="0"/>
              <w:snapToGrid w:val="0"/>
              <w:rPr>
                <w:rFonts w:ascii="Times New Roman" w:hAnsi="Times New Roman" w:eastAsia="宋体" w:cs="Times New Roman"/>
                <w:color w:val="auto"/>
                <w:sz w:val="24"/>
                <w:szCs w:val="21"/>
              </w:rPr>
            </w:pPr>
          </w:p>
        </w:tc>
        <w:tc>
          <w:tcPr>
            <w:tcW w:w="3286" w:type="dxa"/>
            <w:tcBorders>
              <w:top w:val="nil"/>
              <w:left w:val="nil"/>
              <w:bottom w:val="single" w:color="auto" w:sz="4" w:space="0"/>
              <w:right w:val="single" w:color="auto" w:sz="4" w:space="0"/>
            </w:tcBorders>
            <w:shd w:val="clear" w:color="auto" w:fill="auto"/>
            <w:vAlign w:val="center"/>
          </w:tcPr>
          <w:p w14:paraId="20524719">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督办联动处置-督办分析</w:t>
            </w:r>
          </w:p>
        </w:tc>
        <w:tc>
          <w:tcPr>
            <w:tcW w:w="1418" w:type="dxa"/>
            <w:tcBorders>
              <w:top w:val="nil"/>
              <w:left w:val="nil"/>
              <w:bottom w:val="single" w:color="auto" w:sz="4" w:space="0"/>
              <w:right w:val="single" w:color="auto" w:sz="4" w:space="0"/>
            </w:tcBorders>
            <w:shd w:val="clear" w:color="auto" w:fill="auto"/>
            <w:vAlign w:val="center"/>
          </w:tcPr>
          <w:p w14:paraId="0AD02BDA">
            <w:pPr>
              <w:adjustRightInd w:val="0"/>
              <w:snapToGrid w:val="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新建</w:t>
            </w:r>
          </w:p>
        </w:tc>
        <w:tc>
          <w:tcPr>
            <w:tcW w:w="1012" w:type="dxa"/>
            <w:vMerge w:val="continue"/>
            <w:tcBorders>
              <w:top w:val="nil"/>
              <w:left w:val="single" w:color="auto" w:sz="4" w:space="0"/>
              <w:bottom w:val="single" w:color="auto" w:sz="4" w:space="0"/>
              <w:right w:val="single" w:color="auto" w:sz="4" w:space="0"/>
            </w:tcBorders>
            <w:vAlign w:val="center"/>
          </w:tcPr>
          <w:p w14:paraId="070870D0">
            <w:pPr>
              <w:adjustRightInd w:val="0"/>
              <w:snapToGrid w:val="0"/>
              <w:rPr>
                <w:rFonts w:ascii="Times New Roman" w:hAnsi="Times New Roman" w:eastAsia="宋体" w:cs="Times New Roman"/>
                <w:color w:val="auto"/>
                <w:sz w:val="24"/>
                <w:szCs w:val="21"/>
              </w:rPr>
            </w:pPr>
          </w:p>
        </w:tc>
      </w:tr>
    </w:tbl>
    <w:p w14:paraId="0E64851D">
      <w:pPr>
        <w:rPr>
          <w:rFonts w:ascii="Times New Roman" w:hAnsi="Times New Roman" w:eastAsia="宋体" w:cs="Times New Roman"/>
          <w:color w:val="auto"/>
          <w:sz w:val="24"/>
          <w:szCs w:val="21"/>
        </w:rPr>
      </w:pPr>
    </w:p>
    <w:p w14:paraId="3DDD6FB7">
      <w:pPr>
        <w:pStyle w:val="6"/>
        <w:numPr>
          <w:ilvl w:val="3"/>
          <w:numId w:val="38"/>
        </w:numPr>
        <w:spacing w:line="240" w:lineRule="auto"/>
        <w:rPr>
          <w:color w:val="auto"/>
        </w:rPr>
      </w:pPr>
      <w:r>
        <w:rPr>
          <w:rFonts w:hint="eastAsia"/>
          <w:color w:val="auto"/>
        </w:rPr>
        <w:t>事件管理中心</w:t>
      </w:r>
    </w:p>
    <w:p w14:paraId="6A5D3480">
      <w:pPr>
        <w:pStyle w:val="7"/>
        <w:numPr>
          <w:ilvl w:val="4"/>
          <w:numId w:val="38"/>
        </w:numPr>
        <w:spacing w:line="240" w:lineRule="auto"/>
        <w:rPr>
          <w:color w:val="auto"/>
          <w:lang w:val="zh-CN"/>
        </w:rPr>
      </w:pPr>
      <w:r>
        <w:rPr>
          <w:rFonts w:hint="eastAsia"/>
          <w:color w:val="auto"/>
        </w:rPr>
        <w:t>统一受理</w:t>
      </w:r>
    </w:p>
    <w:p w14:paraId="710F5A30">
      <w:pPr>
        <w:pStyle w:val="8"/>
        <w:numPr>
          <w:ilvl w:val="5"/>
          <w:numId w:val="38"/>
        </w:numPr>
        <w:spacing w:line="240" w:lineRule="auto"/>
        <w:rPr>
          <w:color w:val="auto"/>
        </w:rPr>
      </w:pPr>
      <w:r>
        <w:rPr>
          <w:rFonts w:hint="eastAsia"/>
          <w:color w:val="auto"/>
        </w:rPr>
        <w:t>受理渠道拓展</w:t>
      </w:r>
    </w:p>
    <w:p w14:paraId="3C6E24E1">
      <w:pPr>
        <w:pStyle w:val="3"/>
        <w:numPr>
          <w:ilvl w:val="6"/>
          <w:numId w:val="38"/>
        </w:numPr>
        <w:spacing w:line="240" w:lineRule="auto"/>
        <w:rPr>
          <w:color w:val="auto"/>
          <w:szCs w:val="22"/>
          <w:lang w:val="zh-CN"/>
        </w:rPr>
      </w:pPr>
      <w:r>
        <w:rPr>
          <w:rFonts w:hint="eastAsia"/>
          <w:color w:val="auto"/>
          <w:szCs w:val="22"/>
          <w:lang w:val="zh-CN"/>
        </w:rPr>
        <w:t>12345平台受理接入</w:t>
      </w:r>
    </w:p>
    <w:p w14:paraId="327448DD">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充分发挥现有</w:t>
      </w:r>
      <w:r>
        <w:rPr>
          <w:rFonts w:ascii="宋体" w:hAnsi="宋体" w:eastAsia="宋体" w:cs="宋体"/>
          <w:color w:val="auto"/>
          <w:sz w:val="24"/>
          <w:szCs w:val="21"/>
        </w:rPr>
        <w:t>福州市12345便民服务</w:t>
      </w:r>
      <w:r>
        <w:rPr>
          <w:rFonts w:hint="eastAsia" w:ascii="宋体" w:hAnsi="宋体" w:eastAsia="宋体" w:cs="宋体"/>
          <w:color w:val="auto"/>
          <w:sz w:val="24"/>
          <w:szCs w:val="21"/>
        </w:rPr>
        <w:t>中心</w:t>
      </w:r>
      <w:r>
        <w:rPr>
          <w:rFonts w:ascii="宋体" w:hAnsi="宋体" w:eastAsia="宋体" w:cs="宋体"/>
          <w:color w:val="auto"/>
          <w:sz w:val="24"/>
          <w:szCs w:val="21"/>
        </w:rPr>
        <w:t>在整个</w:t>
      </w:r>
      <w:r>
        <w:rPr>
          <w:rFonts w:hint="eastAsia" w:ascii="宋体" w:hAnsi="宋体" w:eastAsia="宋体" w:cs="宋体"/>
          <w:color w:val="auto"/>
          <w:sz w:val="24"/>
          <w:szCs w:val="21"/>
        </w:rPr>
        <w:t>福州市的影响</w:t>
      </w:r>
      <w:r>
        <w:rPr>
          <w:rFonts w:ascii="宋体" w:hAnsi="宋体" w:eastAsia="宋体" w:cs="宋体"/>
          <w:color w:val="auto"/>
          <w:sz w:val="24"/>
          <w:szCs w:val="21"/>
        </w:rPr>
        <w:t>力，</w:t>
      </w:r>
      <w:r>
        <w:rPr>
          <w:rFonts w:hint="eastAsia" w:ascii="宋体" w:hAnsi="宋体" w:eastAsia="宋体" w:cs="宋体"/>
          <w:color w:val="auto"/>
          <w:sz w:val="24"/>
          <w:szCs w:val="21"/>
        </w:rPr>
        <w:t>充分</w:t>
      </w:r>
      <w:r>
        <w:rPr>
          <w:rFonts w:ascii="宋体" w:hAnsi="宋体" w:eastAsia="宋体" w:cs="宋体"/>
          <w:color w:val="auto"/>
          <w:sz w:val="24"/>
          <w:szCs w:val="21"/>
        </w:rPr>
        <w:t>发挥“12345</w:t>
      </w:r>
      <w:r>
        <w:rPr>
          <w:rFonts w:hint="eastAsia" w:ascii="宋体" w:hAnsi="宋体" w:eastAsia="宋体" w:cs="宋体"/>
          <w:color w:val="auto"/>
          <w:sz w:val="24"/>
          <w:szCs w:val="21"/>
        </w:rPr>
        <w:t>有事</w:t>
      </w:r>
      <w:r>
        <w:rPr>
          <w:rFonts w:ascii="宋体" w:hAnsi="宋体" w:eastAsia="宋体" w:cs="宋体"/>
          <w:color w:val="auto"/>
          <w:sz w:val="24"/>
          <w:szCs w:val="21"/>
        </w:rPr>
        <w:t>找政府”</w:t>
      </w:r>
      <w:r>
        <w:rPr>
          <w:rFonts w:hint="eastAsia" w:ascii="宋体" w:hAnsi="宋体" w:eastAsia="宋体" w:cs="宋体"/>
          <w:color w:val="auto"/>
          <w:sz w:val="24"/>
          <w:szCs w:val="21"/>
        </w:rPr>
        <w:t>的意义</w:t>
      </w:r>
      <w:r>
        <w:rPr>
          <w:rFonts w:ascii="宋体" w:hAnsi="宋体" w:eastAsia="宋体" w:cs="宋体"/>
          <w:color w:val="auto"/>
          <w:sz w:val="24"/>
          <w:szCs w:val="21"/>
        </w:rPr>
        <w:t>，</w:t>
      </w:r>
      <w:r>
        <w:rPr>
          <w:rFonts w:hint="eastAsia" w:ascii="宋体" w:hAnsi="宋体" w:eastAsia="宋体" w:cs="宋体"/>
          <w:color w:val="auto"/>
          <w:sz w:val="24"/>
          <w:szCs w:val="21"/>
        </w:rPr>
        <w:t>对接</w:t>
      </w:r>
      <w:r>
        <w:rPr>
          <w:rFonts w:ascii="宋体" w:hAnsi="宋体" w:eastAsia="宋体" w:cs="宋体"/>
          <w:color w:val="auto"/>
          <w:sz w:val="24"/>
          <w:szCs w:val="21"/>
        </w:rPr>
        <w:t>12345平台网站、电话等渠道诉求件信息，</w:t>
      </w:r>
      <w:r>
        <w:rPr>
          <w:rFonts w:hint="eastAsia" w:ascii="宋体" w:hAnsi="宋体" w:eastAsia="宋体" w:cs="宋体"/>
          <w:color w:val="auto"/>
          <w:sz w:val="24"/>
          <w:szCs w:val="21"/>
        </w:rPr>
        <w:t>依据</w:t>
      </w:r>
      <w:r>
        <w:rPr>
          <w:rFonts w:ascii="宋体" w:hAnsi="宋体" w:eastAsia="宋体" w:cs="宋体"/>
          <w:color w:val="auto"/>
          <w:sz w:val="24"/>
          <w:szCs w:val="21"/>
        </w:rPr>
        <w:t>新的事件分类实现对</w:t>
      </w:r>
      <w:r>
        <w:rPr>
          <w:rFonts w:hint="eastAsia" w:ascii="宋体" w:hAnsi="宋体" w:eastAsia="宋体" w:cs="宋体"/>
          <w:color w:val="auto"/>
          <w:sz w:val="24"/>
          <w:szCs w:val="21"/>
        </w:rPr>
        <w:t>事件受理</w:t>
      </w:r>
      <w:r>
        <w:rPr>
          <w:rFonts w:ascii="宋体" w:hAnsi="宋体" w:eastAsia="宋体" w:cs="宋体"/>
          <w:color w:val="auto"/>
          <w:sz w:val="24"/>
          <w:szCs w:val="21"/>
        </w:rPr>
        <w:t>、查询，对事件受理的类别修改</w:t>
      </w:r>
      <w:r>
        <w:rPr>
          <w:rFonts w:hint="eastAsia" w:ascii="宋体" w:hAnsi="宋体" w:eastAsia="宋体" w:cs="宋体"/>
          <w:color w:val="auto"/>
          <w:sz w:val="24"/>
          <w:szCs w:val="21"/>
        </w:rPr>
        <w:t>等。实现对接福州市</w:t>
      </w:r>
      <w:r>
        <w:rPr>
          <w:rFonts w:ascii="宋体" w:hAnsi="宋体" w:eastAsia="宋体" w:cs="宋体"/>
          <w:color w:val="auto"/>
          <w:sz w:val="24"/>
          <w:szCs w:val="21"/>
        </w:rPr>
        <w:t>12345网站进行所有</w:t>
      </w:r>
      <w:r>
        <w:rPr>
          <w:rFonts w:hint="eastAsia" w:ascii="宋体" w:hAnsi="宋体" w:eastAsia="宋体" w:cs="宋体"/>
          <w:color w:val="auto"/>
          <w:sz w:val="24"/>
          <w:szCs w:val="21"/>
        </w:rPr>
        <w:t>事件的</w:t>
      </w:r>
      <w:r>
        <w:rPr>
          <w:rFonts w:ascii="宋体" w:hAnsi="宋体" w:eastAsia="宋体" w:cs="宋体"/>
          <w:color w:val="auto"/>
          <w:sz w:val="24"/>
          <w:szCs w:val="21"/>
        </w:rPr>
        <w:t>受理信息</w:t>
      </w:r>
      <w:r>
        <w:rPr>
          <w:rFonts w:hint="eastAsia" w:ascii="宋体" w:hAnsi="宋体" w:eastAsia="宋体" w:cs="宋体"/>
          <w:color w:val="auto"/>
          <w:sz w:val="24"/>
          <w:szCs w:val="21"/>
        </w:rPr>
        <w:t>。</w:t>
      </w:r>
    </w:p>
    <w:p w14:paraId="3396143D">
      <w:pPr>
        <w:pStyle w:val="3"/>
        <w:numPr>
          <w:ilvl w:val="6"/>
          <w:numId w:val="38"/>
        </w:numPr>
        <w:spacing w:line="240" w:lineRule="auto"/>
        <w:rPr>
          <w:color w:val="auto"/>
        </w:rPr>
      </w:pPr>
      <w:r>
        <w:rPr>
          <w:color w:val="auto"/>
        </w:rPr>
        <w:t>12319</w:t>
      </w:r>
      <w:r>
        <w:rPr>
          <w:rFonts w:hint="eastAsia"/>
          <w:color w:val="auto"/>
        </w:rPr>
        <w:t>微信公众号上报受理</w:t>
      </w:r>
    </w:p>
    <w:p w14:paraId="7298CEB6">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接入国家统一微信公众号“</w:t>
      </w:r>
      <w:r>
        <w:rPr>
          <w:rFonts w:ascii="宋体" w:hAnsi="宋体" w:eastAsia="宋体" w:cs="宋体"/>
          <w:color w:val="auto"/>
          <w:sz w:val="24"/>
          <w:szCs w:val="21"/>
        </w:rPr>
        <w:t>12319</w:t>
      </w:r>
      <w:r>
        <w:rPr>
          <w:rFonts w:hint="eastAsia" w:ascii="宋体" w:hAnsi="宋体" w:eastAsia="宋体" w:cs="宋体"/>
          <w:color w:val="auto"/>
          <w:sz w:val="24"/>
          <w:szCs w:val="21"/>
        </w:rPr>
        <w:t>微信公众服务号</w:t>
      </w:r>
      <w:r>
        <w:rPr>
          <w:rFonts w:ascii="宋体" w:hAnsi="宋体" w:eastAsia="宋体" w:cs="宋体"/>
          <w:color w:val="auto"/>
          <w:sz w:val="24"/>
          <w:szCs w:val="21"/>
        </w:rPr>
        <w:t>”</w:t>
      </w:r>
      <w:r>
        <w:rPr>
          <w:rFonts w:hint="eastAsia" w:ascii="宋体" w:hAnsi="宋体" w:eastAsia="宋体" w:cs="宋体"/>
          <w:color w:val="auto"/>
          <w:sz w:val="24"/>
          <w:szCs w:val="21"/>
        </w:rPr>
        <w:t>，依据新的事件分类实现对事件受理、查询，对事件受理的类别修改等。实现通过微信号进行所有事件的受理信息。</w:t>
      </w:r>
    </w:p>
    <w:p w14:paraId="75E2A7C2">
      <w:pPr>
        <w:pStyle w:val="3"/>
        <w:numPr>
          <w:ilvl w:val="6"/>
          <w:numId w:val="38"/>
        </w:numPr>
        <w:spacing w:line="240" w:lineRule="auto"/>
        <w:rPr>
          <w:color w:val="auto"/>
        </w:rPr>
      </w:pPr>
      <w:r>
        <w:rPr>
          <w:color w:val="auto"/>
        </w:rPr>
        <w:t>AI</w:t>
      </w:r>
      <w:r>
        <w:rPr>
          <w:rFonts w:hint="eastAsia"/>
          <w:color w:val="auto"/>
        </w:rPr>
        <w:t>视频智能分析上报受理</w:t>
      </w:r>
    </w:p>
    <w:p w14:paraId="202695E9">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通过与</w:t>
      </w:r>
      <w:r>
        <w:rPr>
          <w:rFonts w:ascii="宋体" w:hAnsi="宋体" w:eastAsia="宋体" w:cs="宋体"/>
          <w:color w:val="auto"/>
          <w:sz w:val="24"/>
          <w:szCs w:val="21"/>
        </w:rPr>
        <w:t>AI</w:t>
      </w:r>
      <w:r>
        <w:rPr>
          <w:rFonts w:hint="eastAsia" w:ascii="宋体" w:hAnsi="宋体" w:eastAsia="宋体" w:cs="宋体"/>
          <w:color w:val="auto"/>
          <w:sz w:val="24"/>
          <w:szCs w:val="21"/>
        </w:rPr>
        <w:t>视频智能分析平台对接，通过接口调用，</w:t>
      </w:r>
      <w:r>
        <w:rPr>
          <w:rFonts w:ascii="宋体" w:hAnsi="宋体" w:eastAsia="宋体" w:cs="宋体"/>
          <w:color w:val="auto"/>
          <w:sz w:val="24"/>
          <w:szCs w:val="21"/>
        </w:rPr>
        <w:t>AI</w:t>
      </w:r>
      <w:r>
        <w:rPr>
          <w:rFonts w:hint="eastAsia" w:ascii="宋体" w:hAnsi="宋体" w:eastAsia="宋体" w:cs="宋体"/>
          <w:color w:val="auto"/>
          <w:sz w:val="24"/>
          <w:szCs w:val="21"/>
        </w:rPr>
        <w:t>视频智能分析平台采将集的事件信息自动派发到接报平台，并转换为符合规范的统一事件表单进行统一管理，目前可实现视频</w:t>
      </w:r>
      <w:r>
        <w:rPr>
          <w:rFonts w:ascii="宋体" w:hAnsi="宋体" w:eastAsia="宋体" w:cs="宋体"/>
          <w:color w:val="auto"/>
          <w:sz w:val="24"/>
          <w:szCs w:val="21"/>
        </w:rPr>
        <w:t>AI</w:t>
      </w:r>
      <w:r>
        <w:rPr>
          <w:rFonts w:hint="eastAsia" w:ascii="宋体" w:hAnsi="宋体" w:eastAsia="宋体" w:cs="宋体"/>
          <w:color w:val="auto"/>
          <w:sz w:val="24"/>
          <w:szCs w:val="21"/>
        </w:rPr>
        <w:t>智能识别服务的总体建设思路是充分利用全市的视频探头资源，按照</w:t>
      </w:r>
      <w:r>
        <w:rPr>
          <w:rFonts w:ascii="宋体" w:hAnsi="宋体" w:eastAsia="宋体" w:cs="宋体"/>
          <w:color w:val="auto"/>
          <w:sz w:val="24"/>
          <w:szCs w:val="21"/>
        </w:rPr>
        <w:t>“</w:t>
      </w:r>
      <w:r>
        <w:rPr>
          <w:rFonts w:hint="eastAsia" w:ascii="宋体" w:hAnsi="宋体" w:eastAsia="宋体" w:cs="宋体"/>
          <w:color w:val="auto"/>
          <w:sz w:val="24"/>
          <w:szCs w:val="21"/>
        </w:rPr>
        <w:t>智能、整合、优化、提升</w:t>
      </w:r>
      <w:r>
        <w:rPr>
          <w:rFonts w:ascii="宋体" w:hAnsi="宋体" w:eastAsia="宋体" w:cs="宋体"/>
          <w:color w:val="auto"/>
          <w:sz w:val="24"/>
          <w:szCs w:val="21"/>
        </w:rPr>
        <w:t>”</w:t>
      </w:r>
      <w:r>
        <w:rPr>
          <w:rFonts w:hint="eastAsia" w:ascii="宋体" w:hAnsi="宋体" w:eastAsia="宋体" w:cs="宋体"/>
          <w:color w:val="auto"/>
          <w:sz w:val="24"/>
          <w:szCs w:val="21"/>
        </w:rPr>
        <w:t>的理念，辅助进行事件采集与核查反馈，逐步建立全市视频</w:t>
      </w:r>
      <w:r>
        <w:rPr>
          <w:rFonts w:ascii="宋体" w:hAnsi="宋体" w:eastAsia="宋体" w:cs="宋体"/>
          <w:color w:val="auto"/>
          <w:sz w:val="24"/>
          <w:szCs w:val="21"/>
        </w:rPr>
        <w:t>AI</w:t>
      </w:r>
      <w:r>
        <w:rPr>
          <w:rFonts w:hint="eastAsia" w:ascii="宋体" w:hAnsi="宋体" w:eastAsia="宋体" w:cs="宋体"/>
          <w:color w:val="auto"/>
          <w:sz w:val="24"/>
          <w:szCs w:val="21"/>
        </w:rPr>
        <w:t>智能识别能力</w:t>
      </w:r>
      <w:r>
        <w:rPr>
          <w:rFonts w:ascii="宋体" w:hAnsi="宋体" w:eastAsia="宋体" w:cs="宋体"/>
          <w:color w:val="auto"/>
          <w:sz w:val="24"/>
          <w:szCs w:val="21"/>
        </w:rPr>
        <w:t xml:space="preserve">, </w:t>
      </w:r>
      <w:r>
        <w:rPr>
          <w:rFonts w:hint="eastAsia" w:ascii="宋体" w:hAnsi="宋体" w:eastAsia="宋体" w:cs="宋体"/>
          <w:color w:val="auto"/>
          <w:sz w:val="24"/>
          <w:szCs w:val="21"/>
        </w:rPr>
        <w:t>对全市视频探头覆盖区域，实现全天</w:t>
      </w:r>
      <w:r>
        <w:rPr>
          <w:rFonts w:ascii="宋体" w:hAnsi="宋体" w:eastAsia="宋体" w:cs="宋体"/>
          <w:color w:val="auto"/>
          <w:sz w:val="24"/>
          <w:szCs w:val="21"/>
        </w:rPr>
        <w:t>24</w:t>
      </w:r>
      <w:r>
        <w:rPr>
          <w:rFonts w:hint="eastAsia" w:ascii="宋体" w:hAnsi="宋体" w:eastAsia="宋体" w:cs="宋体"/>
          <w:color w:val="auto"/>
          <w:sz w:val="24"/>
          <w:szCs w:val="21"/>
        </w:rPr>
        <w:t>小时监测，根据城市管理相关规章制度在不同摄像机的场景中预设不同的报警规则，对流动摊点、垃圾满溢、占道经营、横幅游行、共享单车乱停放等</w:t>
      </w:r>
      <w:r>
        <w:rPr>
          <w:rFonts w:ascii="宋体" w:hAnsi="宋体" w:eastAsia="宋体" w:cs="宋体"/>
          <w:color w:val="auto"/>
          <w:sz w:val="24"/>
          <w:szCs w:val="21"/>
        </w:rPr>
        <w:t>20</w:t>
      </w:r>
      <w:r>
        <w:rPr>
          <w:rFonts w:hint="eastAsia" w:ascii="宋体" w:hAnsi="宋体" w:eastAsia="宋体" w:cs="宋体"/>
          <w:color w:val="auto"/>
          <w:sz w:val="24"/>
          <w:szCs w:val="21"/>
        </w:rPr>
        <w:t>类城市管理与社会治理事件进行场景检测、智能识别、案件自动分类、自动取证、任务智能派发一旦目标在场景中出现了违反预定义规则的行为，系统会自动发出报警，指挥中心根据这些预警信息进行筛选与分派操作，提升城市管理与社会治理水平。</w:t>
      </w:r>
    </w:p>
    <w:p w14:paraId="5A224EDF">
      <w:pPr>
        <w:numPr>
          <w:ilvl w:val="0"/>
          <w:numId w:val="39"/>
        </w:numPr>
        <w:ind w:firstLine="14" w:firstLineChars="6"/>
        <w:rPr>
          <w:rFonts w:ascii="Times New Roman" w:hAnsi="Times New Roman" w:eastAsia="宋体" w:cs="Times New Roman"/>
          <w:color w:val="auto"/>
          <w:sz w:val="24"/>
          <w:szCs w:val="21"/>
          <w:lang w:val="zh-CN"/>
        </w:rPr>
      </w:pPr>
      <w:r>
        <w:rPr>
          <w:rFonts w:hint="eastAsia" w:ascii="Times New Roman" w:hAnsi="Times New Roman" w:eastAsia="宋体" w:cs="Times New Roman"/>
          <w:color w:val="auto"/>
          <w:sz w:val="24"/>
          <w:szCs w:val="21"/>
          <w:lang w:val="zh-CN"/>
        </w:rPr>
        <w:t>探头颜色区分</w:t>
      </w:r>
    </w:p>
    <w:p w14:paraId="18344801">
      <w:pPr>
        <w:ind w:firstLine="480" w:firstLineChars="200"/>
        <w:rPr>
          <w:rFonts w:ascii="宋体" w:hAnsi="宋体" w:eastAsia="宋体" w:cs="宋体"/>
          <w:color w:val="auto"/>
          <w:sz w:val="24"/>
          <w:szCs w:val="21"/>
          <w:lang w:val="zh-CN"/>
        </w:rPr>
      </w:pPr>
      <w:r>
        <w:rPr>
          <w:rFonts w:hint="eastAsia" w:ascii="宋体" w:hAnsi="宋体" w:eastAsia="宋体" w:cs="宋体"/>
          <w:color w:val="auto"/>
          <w:sz w:val="24"/>
          <w:szCs w:val="21"/>
          <w:lang w:val="zh-CN"/>
        </w:rPr>
        <w:t>平台摄像头设备多，现场坐席在监控视频时需要时常切换设备，如果无法有效区分，可能会导致坐席员重复监控部分摄像头影响工作效率，所以对探头进行颜色区分，坐席员点击后的设备为黄色，坏的和无法打开的为红色，未点击的为蓝色。</w:t>
      </w:r>
    </w:p>
    <w:p w14:paraId="0C0B38A8">
      <w:pPr>
        <w:numPr>
          <w:ilvl w:val="0"/>
          <w:numId w:val="39"/>
        </w:numPr>
        <w:ind w:firstLine="14" w:firstLineChars="6"/>
        <w:rPr>
          <w:rFonts w:ascii="Times New Roman" w:hAnsi="Times New Roman" w:eastAsia="宋体" w:cs="Times New Roman"/>
          <w:color w:val="auto"/>
          <w:sz w:val="24"/>
          <w:szCs w:val="21"/>
          <w:lang w:val="zh-CN"/>
        </w:rPr>
      </w:pPr>
      <w:r>
        <w:rPr>
          <w:rFonts w:hint="eastAsia" w:ascii="Times New Roman" w:hAnsi="Times New Roman" w:eastAsia="宋体" w:cs="Times New Roman"/>
          <w:color w:val="auto"/>
          <w:sz w:val="24"/>
          <w:szCs w:val="21"/>
          <w:lang w:val="zh-CN"/>
        </w:rPr>
        <w:t>已点探头识别</w:t>
      </w:r>
    </w:p>
    <w:p w14:paraId="5E581844">
      <w:pPr>
        <w:ind w:firstLine="480" w:firstLineChars="200"/>
        <w:rPr>
          <w:rFonts w:ascii="宋体" w:hAnsi="宋体" w:eastAsia="宋体" w:cs="宋体"/>
          <w:color w:val="auto"/>
          <w:sz w:val="24"/>
          <w:szCs w:val="21"/>
          <w:lang w:val="zh-CN"/>
        </w:rPr>
      </w:pPr>
      <w:r>
        <w:rPr>
          <w:rFonts w:hint="eastAsia" w:ascii="宋体" w:hAnsi="宋体" w:eastAsia="宋体" w:cs="宋体"/>
          <w:color w:val="auto"/>
          <w:sz w:val="24"/>
          <w:szCs w:val="21"/>
          <w:lang w:val="zh-CN"/>
        </w:rPr>
        <w:t>现场坐席员需要对其他坐席员已点的探头能够识别，已点探头带有颜色标识需保持实时刷新，避免坐席员对其他账号坐席员点过的探头重复点击。</w:t>
      </w:r>
    </w:p>
    <w:p w14:paraId="1D49770F">
      <w:pPr>
        <w:numPr>
          <w:ilvl w:val="0"/>
          <w:numId w:val="39"/>
        </w:numPr>
        <w:ind w:firstLine="14" w:firstLineChars="6"/>
        <w:rPr>
          <w:rFonts w:ascii="Times New Roman" w:hAnsi="Times New Roman" w:eastAsia="宋体" w:cs="Times New Roman"/>
          <w:color w:val="auto"/>
          <w:sz w:val="24"/>
          <w:szCs w:val="21"/>
          <w:lang w:val="zh-CN"/>
        </w:rPr>
      </w:pPr>
      <w:r>
        <w:rPr>
          <w:rFonts w:hint="eastAsia" w:ascii="Times New Roman" w:hAnsi="Times New Roman" w:eastAsia="宋体" w:cs="Times New Roman"/>
          <w:color w:val="auto"/>
          <w:sz w:val="24"/>
          <w:szCs w:val="21"/>
          <w:lang w:val="zh-CN"/>
        </w:rPr>
        <w:t>地图关联双屏</w:t>
      </w:r>
    </w:p>
    <w:p w14:paraId="79DE515A">
      <w:pPr>
        <w:ind w:firstLine="480" w:firstLineChars="200"/>
        <w:rPr>
          <w:rFonts w:ascii="宋体" w:hAnsi="宋体" w:eastAsia="宋体" w:cs="宋体"/>
          <w:color w:val="auto"/>
          <w:sz w:val="24"/>
          <w:szCs w:val="21"/>
          <w:lang w:val="zh-CN"/>
        </w:rPr>
      </w:pPr>
      <w:r>
        <w:rPr>
          <w:rFonts w:hint="eastAsia" w:ascii="宋体" w:hAnsi="宋体" w:eastAsia="宋体" w:cs="宋体"/>
          <w:color w:val="auto"/>
          <w:sz w:val="24"/>
          <w:szCs w:val="21"/>
          <w:lang w:val="zh-CN"/>
        </w:rPr>
        <w:t>通过双屏方式展示，左侧为视频上报模块，右侧为地图界面，可显示摄像头定位情况。地图上设备显示可使用聚类的方式显示，区域存在大量摄像头时，只显示数量，地图放大后，可查看此区域具体摄像头。</w:t>
      </w:r>
    </w:p>
    <w:p w14:paraId="549F6030">
      <w:pPr>
        <w:numPr>
          <w:ilvl w:val="0"/>
          <w:numId w:val="39"/>
        </w:numPr>
        <w:ind w:firstLine="14" w:firstLineChars="6"/>
        <w:rPr>
          <w:rFonts w:ascii="Times New Roman" w:hAnsi="Times New Roman" w:eastAsia="宋体" w:cs="Times New Roman"/>
          <w:color w:val="auto"/>
          <w:sz w:val="24"/>
          <w:szCs w:val="21"/>
          <w:lang w:val="zh-CN"/>
        </w:rPr>
      </w:pPr>
      <w:r>
        <w:rPr>
          <w:rFonts w:hint="eastAsia" w:ascii="Times New Roman" w:hAnsi="Times New Roman" w:eastAsia="宋体" w:cs="Times New Roman"/>
          <w:color w:val="auto"/>
          <w:sz w:val="24"/>
          <w:szCs w:val="21"/>
          <w:lang w:val="zh-CN"/>
        </w:rPr>
        <w:t>设备标签</w:t>
      </w:r>
    </w:p>
    <w:p w14:paraId="4AFAAD0F">
      <w:pPr>
        <w:ind w:firstLine="480" w:firstLineChars="200"/>
        <w:rPr>
          <w:rFonts w:ascii="宋体" w:hAnsi="宋体" w:eastAsia="宋体" w:cs="宋体"/>
          <w:color w:val="auto"/>
          <w:sz w:val="24"/>
          <w:szCs w:val="21"/>
          <w:lang w:val="zh-CN"/>
        </w:rPr>
      </w:pPr>
      <w:r>
        <w:rPr>
          <w:rFonts w:hint="eastAsia" w:ascii="宋体" w:hAnsi="宋体" w:eastAsia="宋体" w:cs="宋体"/>
          <w:color w:val="auto"/>
          <w:sz w:val="24"/>
          <w:szCs w:val="21"/>
          <w:lang w:val="zh-CN"/>
        </w:rPr>
        <w:t>视频对接，因设备数量多，用户在日常使用可以对摄像头设备绑定对呀标签，如部分摄像头所在位置专门用于监控某些类别案件，或该摄像头存在高发问题等，需实现摄像头与标签进行绑定关联。</w:t>
      </w:r>
    </w:p>
    <w:p w14:paraId="3BAF0F3F">
      <w:pPr>
        <w:numPr>
          <w:ilvl w:val="0"/>
          <w:numId w:val="39"/>
        </w:numPr>
        <w:ind w:firstLine="14" w:firstLineChars="6"/>
        <w:rPr>
          <w:rFonts w:ascii="Times New Roman" w:hAnsi="Times New Roman" w:eastAsia="宋体" w:cs="Times New Roman"/>
          <w:color w:val="auto"/>
          <w:sz w:val="24"/>
          <w:szCs w:val="21"/>
          <w:lang w:val="zh-CN"/>
        </w:rPr>
      </w:pPr>
      <w:r>
        <w:rPr>
          <w:rFonts w:hint="eastAsia" w:ascii="Times New Roman" w:hAnsi="Times New Roman" w:eastAsia="宋体" w:cs="Times New Roman"/>
          <w:color w:val="auto"/>
          <w:sz w:val="24"/>
          <w:szCs w:val="21"/>
          <w:lang w:val="zh-CN"/>
        </w:rPr>
        <w:t>探头统计</w:t>
      </w:r>
    </w:p>
    <w:p w14:paraId="60C9F195">
      <w:pPr>
        <w:ind w:firstLine="480" w:firstLineChars="200"/>
        <w:rPr>
          <w:rFonts w:ascii="宋体" w:hAnsi="宋体" w:eastAsia="宋体" w:cs="宋体"/>
          <w:color w:val="auto"/>
          <w:sz w:val="24"/>
          <w:szCs w:val="21"/>
          <w:lang w:val="zh-CN"/>
        </w:rPr>
      </w:pPr>
      <w:r>
        <w:rPr>
          <w:rFonts w:hint="eastAsia" w:ascii="宋体" w:hAnsi="宋体" w:eastAsia="宋体" w:cs="宋体"/>
          <w:color w:val="auto"/>
          <w:sz w:val="24"/>
          <w:szCs w:val="21"/>
          <w:lang w:val="zh-CN"/>
        </w:rPr>
        <w:t>工作量加强管理，需要对有效点击量进行统计，从点击量，有效点击个数，案件上报数三个维度进行统计</w:t>
      </w:r>
    </w:p>
    <w:p w14:paraId="11E73D46">
      <w:pPr>
        <w:pStyle w:val="3"/>
        <w:numPr>
          <w:ilvl w:val="6"/>
          <w:numId w:val="38"/>
        </w:numPr>
        <w:spacing w:line="240" w:lineRule="auto"/>
        <w:rPr>
          <w:color w:val="auto"/>
        </w:rPr>
      </w:pPr>
      <w:r>
        <w:rPr>
          <w:rFonts w:hint="eastAsia"/>
          <w:color w:val="auto"/>
        </w:rPr>
        <w:t>物联网感知平台上报受理</w:t>
      </w:r>
    </w:p>
    <w:p w14:paraId="21C3E711">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与物联网感知平台对接，通过事件接口调用，获取物联网感知平台自动采集的事件信息，并转换为符合规范的统一事件表单，接入到信息接报平台中进行统一管理。</w:t>
      </w:r>
    </w:p>
    <w:p w14:paraId="18DEE313">
      <w:pPr>
        <w:pStyle w:val="3"/>
        <w:numPr>
          <w:ilvl w:val="6"/>
          <w:numId w:val="38"/>
        </w:numPr>
        <w:spacing w:line="240" w:lineRule="auto"/>
        <w:rPr>
          <w:color w:val="auto"/>
        </w:rPr>
      </w:pPr>
      <w:r>
        <w:rPr>
          <w:rFonts w:hint="eastAsia"/>
          <w:color w:val="auto"/>
        </w:rPr>
        <w:t>社情民意受理</w:t>
      </w:r>
    </w:p>
    <w:p w14:paraId="76A71A56">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社情民意模块是市级网格化社会服务管理信息中心负责统一受理全民参与手机过热线反映的社会管理类问题，根据问题的类型、性质、详情事由等信息，结合《福州市社会管理工作手册》，对问题进行研判分流、回访核查。</w:t>
      </w:r>
    </w:p>
    <w:p w14:paraId="628D6B16">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该模块包括：登记栏、待办案卷栏、核查栏、移交案卷栏、督办栏和存档栏。</w:t>
      </w:r>
    </w:p>
    <w:p w14:paraId="48715B88">
      <w:pPr>
        <w:numPr>
          <w:ilvl w:val="0"/>
          <w:numId w:val="40"/>
        </w:numPr>
        <w:spacing w:before="120"/>
        <w:ind w:firstLine="480" w:firstLineChars="200"/>
        <w:rPr>
          <w:rFonts w:ascii="宋体" w:hAnsi="宋体" w:eastAsia="宋体" w:cs="宋体"/>
          <w:bCs/>
          <w:color w:val="auto"/>
          <w:sz w:val="24"/>
          <w:szCs w:val="21"/>
        </w:rPr>
      </w:pPr>
      <w:r>
        <w:rPr>
          <w:rFonts w:hint="eastAsia" w:ascii="宋体" w:hAnsi="宋体" w:eastAsia="宋体" w:cs="宋体"/>
          <w:bCs/>
          <w:color w:val="auto"/>
          <w:sz w:val="24"/>
          <w:szCs w:val="21"/>
        </w:rPr>
        <w:t>基于</w:t>
      </w:r>
      <w:r>
        <w:rPr>
          <w:rFonts w:ascii="宋体" w:hAnsi="宋体" w:eastAsia="宋体" w:cs="宋体"/>
          <w:bCs/>
          <w:color w:val="auto"/>
          <w:sz w:val="24"/>
          <w:szCs w:val="21"/>
        </w:rPr>
        <w:t>GIS地图的社情民意登记受理</w:t>
      </w:r>
    </w:p>
    <w:p w14:paraId="48510B44">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受理员全面受理社会公众通过拨打中心特服号码反映的问题，并通过图文一体化窗口，实现基于</w:t>
      </w:r>
      <w:r>
        <w:rPr>
          <w:rFonts w:ascii="宋体" w:hAnsi="宋体" w:eastAsia="宋体" w:cs="宋体"/>
          <w:color w:val="auto"/>
          <w:sz w:val="24"/>
          <w:szCs w:val="21"/>
        </w:rPr>
        <w:t>GIS的位置定位，社情民意信息填写。</w:t>
      </w:r>
    </w:p>
    <w:p w14:paraId="18446080">
      <w:pPr>
        <w:numPr>
          <w:ilvl w:val="0"/>
          <w:numId w:val="40"/>
        </w:numPr>
        <w:spacing w:before="120"/>
        <w:ind w:firstLine="480" w:firstLineChars="200"/>
        <w:rPr>
          <w:rFonts w:ascii="宋体" w:hAnsi="宋体" w:eastAsia="宋体" w:cs="宋体"/>
          <w:bCs/>
          <w:color w:val="auto"/>
          <w:sz w:val="24"/>
          <w:szCs w:val="21"/>
        </w:rPr>
      </w:pPr>
      <w:r>
        <w:rPr>
          <w:rFonts w:hint="eastAsia" w:ascii="宋体" w:hAnsi="宋体" w:eastAsia="宋体" w:cs="宋体"/>
          <w:bCs/>
          <w:color w:val="auto"/>
          <w:sz w:val="24"/>
          <w:szCs w:val="21"/>
        </w:rPr>
        <w:t>社情民意处置督办</w:t>
      </w:r>
    </w:p>
    <w:p w14:paraId="4CEAC730">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受理员根据案卷的指示灯判断案卷所处的状态和阶段，如果指示灯显示红色，即案卷超过规定的处置时限，则受理员可通过向处置部门发送督办，加快案卷的处置进度。</w:t>
      </w:r>
    </w:p>
    <w:p w14:paraId="4E71E7C4">
      <w:pPr>
        <w:numPr>
          <w:ilvl w:val="0"/>
          <w:numId w:val="40"/>
        </w:numPr>
        <w:spacing w:before="120"/>
        <w:ind w:firstLine="480" w:firstLineChars="200"/>
        <w:rPr>
          <w:rFonts w:ascii="宋体" w:hAnsi="宋体" w:eastAsia="宋体" w:cs="宋体"/>
          <w:bCs/>
          <w:color w:val="auto"/>
          <w:sz w:val="24"/>
          <w:szCs w:val="21"/>
        </w:rPr>
      </w:pPr>
      <w:r>
        <w:rPr>
          <w:rFonts w:hint="eastAsia" w:ascii="宋体" w:hAnsi="宋体" w:eastAsia="宋体" w:cs="宋体"/>
          <w:bCs/>
          <w:color w:val="auto"/>
          <w:sz w:val="24"/>
          <w:szCs w:val="21"/>
        </w:rPr>
        <w:t>社情民意处置流程查看</w:t>
      </w:r>
    </w:p>
    <w:p w14:paraId="09229289">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受理员可查看每条事件的详细信息，包括上报的详细信息（事件类型、大类、小类、当事人、地址、事件描述等）、处置的过程信息（处置环节、处理单位、处理时间、处理人、核查人、核查结果等）。</w:t>
      </w:r>
    </w:p>
    <w:p w14:paraId="1C0F36C5">
      <w:pPr>
        <w:numPr>
          <w:ilvl w:val="0"/>
          <w:numId w:val="40"/>
        </w:numPr>
        <w:spacing w:before="120"/>
        <w:ind w:firstLine="480" w:firstLineChars="200"/>
        <w:rPr>
          <w:rFonts w:ascii="宋体" w:hAnsi="宋体" w:eastAsia="宋体" w:cs="宋体"/>
          <w:bCs/>
          <w:color w:val="auto"/>
          <w:sz w:val="24"/>
          <w:szCs w:val="21"/>
        </w:rPr>
      </w:pPr>
      <w:r>
        <w:rPr>
          <w:rFonts w:hint="eastAsia" w:ascii="宋体" w:hAnsi="宋体" w:eastAsia="宋体" w:cs="宋体"/>
          <w:bCs/>
          <w:color w:val="auto"/>
          <w:sz w:val="24"/>
          <w:szCs w:val="21"/>
        </w:rPr>
        <w:t>指示灯预警提示</w:t>
      </w:r>
    </w:p>
    <w:p w14:paraId="5668AE70">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参照指示灯预警功能，对事件所处的不同阶段、不同等级采用不同的图标进行标识，便于受理员能直观地区分哪些案卷目前处于超时状态、哪些案卷属于重大级别等。</w:t>
      </w:r>
    </w:p>
    <w:p w14:paraId="425694CC">
      <w:pPr>
        <w:numPr>
          <w:ilvl w:val="0"/>
          <w:numId w:val="40"/>
        </w:numPr>
        <w:spacing w:before="120"/>
        <w:ind w:firstLine="480" w:firstLineChars="200"/>
        <w:rPr>
          <w:rFonts w:ascii="宋体" w:hAnsi="宋体" w:eastAsia="宋体" w:cs="宋体"/>
          <w:bCs/>
          <w:color w:val="auto"/>
          <w:sz w:val="24"/>
          <w:szCs w:val="21"/>
        </w:rPr>
      </w:pPr>
      <w:r>
        <w:rPr>
          <w:rFonts w:hint="eastAsia" w:ascii="宋体" w:hAnsi="宋体" w:eastAsia="宋体" w:cs="宋体"/>
          <w:bCs/>
          <w:color w:val="auto"/>
          <w:sz w:val="24"/>
          <w:szCs w:val="21"/>
        </w:rPr>
        <w:t>核查结案</w:t>
      </w:r>
    </w:p>
    <w:p w14:paraId="7342D37A">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受理员可通过电话回访的方式，核查相关处置部门反馈回来的处置结果，根据核查结果，再决定是否结案。</w:t>
      </w:r>
    </w:p>
    <w:p w14:paraId="76861AC1">
      <w:pPr>
        <w:numPr>
          <w:ilvl w:val="0"/>
          <w:numId w:val="40"/>
        </w:numPr>
        <w:spacing w:before="120"/>
        <w:ind w:firstLine="480" w:firstLineChars="200"/>
        <w:rPr>
          <w:rFonts w:ascii="宋体" w:hAnsi="宋体" w:eastAsia="宋体" w:cs="宋体"/>
          <w:bCs/>
          <w:color w:val="auto"/>
          <w:sz w:val="24"/>
          <w:szCs w:val="21"/>
        </w:rPr>
      </w:pPr>
      <w:r>
        <w:rPr>
          <w:rFonts w:hint="eastAsia" w:ascii="宋体" w:hAnsi="宋体" w:eastAsia="宋体" w:cs="宋体"/>
          <w:bCs/>
          <w:color w:val="auto"/>
          <w:sz w:val="24"/>
          <w:szCs w:val="21"/>
        </w:rPr>
        <w:t>答复授权</w:t>
      </w:r>
    </w:p>
    <w:p w14:paraId="773A0C37">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各级社会服务管理组织机构对当前阶段名称为“授权”的案卷，进行答复授权。选择“同意”或“不同意”并且填写答复意见，之后点击“确定”。</w:t>
      </w:r>
    </w:p>
    <w:p w14:paraId="3F71EE8A">
      <w:pPr>
        <w:numPr>
          <w:ilvl w:val="0"/>
          <w:numId w:val="40"/>
        </w:numPr>
        <w:spacing w:before="120"/>
        <w:ind w:firstLine="480" w:firstLineChars="200"/>
        <w:rPr>
          <w:rFonts w:ascii="宋体" w:hAnsi="宋体" w:eastAsia="宋体" w:cs="宋体"/>
          <w:bCs/>
          <w:color w:val="auto"/>
          <w:sz w:val="24"/>
          <w:szCs w:val="21"/>
        </w:rPr>
      </w:pPr>
      <w:r>
        <w:rPr>
          <w:rFonts w:hint="eastAsia" w:ascii="宋体" w:hAnsi="宋体" w:eastAsia="宋体" w:cs="宋体"/>
          <w:bCs/>
          <w:color w:val="auto"/>
          <w:sz w:val="24"/>
          <w:szCs w:val="21"/>
        </w:rPr>
        <w:t>案卷回辙</w:t>
      </w:r>
    </w:p>
    <w:p w14:paraId="0A4CBF6B">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如果批转到本中心的案卷并不属于其受理范围内，可以将其回辙给上一工作阶段；如果发现专业部门反馈回来的任务未按要求完成，可以将案卷回退至职能部门进行重新处置。</w:t>
      </w:r>
    </w:p>
    <w:p w14:paraId="5DD04851">
      <w:pPr>
        <w:numPr>
          <w:ilvl w:val="0"/>
          <w:numId w:val="40"/>
        </w:numPr>
        <w:spacing w:before="120"/>
        <w:ind w:firstLine="480" w:firstLineChars="200"/>
        <w:rPr>
          <w:rFonts w:ascii="宋体" w:hAnsi="宋体" w:eastAsia="宋体" w:cs="宋体"/>
          <w:bCs/>
          <w:color w:val="auto"/>
          <w:sz w:val="24"/>
          <w:szCs w:val="21"/>
        </w:rPr>
      </w:pPr>
      <w:r>
        <w:rPr>
          <w:rFonts w:hint="eastAsia" w:ascii="宋体" w:hAnsi="宋体" w:eastAsia="宋体" w:cs="宋体"/>
          <w:bCs/>
          <w:color w:val="auto"/>
          <w:sz w:val="24"/>
          <w:szCs w:val="21"/>
        </w:rPr>
        <w:t>登记页面历史记录查询</w:t>
      </w:r>
    </w:p>
    <w:p w14:paraId="4F73425C">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受理员在登记社会公众反映的问题时，可根据公众举报电话或举报人姓名查询其历史案卷，为中心对案卷的统计、分析提供重要参考。</w:t>
      </w:r>
    </w:p>
    <w:p w14:paraId="20A6C8C2">
      <w:pPr>
        <w:pStyle w:val="8"/>
        <w:numPr>
          <w:ilvl w:val="5"/>
          <w:numId w:val="38"/>
        </w:numPr>
        <w:spacing w:line="240" w:lineRule="auto"/>
        <w:rPr>
          <w:color w:val="auto"/>
        </w:rPr>
      </w:pPr>
      <w:r>
        <w:rPr>
          <w:rFonts w:hint="eastAsia"/>
          <w:color w:val="auto"/>
        </w:rPr>
        <w:t>相似事件理智能识别</w:t>
      </w:r>
    </w:p>
    <w:p w14:paraId="582747F3">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现实工作中，监督指挥中心坐席员在分派案件时，经常发生相似案卷的情况，比如：信息采集员为了完成信息采集的工作任务，多次重复上报同一案卷；或者，某一案件已经被其他信息采集员上报、立案、处理，换班后，另外的信息采集员不了解情况，再次上报该案件。这类相似案卷以前经常依靠监督指挥中心人工的方式来判别，或者是案卷派遣后，由处置部门反馈该案卷为相似案卷，给日常工作带来极大困扰。为了有效避免信息采集员重复上报同一案卷，通过</w:t>
      </w:r>
      <w:r>
        <w:rPr>
          <w:rFonts w:ascii="宋体" w:hAnsi="宋体" w:eastAsia="宋体" w:cs="宋体"/>
          <w:color w:val="auto"/>
          <w:sz w:val="24"/>
          <w:szCs w:val="21"/>
        </w:rPr>
        <w:t>建设统一的受理智能识别服务</w:t>
      </w:r>
      <w:r>
        <w:rPr>
          <w:rFonts w:hint="eastAsia" w:ascii="Times New Roman" w:hAnsi="Times New Roman" w:eastAsia="宋体" w:cs="Times New Roman"/>
          <w:color w:val="auto"/>
          <w:sz w:val="24"/>
          <w:szCs w:val="22"/>
        </w:rPr>
        <w:t>12345平台、城管平台在受理案件时将案件信息传送至智能识别服务中判断是否存在历史重复受理案件，系统</w:t>
      </w:r>
      <w:r>
        <w:rPr>
          <w:rFonts w:hint="eastAsia" w:ascii="宋体" w:hAnsi="宋体" w:eastAsia="宋体" w:cs="宋体"/>
          <w:color w:val="auto"/>
          <w:sz w:val="24"/>
          <w:szCs w:val="21"/>
        </w:rPr>
        <w:t>针对相似案卷进行智能分析，并进行相似案卷的提示，提高工作效率。</w:t>
      </w:r>
    </w:p>
    <w:p w14:paraId="43884F36">
      <w:pPr>
        <w:pStyle w:val="3"/>
        <w:numPr>
          <w:ilvl w:val="6"/>
          <w:numId w:val="38"/>
        </w:numPr>
        <w:spacing w:line="240" w:lineRule="auto"/>
        <w:rPr>
          <w:color w:val="auto"/>
        </w:rPr>
      </w:pPr>
      <w:r>
        <w:rPr>
          <w:rFonts w:hint="eastAsia"/>
          <w:color w:val="auto"/>
        </w:rPr>
        <w:t>相似事件规则设置</w:t>
      </w:r>
    </w:p>
    <w:p w14:paraId="04F14453">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默认同一地点（</w:t>
      </w:r>
      <w:r>
        <w:rPr>
          <w:rFonts w:ascii="宋体" w:hAnsi="宋体" w:eastAsia="宋体" w:cs="宋体"/>
          <w:color w:val="auto"/>
          <w:sz w:val="24"/>
          <w:szCs w:val="21"/>
        </w:rPr>
        <w:t>10</w:t>
      </w:r>
      <w:r>
        <w:rPr>
          <w:rFonts w:hint="eastAsia" w:ascii="宋体" w:hAnsi="宋体" w:eastAsia="宋体" w:cs="宋体"/>
          <w:color w:val="auto"/>
          <w:sz w:val="24"/>
          <w:szCs w:val="21"/>
        </w:rPr>
        <w:t>米之内），一段时间内（默认一天），或者符合其他约束条件的案件为相似案卷（注：有些特殊的小类有不同的时间、距离限制），支持相似案卷的图标显示，以及查看相似案件列表。</w:t>
      </w:r>
    </w:p>
    <w:p w14:paraId="33A4D07D">
      <w:pPr>
        <w:pStyle w:val="3"/>
        <w:numPr>
          <w:ilvl w:val="6"/>
          <w:numId w:val="38"/>
        </w:numPr>
        <w:spacing w:line="240" w:lineRule="auto"/>
        <w:rPr>
          <w:color w:val="auto"/>
        </w:rPr>
      </w:pPr>
      <w:r>
        <w:rPr>
          <w:rFonts w:hint="eastAsia"/>
          <w:color w:val="auto"/>
        </w:rPr>
        <w:t>上报时相似事件提示</w:t>
      </w:r>
    </w:p>
    <w:p w14:paraId="490AB9D7">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支持在案件上报时进行相似案卷提示。信息采集员或者使用市民通的社会公众上报案件时，系统首先根据上报的时间、地点来判断该案件是否已被上报、立案或处置，如果该案件已被上报、立案或处置，则认为该案件为相似案件。对信息采集员或者市民做出相似案卷提示。</w:t>
      </w:r>
    </w:p>
    <w:p w14:paraId="14EFD437">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同时可通过后台设置，是否允许上报相似案件。</w:t>
      </w:r>
    </w:p>
    <w:p w14:paraId="6C7098E2">
      <w:pPr>
        <w:pStyle w:val="3"/>
        <w:numPr>
          <w:ilvl w:val="6"/>
          <w:numId w:val="38"/>
        </w:numPr>
        <w:spacing w:line="240" w:lineRule="auto"/>
        <w:rPr>
          <w:color w:val="auto"/>
        </w:rPr>
      </w:pPr>
      <w:r>
        <w:rPr>
          <w:rFonts w:hint="eastAsia"/>
          <w:color w:val="auto"/>
        </w:rPr>
        <w:t>立案环节相似事件提示</w:t>
      </w:r>
    </w:p>
    <w:p w14:paraId="55C34F14">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立案阶段进行相似案件提示，主要是防止大量的相似案件，导致后面的专业部门花费更多的精力来甄别该案件是否是重复案件。通过在立案环节系统自动进行相似案卷提示，可以大大提高案件的办理效率。系统支持按照一定的规则，如根据案件大小类、案件发生范围、案件发生时间等条件，来判断该案件是否与之前的案件属于同一重复案件。</w:t>
      </w:r>
    </w:p>
    <w:p w14:paraId="6387A09E">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监督员上报的案件以及受理员登记的案件立案时，都会进行相似案件的判断，如果该案件满足了相似案件的判断规则，则系统自动判断该案件存在相似案件，以小图标的形式进行相似案卷提醒。</w:t>
      </w:r>
    </w:p>
    <w:p w14:paraId="06EAE799">
      <w:pPr>
        <w:pStyle w:val="3"/>
        <w:numPr>
          <w:ilvl w:val="6"/>
          <w:numId w:val="38"/>
        </w:numPr>
        <w:spacing w:line="240" w:lineRule="auto"/>
        <w:rPr>
          <w:color w:val="auto"/>
        </w:rPr>
      </w:pPr>
      <w:r>
        <w:rPr>
          <w:rFonts w:hint="eastAsia"/>
          <w:color w:val="auto"/>
        </w:rPr>
        <w:t>相似事件详情</w:t>
      </w:r>
    </w:p>
    <w:p w14:paraId="461A84F7">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系统支持查看相似案卷详情列表。系统自动对某一案件做出相似案卷判断后，如果该案件存在相似案卷，则对该案件进行“相似案卷”标识。通过“相似案卷”标识可查看相似案卷列表，列表中包括：当前上报的案件基本信息以及疑似重复的案件信息。</w:t>
      </w:r>
    </w:p>
    <w:p w14:paraId="75E2BEDB">
      <w:pPr>
        <w:pStyle w:val="8"/>
        <w:numPr>
          <w:ilvl w:val="5"/>
          <w:numId w:val="38"/>
        </w:numPr>
        <w:spacing w:line="240" w:lineRule="auto"/>
        <w:rPr>
          <w:color w:val="auto"/>
          <w:lang w:val="zh-CN"/>
        </w:rPr>
      </w:pPr>
      <w:r>
        <w:rPr>
          <w:rFonts w:hint="eastAsia"/>
          <w:color w:val="auto"/>
          <w:lang w:val="zh-CN"/>
        </w:rPr>
        <w:t>非采集区域智能提醒</w:t>
      </w:r>
    </w:p>
    <w:p w14:paraId="2D65B76B">
      <w:pPr>
        <w:ind w:firstLine="480" w:firstLineChars="200"/>
        <w:rPr>
          <w:rFonts w:ascii="宋体" w:hAnsi="宋体" w:eastAsia="宋体" w:cs="宋体"/>
          <w:color w:val="auto"/>
          <w:sz w:val="24"/>
          <w:szCs w:val="21"/>
          <w:lang w:val="zh-CN"/>
        </w:rPr>
      </w:pPr>
      <w:r>
        <w:rPr>
          <w:rFonts w:hint="eastAsia" w:ascii="宋体" w:hAnsi="宋体" w:eastAsia="宋体" w:cs="宋体"/>
          <w:color w:val="auto"/>
          <w:sz w:val="24"/>
          <w:szCs w:val="21"/>
          <w:lang w:val="zh-CN"/>
        </w:rPr>
        <w:t>针对特定时段、特定区域涉及施工类的问题（施工单位有正规的施工审批手续文件），此类问题专业部门难以按立结案标准要求进行处置。因此，拓展管控区域智能提醒功能，针对城市管理中的一些区域由于环境综合提升需要施工，可由专业部门申请特定时段内对该区域暂停问题上报，审核通过后，监督中心可将该区域该时段发生的问题设置为“禁止上报”。</w:t>
      </w:r>
    </w:p>
    <w:p w14:paraId="236D2671">
      <w:pPr>
        <w:ind w:firstLine="480" w:firstLineChars="200"/>
        <w:rPr>
          <w:rFonts w:ascii="宋体" w:hAnsi="宋体" w:eastAsia="宋体" w:cs="宋体"/>
          <w:color w:val="auto"/>
          <w:sz w:val="24"/>
          <w:szCs w:val="21"/>
          <w:lang w:val="zh-CN"/>
        </w:rPr>
      </w:pPr>
      <w:r>
        <w:rPr>
          <w:rFonts w:hint="eastAsia" w:ascii="宋体" w:hAnsi="宋体" w:eastAsia="宋体" w:cs="宋体"/>
          <w:color w:val="auto"/>
          <w:sz w:val="24"/>
          <w:szCs w:val="21"/>
          <w:lang w:val="zh-CN"/>
        </w:rPr>
        <w:t>针对有时间发生规律的特定类型案件，只允许在规定时间段内上报案件。比如道路保洁公司每天都会在固定的时间段内进行道路保洁，在规定保洁时间段之外采集上报该类案件，环卫公司一般不会响应处置，影响计时考核，因此限制监督员在该时段内上报道路保洁类问题。</w:t>
      </w:r>
    </w:p>
    <w:p w14:paraId="1AE78195">
      <w:pPr>
        <w:pStyle w:val="3"/>
        <w:numPr>
          <w:ilvl w:val="6"/>
          <w:numId w:val="38"/>
        </w:numPr>
        <w:spacing w:line="240" w:lineRule="auto"/>
        <w:rPr>
          <w:color w:val="auto"/>
          <w:lang w:val="zh-CN"/>
        </w:rPr>
      </w:pPr>
      <w:r>
        <w:rPr>
          <w:rFonts w:hint="eastAsia"/>
          <w:color w:val="auto"/>
          <w:lang w:val="zh-CN"/>
        </w:rPr>
        <w:t>基本属性设置</w:t>
      </w:r>
    </w:p>
    <w:p w14:paraId="07A7652C">
      <w:pPr>
        <w:ind w:firstLine="480" w:firstLineChars="200"/>
        <w:rPr>
          <w:rFonts w:ascii="宋体" w:hAnsi="宋体" w:eastAsia="宋体" w:cs="宋体"/>
          <w:color w:val="auto"/>
          <w:sz w:val="24"/>
          <w:szCs w:val="21"/>
          <w:lang w:val="zh-CN"/>
        </w:rPr>
      </w:pPr>
      <w:r>
        <w:rPr>
          <w:rFonts w:hint="eastAsia" w:ascii="宋体" w:hAnsi="宋体" w:eastAsia="宋体" w:cs="宋体"/>
          <w:color w:val="auto"/>
          <w:sz w:val="24"/>
          <w:szCs w:val="21"/>
          <w:lang w:val="zh-CN"/>
        </w:rPr>
        <w:t>对管控区域的基本属性进行设置，包括区域标识、区域名称、起始管控时间、采集要求、附件信息等。其中区域标识是网格的标识码，起始管控时间是限制问题上报的时间段，附件信息是能证明合法施工的文件或图片。</w:t>
      </w:r>
    </w:p>
    <w:p w14:paraId="05F205D2">
      <w:pPr>
        <w:pStyle w:val="3"/>
        <w:numPr>
          <w:ilvl w:val="6"/>
          <w:numId w:val="38"/>
        </w:numPr>
        <w:spacing w:line="240" w:lineRule="auto"/>
        <w:rPr>
          <w:color w:val="auto"/>
          <w:lang w:val="zh-CN"/>
        </w:rPr>
      </w:pPr>
      <w:r>
        <w:rPr>
          <w:rFonts w:hint="eastAsia"/>
          <w:color w:val="auto"/>
          <w:lang w:val="zh-CN"/>
        </w:rPr>
        <w:t>管控区域绘制</w:t>
      </w:r>
    </w:p>
    <w:p w14:paraId="54D8D406">
      <w:pPr>
        <w:ind w:firstLine="480" w:firstLineChars="200"/>
        <w:rPr>
          <w:rFonts w:ascii="宋体" w:hAnsi="宋体" w:eastAsia="宋体" w:cs="宋体"/>
          <w:color w:val="auto"/>
          <w:sz w:val="24"/>
          <w:szCs w:val="21"/>
          <w:lang w:val="zh-CN"/>
        </w:rPr>
      </w:pPr>
      <w:r>
        <w:rPr>
          <w:rFonts w:hint="eastAsia" w:ascii="宋体" w:hAnsi="宋体" w:eastAsia="宋体" w:cs="宋体"/>
          <w:color w:val="auto"/>
          <w:sz w:val="24"/>
          <w:szCs w:val="21"/>
          <w:lang w:val="zh-CN"/>
        </w:rPr>
        <w:t>通过地图标注的方式绘制管控区域，按照实际施工情况，选择多边形，在地图上绘制管控区域，在绘制的管控区域，管控时间段内，禁止问题上报。</w:t>
      </w:r>
    </w:p>
    <w:p w14:paraId="7EF50DFB">
      <w:pPr>
        <w:pStyle w:val="3"/>
        <w:numPr>
          <w:ilvl w:val="6"/>
          <w:numId w:val="38"/>
        </w:numPr>
        <w:spacing w:line="240" w:lineRule="auto"/>
        <w:rPr>
          <w:color w:val="auto"/>
          <w:lang w:val="zh-CN"/>
        </w:rPr>
      </w:pPr>
      <w:r>
        <w:rPr>
          <w:rFonts w:hint="eastAsia"/>
          <w:color w:val="auto"/>
          <w:lang w:val="zh-CN"/>
        </w:rPr>
        <w:t>限制时段设置</w:t>
      </w:r>
    </w:p>
    <w:p w14:paraId="4496645B">
      <w:pPr>
        <w:ind w:firstLine="480" w:firstLineChars="200"/>
        <w:rPr>
          <w:rFonts w:ascii="宋体" w:hAnsi="宋体" w:eastAsia="宋体" w:cs="宋体"/>
          <w:color w:val="auto"/>
          <w:sz w:val="24"/>
          <w:szCs w:val="21"/>
          <w:lang w:val="zh-CN"/>
        </w:rPr>
      </w:pPr>
      <w:r>
        <w:rPr>
          <w:rFonts w:hint="eastAsia" w:ascii="宋体" w:hAnsi="宋体" w:eastAsia="宋体" w:cs="宋体"/>
          <w:color w:val="auto"/>
          <w:sz w:val="24"/>
          <w:szCs w:val="21"/>
          <w:lang w:val="zh-CN"/>
        </w:rPr>
        <w:t>通过设置限制问题的上报时段，只允许上报限制时段内的案件，超出限制时段内不允许上报。</w:t>
      </w:r>
    </w:p>
    <w:p w14:paraId="510AA75E">
      <w:pPr>
        <w:pStyle w:val="3"/>
        <w:numPr>
          <w:ilvl w:val="6"/>
          <w:numId w:val="38"/>
        </w:numPr>
        <w:spacing w:line="240" w:lineRule="auto"/>
        <w:rPr>
          <w:color w:val="auto"/>
          <w:lang w:val="zh-CN"/>
        </w:rPr>
      </w:pPr>
      <w:r>
        <w:rPr>
          <w:rFonts w:hint="eastAsia"/>
          <w:color w:val="auto"/>
          <w:lang w:val="zh-CN"/>
        </w:rPr>
        <w:t>管控区域智能提醒</w:t>
      </w:r>
    </w:p>
    <w:p w14:paraId="1AF04CDB">
      <w:pPr>
        <w:ind w:firstLine="480" w:firstLineChars="200"/>
        <w:rPr>
          <w:rFonts w:ascii="宋体" w:hAnsi="宋体" w:eastAsia="宋体" w:cs="宋体"/>
          <w:color w:val="auto"/>
          <w:sz w:val="24"/>
          <w:szCs w:val="21"/>
          <w:lang w:val="zh-CN"/>
        </w:rPr>
      </w:pPr>
      <w:r>
        <w:rPr>
          <w:rFonts w:hint="eastAsia" w:ascii="宋体" w:hAnsi="宋体" w:eastAsia="宋体" w:cs="宋体"/>
          <w:color w:val="auto"/>
          <w:sz w:val="24"/>
          <w:szCs w:val="21"/>
          <w:lang w:val="zh-CN"/>
        </w:rPr>
        <w:t>当监督员在管控区域上报此类问题时，城管通上会提醒监督员该段时间此区域不允许上报。</w:t>
      </w:r>
    </w:p>
    <w:p w14:paraId="46ECDCD5">
      <w:pPr>
        <w:pStyle w:val="3"/>
        <w:numPr>
          <w:ilvl w:val="6"/>
          <w:numId w:val="38"/>
        </w:numPr>
        <w:spacing w:line="240" w:lineRule="auto"/>
        <w:rPr>
          <w:color w:val="auto"/>
          <w:lang w:val="zh-CN"/>
        </w:rPr>
      </w:pPr>
      <w:r>
        <w:rPr>
          <w:rFonts w:hint="eastAsia"/>
          <w:color w:val="auto"/>
          <w:lang w:val="zh-CN"/>
        </w:rPr>
        <w:t>限制时段智能提醒</w:t>
      </w:r>
    </w:p>
    <w:p w14:paraId="177D56F4">
      <w:pPr>
        <w:ind w:firstLine="480" w:firstLineChars="200"/>
        <w:rPr>
          <w:rFonts w:ascii="宋体" w:hAnsi="宋体" w:eastAsia="宋体" w:cs="宋体"/>
          <w:color w:val="auto"/>
          <w:sz w:val="24"/>
          <w:szCs w:val="21"/>
          <w:lang w:val="zh-CN"/>
        </w:rPr>
      </w:pPr>
      <w:r>
        <w:rPr>
          <w:rFonts w:hint="eastAsia" w:ascii="宋体" w:hAnsi="宋体" w:eastAsia="宋体" w:cs="宋体"/>
          <w:color w:val="auto"/>
          <w:sz w:val="24"/>
          <w:szCs w:val="21"/>
          <w:lang w:val="zh-CN"/>
        </w:rPr>
        <w:t>对于某些案件类型、区域（路段），只能在某些时段内采集才是有效案件。因此需要对上报的时段做限制。如果不允许上报，则给出警告提示。</w:t>
      </w:r>
    </w:p>
    <w:p w14:paraId="3C2838DF">
      <w:pPr>
        <w:pStyle w:val="8"/>
        <w:numPr>
          <w:ilvl w:val="5"/>
          <w:numId w:val="38"/>
        </w:numPr>
        <w:spacing w:line="240" w:lineRule="auto"/>
        <w:rPr>
          <w:color w:val="auto"/>
        </w:rPr>
      </w:pPr>
      <w:r>
        <w:rPr>
          <w:rFonts w:hint="eastAsia"/>
          <w:color w:val="auto"/>
        </w:rPr>
        <w:t>受理一席三屏支撑</w:t>
      </w:r>
    </w:p>
    <w:p w14:paraId="63C7E7B6">
      <w:pPr>
        <w:pStyle w:val="3"/>
        <w:numPr>
          <w:ilvl w:val="6"/>
          <w:numId w:val="38"/>
        </w:numPr>
        <w:spacing w:line="240" w:lineRule="auto"/>
        <w:rPr>
          <w:color w:val="auto"/>
        </w:rPr>
      </w:pPr>
      <w:r>
        <w:rPr>
          <w:rFonts w:hint="eastAsia"/>
          <w:color w:val="auto"/>
        </w:rPr>
        <w:t>事件位置落图</w:t>
      </w:r>
    </w:p>
    <w:p w14:paraId="4907B8EE">
      <w:pPr>
        <w:ind w:firstLine="420"/>
        <w:rPr>
          <w:rFonts w:ascii="宋体" w:hAnsi="宋体" w:eastAsia="宋体" w:cs="宋体"/>
          <w:color w:val="auto"/>
          <w:sz w:val="24"/>
          <w:szCs w:val="21"/>
        </w:rPr>
      </w:pPr>
      <w:r>
        <w:rPr>
          <w:rFonts w:hint="eastAsia" w:ascii="宋体" w:hAnsi="宋体" w:eastAsia="宋体" w:cs="宋体"/>
          <w:color w:val="auto"/>
          <w:sz w:val="24"/>
          <w:szCs w:val="21"/>
        </w:rPr>
        <w:t>显示事件记录的地图位置，在地图上红色小圆点标记事件的位置。</w:t>
      </w:r>
    </w:p>
    <w:p w14:paraId="09F5711A">
      <w:pPr>
        <w:pStyle w:val="3"/>
        <w:numPr>
          <w:ilvl w:val="6"/>
          <w:numId w:val="38"/>
        </w:numPr>
        <w:spacing w:line="240" w:lineRule="auto"/>
        <w:rPr>
          <w:color w:val="auto"/>
        </w:rPr>
      </w:pPr>
      <w:r>
        <w:rPr>
          <w:rFonts w:hint="eastAsia"/>
          <w:color w:val="auto"/>
        </w:rPr>
        <w:t>事件周边网格员落图</w:t>
      </w:r>
    </w:p>
    <w:p w14:paraId="61CD650A">
      <w:pPr>
        <w:ind w:firstLine="420"/>
        <w:rPr>
          <w:rFonts w:ascii="宋体" w:hAnsi="宋体" w:eastAsia="宋体" w:cs="宋体"/>
          <w:color w:val="auto"/>
          <w:sz w:val="24"/>
          <w:szCs w:val="21"/>
        </w:rPr>
      </w:pPr>
      <w:r>
        <w:rPr>
          <w:rFonts w:hint="eastAsia" w:ascii="宋体" w:hAnsi="宋体" w:eastAsia="宋体" w:cs="宋体"/>
          <w:color w:val="auto"/>
          <w:sz w:val="24"/>
          <w:szCs w:val="21"/>
        </w:rPr>
        <w:t>通过点击地图上的事件红色小圆点展示该事件周边的网格员，以蓝点显示支持查看网格员信息、行动轨迹，并可发起点对点视频呼叫，实现现场抽检或指挥调度。</w:t>
      </w:r>
    </w:p>
    <w:p w14:paraId="1CE7E8B6">
      <w:pPr>
        <w:pStyle w:val="3"/>
        <w:numPr>
          <w:ilvl w:val="6"/>
          <w:numId w:val="38"/>
        </w:numPr>
        <w:spacing w:line="240" w:lineRule="auto"/>
        <w:rPr>
          <w:color w:val="auto"/>
        </w:rPr>
      </w:pPr>
      <w:r>
        <w:rPr>
          <w:rFonts w:hint="eastAsia"/>
          <w:color w:val="auto"/>
        </w:rPr>
        <w:t>网格区域信息图层</w:t>
      </w:r>
    </w:p>
    <w:p w14:paraId="21A1C119">
      <w:pPr>
        <w:ind w:firstLine="420"/>
        <w:rPr>
          <w:rFonts w:ascii="宋体" w:hAnsi="宋体" w:eastAsia="宋体" w:cs="宋体"/>
          <w:color w:val="auto"/>
          <w:sz w:val="24"/>
          <w:szCs w:val="21"/>
        </w:rPr>
      </w:pPr>
      <w:r>
        <w:rPr>
          <w:rFonts w:hint="eastAsia" w:ascii="宋体" w:hAnsi="宋体" w:eastAsia="宋体" w:cs="宋体"/>
          <w:color w:val="auto"/>
          <w:sz w:val="24"/>
          <w:szCs w:val="21"/>
        </w:rPr>
        <w:t>通过事件的位置展示所属网格信息如归属区域、负责部门等，便于工作人员确定派遣处理等决策。</w:t>
      </w:r>
    </w:p>
    <w:p w14:paraId="3F5BE3F2">
      <w:pPr>
        <w:pStyle w:val="3"/>
        <w:numPr>
          <w:ilvl w:val="6"/>
          <w:numId w:val="38"/>
        </w:numPr>
        <w:spacing w:line="240" w:lineRule="auto"/>
        <w:rPr>
          <w:color w:val="auto"/>
        </w:rPr>
      </w:pPr>
      <w:r>
        <w:rPr>
          <w:rFonts w:hint="eastAsia"/>
          <w:color w:val="auto"/>
        </w:rPr>
        <w:t>周边资源落图</w:t>
      </w:r>
    </w:p>
    <w:p w14:paraId="6C727714">
      <w:pPr>
        <w:ind w:firstLine="420"/>
        <w:rPr>
          <w:rFonts w:ascii="宋体" w:hAnsi="宋体" w:eastAsia="宋体" w:cs="宋体"/>
          <w:color w:val="auto"/>
          <w:sz w:val="24"/>
          <w:szCs w:val="21"/>
        </w:rPr>
      </w:pPr>
      <w:r>
        <w:rPr>
          <w:rFonts w:hint="eastAsia" w:ascii="宋体" w:hAnsi="宋体" w:eastAsia="宋体" w:cs="宋体"/>
          <w:color w:val="auto"/>
          <w:sz w:val="24"/>
          <w:szCs w:val="21"/>
        </w:rPr>
        <w:t>以事件为中心点分析事件类型展示周边的资源，包括网格人员、城市部件位置、视频监控点位、车辆位置、应急资源等。周边范围的阈值可自行设定，如可设定为中心点周边的</w:t>
      </w:r>
      <w:r>
        <w:rPr>
          <w:rFonts w:ascii="宋体" w:hAnsi="宋体" w:eastAsia="宋体" w:cs="宋体"/>
          <w:color w:val="auto"/>
          <w:sz w:val="24"/>
          <w:szCs w:val="21"/>
        </w:rPr>
        <w:t>1000</w:t>
      </w:r>
      <w:r>
        <w:rPr>
          <w:rFonts w:hint="eastAsia" w:ascii="宋体" w:hAnsi="宋体" w:eastAsia="宋体" w:cs="宋体"/>
          <w:color w:val="auto"/>
          <w:sz w:val="24"/>
          <w:szCs w:val="21"/>
        </w:rPr>
        <w:t>米内、</w:t>
      </w:r>
      <w:r>
        <w:rPr>
          <w:rFonts w:ascii="宋体" w:hAnsi="宋体" w:eastAsia="宋体" w:cs="宋体"/>
          <w:color w:val="auto"/>
          <w:sz w:val="24"/>
          <w:szCs w:val="21"/>
        </w:rPr>
        <w:t>500</w:t>
      </w:r>
      <w:r>
        <w:rPr>
          <w:rFonts w:hint="eastAsia" w:ascii="宋体" w:hAnsi="宋体" w:eastAsia="宋体" w:cs="宋体"/>
          <w:color w:val="auto"/>
          <w:sz w:val="24"/>
          <w:szCs w:val="21"/>
        </w:rPr>
        <w:t>米内等。</w:t>
      </w:r>
    </w:p>
    <w:p w14:paraId="62586BB7">
      <w:pPr>
        <w:pStyle w:val="3"/>
        <w:numPr>
          <w:ilvl w:val="6"/>
          <w:numId w:val="38"/>
        </w:numPr>
        <w:spacing w:line="240" w:lineRule="auto"/>
        <w:rPr>
          <w:color w:val="auto"/>
        </w:rPr>
      </w:pPr>
      <w:r>
        <w:rPr>
          <w:rFonts w:hint="eastAsia"/>
          <w:color w:val="auto"/>
        </w:rPr>
        <w:t>业务指导系统接入</w:t>
      </w:r>
    </w:p>
    <w:p w14:paraId="382E27EF">
      <w:pPr>
        <w:ind w:firstLine="420"/>
        <w:rPr>
          <w:rFonts w:ascii="宋体" w:hAnsi="宋体" w:eastAsia="宋体" w:cs="宋体"/>
          <w:color w:val="auto"/>
          <w:sz w:val="24"/>
          <w:szCs w:val="21"/>
        </w:rPr>
      </w:pPr>
      <w:r>
        <w:rPr>
          <w:rFonts w:hint="eastAsia" w:ascii="宋体" w:hAnsi="宋体" w:eastAsia="宋体" w:cs="宋体"/>
          <w:color w:val="auto"/>
          <w:sz w:val="24"/>
          <w:szCs w:val="21"/>
        </w:rPr>
        <w:t>接入国家平台中业务指导系统</w:t>
      </w:r>
      <w:r>
        <w:rPr>
          <w:rFonts w:ascii="宋体" w:hAnsi="宋体" w:eastAsia="宋体" w:cs="宋体"/>
          <w:color w:val="auto"/>
          <w:sz w:val="24"/>
          <w:szCs w:val="21"/>
        </w:rPr>
        <w:t>；</w:t>
      </w:r>
    </w:p>
    <w:p w14:paraId="770DEF61">
      <w:pPr>
        <w:pStyle w:val="8"/>
        <w:numPr>
          <w:ilvl w:val="5"/>
          <w:numId w:val="38"/>
        </w:numPr>
        <w:spacing w:line="240" w:lineRule="auto"/>
        <w:rPr>
          <w:color w:val="auto"/>
        </w:rPr>
      </w:pPr>
      <w:r>
        <w:rPr>
          <w:rFonts w:hint="eastAsia"/>
          <w:color w:val="auto"/>
        </w:rPr>
        <w:t>差错件办理</w:t>
      </w:r>
    </w:p>
    <w:p w14:paraId="531684C6">
      <w:pPr>
        <w:pStyle w:val="3"/>
        <w:numPr>
          <w:ilvl w:val="6"/>
          <w:numId w:val="38"/>
        </w:numPr>
        <w:spacing w:line="240" w:lineRule="auto"/>
        <w:rPr>
          <w:color w:val="auto"/>
        </w:rPr>
      </w:pPr>
      <w:r>
        <w:rPr>
          <w:rFonts w:hint="eastAsia"/>
          <w:color w:val="auto"/>
        </w:rPr>
        <w:t>差错件标识</w:t>
      </w:r>
    </w:p>
    <w:p w14:paraId="20990A38">
      <w:pPr>
        <w:spacing w:before="120"/>
        <w:ind w:left="386" w:leftChars="184" w:firstLine="420"/>
        <w:rPr>
          <w:rFonts w:ascii="宋体" w:hAnsi="宋体" w:eastAsia="宋体" w:cs="宋体"/>
          <w:color w:val="auto"/>
          <w:sz w:val="24"/>
          <w:szCs w:val="21"/>
        </w:rPr>
      </w:pPr>
      <w:r>
        <w:rPr>
          <w:rFonts w:hint="eastAsia" w:ascii="宋体" w:hAnsi="宋体" w:eastAsia="宋体" w:cs="宋体"/>
          <w:color w:val="auto"/>
          <w:sz w:val="24"/>
          <w:szCs w:val="21"/>
        </w:rPr>
        <w:t>坐席员可对网格员导致的案件进行差错件标识，被标识的差错件会在差错件功能界面中显示。</w:t>
      </w:r>
    </w:p>
    <w:p w14:paraId="77888277">
      <w:pPr>
        <w:pStyle w:val="3"/>
        <w:numPr>
          <w:ilvl w:val="6"/>
          <w:numId w:val="38"/>
        </w:numPr>
        <w:spacing w:line="240" w:lineRule="auto"/>
        <w:rPr>
          <w:color w:val="auto"/>
        </w:rPr>
      </w:pPr>
      <w:r>
        <w:rPr>
          <w:rFonts w:hint="eastAsia"/>
          <w:color w:val="auto"/>
        </w:rPr>
        <w:t>差错件列表</w:t>
      </w:r>
    </w:p>
    <w:p w14:paraId="2A09EBA5">
      <w:pPr>
        <w:spacing w:before="120"/>
        <w:ind w:left="386" w:leftChars="184" w:firstLine="420"/>
        <w:rPr>
          <w:rFonts w:ascii="宋体" w:hAnsi="宋体" w:eastAsia="宋体" w:cs="宋体"/>
          <w:color w:val="auto"/>
          <w:sz w:val="24"/>
          <w:szCs w:val="21"/>
        </w:rPr>
      </w:pPr>
      <w:r>
        <w:rPr>
          <w:rFonts w:hint="eastAsia" w:ascii="宋体" w:hAnsi="宋体" w:eastAsia="宋体" w:cs="宋体"/>
          <w:color w:val="auto"/>
          <w:sz w:val="24"/>
          <w:szCs w:val="21"/>
        </w:rPr>
        <w:t>网格员管理员可查看差错件功能界面，并且可以对案件进行详情查看，可以进行差错件申请，申请内容包括申诉意见及附件上传（支持照片、文件等）。</w:t>
      </w:r>
    </w:p>
    <w:p w14:paraId="202766C0">
      <w:pPr>
        <w:pStyle w:val="3"/>
        <w:numPr>
          <w:ilvl w:val="6"/>
          <w:numId w:val="38"/>
        </w:numPr>
        <w:spacing w:line="240" w:lineRule="auto"/>
        <w:rPr>
          <w:color w:val="auto"/>
        </w:rPr>
      </w:pPr>
      <w:r>
        <w:rPr>
          <w:rFonts w:hint="eastAsia"/>
          <w:color w:val="auto"/>
        </w:rPr>
        <w:t>差错件审核</w:t>
      </w:r>
    </w:p>
    <w:p w14:paraId="72A0F31A">
      <w:pPr>
        <w:spacing w:before="120"/>
        <w:ind w:left="386" w:leftChars="184" w:firstLine="420"/>
        <w:rPr>
          <w:rFonts w:ascii="宋体" w:hAnsi="宋体" w:eastAsia="宋体" w:cs="宋体"/>
          <w:color w:val="auto"/>
          <w:sz w:val="24"/>
          <w:szCs w:val="21"/>
        </w:rPr>
      </w:pPr>
      <w:r>
        <w:rPr>
          <w:rFonts w:hint="eastAsia" w:ascii="宋体" w:hAnsi="宋体" w:eastAsia="宋体" w:cs="宋体"/>
          <w:color w:val="auto"/>
          <w:sz w:val="24"/>
          <w:szCs w:val="21"/>
        </w:rPr>
        <w:t>坐席员可对申诉的差错件进行审核，审核通过的差错件则被标记为“审核通过”，未通过案件被标记为”审核未通过“并且需采集公司再次申诉。</w:t>
      </w:r>
    </w:p>
    <w:p w14:paraId="44589405">
      <w:pPr>
        <w:pStyle w:val="3"/>
        <w:numPr>
          <w:ilvl w:val="6"/>
          <w:numId w:val="38"/>
        </w:numPr>
        <w:spacing w:line="240" w:lineRule="auto"/>
        <w:rPr>
          <w:color w:val="auto"/>
        </w:rPr>
      </w:pPr>
      <w:r>
        <w:rPr>
          <w:rFonts w:hint="eastAsia"/>
          <w:color w:val="auto"/>
        </w:rPr>
        <w:t>差错件状态</w:t>
      </w:r>
    </w:p>
    <w:p w14:paraId="6E535EAE">
      <w:pPr>
        <w:spacing w:before="120"/>
        <w:ind w:left="386" w:leftChars="184" w:firstLine="420"/>
        <w:rPr>
          <w:rFonts w:ascii="宋体" w:hAnsi="宋体" w:eastAsia="宋体" w:cs="宋体"/>
          <w:color w:val="auto"/>
          <w:sz w:val="24"/>
          <w:szCs w:val="21"/>
        </w:rPr>
      </w:pPr>
      <w:r>
        <w:rPr>
          <w:rFonts w:hint="eastAsia" w:ascii="宋体" w:hAnsi="宋体" w:eastAsia="宋体" w:cs="宋体"/>
          <w:bCs/>
          <w:color w:val="auto"/>
          <w:sz w:val="24"/>
          <w:szCs w:val="22"/>
        </w:rPr>
        <w:t>差错</w:t>
      </w:r>
      <w:r>
        <w:rPr>
          <w:rFonts w:hint="eastAsia" w:ascii="宋体" w:hAnsi="宋体" w:eastAsia="宋体" w:cs="宋体"/>
          <w:color w:val="auto"/>
          <w:sz w:val="24"/>
          <w:szCs w:val="21"/>
        </w:rPr>
        <w:t>件状态，”未申诉“，”申诉中“、”审核通过“、”审核未通过“。</w:t>
      </w:r>
    </w:p>
    <w:p w14:paraId="0C12AAFB">
      <w:pPr>
        <w:pStyle w:val="3"/>
        <w:numPr>
          <w:ilvl w:val="6"/>
          <w:numId w:val="38"/>
        </w:numPr>
        <w:spacing w:line="240" w:lineRule="auto"/>
        <w:rPr>
          <w:color w:val="auto"/>
        </w:rPr>
      </w:pPr>
      <w:r>
        <w:rPr>
          <w:rFonts w:hint="eastAsia"/>
          <w:color w:val="auto"/>
        </w:rPr>
        <w:t>差错件统计</w:t>
      </w:r>
    </w:p>
    <w:p w14:paraId="0E86C688">
      <w:pPr>
        <w:spacing w:before="120"/>
        <w:ind w:left="386" w:leftChars="184" w:firstLine="420"/>
        <w:rPr>
          <w:rFonts w:ascii="宋体" w:hAnsi="宋体" w:eastAsia="宋体" w:cs="宋体"/>
          <w:color w:val="auto"/>
          <w:sz w:val="24"/>
          <w:szCs w:val="21"/>
        </w:rPr>
      </w:pPr>
      <w:r>
        <w:rPr>
          <w:rFonts w:hint="eastAsia" w:ascii="宋体" w:hAnsi="宋体" w:eastAsia="宋体" w:cs="宋体"/>
          <w:bCs/>
          <w:color w:val="auto"/>
          <w:sz w:val="24"/>
          <w:szCs w:val="22"/>
        </w:rPr>
        <w:t>支持数据</w:t>
      </w:r>
      <w:r>
        <w:rPr>
          <w:rFonts w:hint="eastAsia" w:ascii="宋体" w:hAnsi="宋体" w:eastAsia="宋体" w:cs="宋体"/>
          <w:color w:val="auto"/>
          <w:sz w:val="24"/>
          <w:szCs w:val="21"/>
        </w:rPr>
        <w:t>统计，可根据区域、上报时间、差错执行时间、登记人员（标记差错件账号）、监督员、责任网格、差错件状态等字段进行条件搜索。搜索结果可根据区域、监督员、责任网格为分组，统计案件相关数据。</w:t>
      </w:r>
    </w:p>
    <w:p w14:paraId="38735AAC">
      <w:pPr>
        <w:pStyle w:val="3"/>
        <w:numPr>
          <w:ilvl w:val="6"/>
          <w:numId w:val="38"/>
        </w:numPr>
        <w:spacing w:line="240" w:lineRule="auto"/>
        <w:rPr>
          <w:color w:val="auto"/>
        </w:rPr>
      </w:pPr>
      <w:r>
        <w:rPr>
          <w:rFonts w:hint="eastAsia"/>
          <w:color w:val="auto"/>
        </w:rPr>
        <w:t>差错件导入导出</w:t>
      </w:r>
    </w:p>
    <w:p w14:paraId="1E6137AB">
      <w:pPr>
        <w:spacing w:before="120"/>
        <w:ind w:left="420" w:leftChars="200"/>
        <w:rPr>
          <w:rFonts w:ascii="宋体" w:hAnsi="宋体" w:eastAsia="宋体" w:cs="宋体"/>
          <w:color w:val="auto"/>
          <w:sz w:val="24"/>
          <w:szCs w:val="21"/>
        </w:rPr>
      </w:pPr>
      <w:r>
        <w:rPr>
          <w:rFonts w:hint="eastAsia" w:ascii="宋体" w:hAnsi="宋体" w:eastAsia="宋体" w:cs="宋体"/>
          <w:color w:val="auto"/>
          <w:sz w:val="24"/>
          <w:szCs w:val="21"/>
        </w:rPr>
        <w:t>差错件支持反查及导出数据表。</w:t>
      </w:r>
    </w:p>
    <w:p w14:paraId="4E0F1048">
      <w:pPr>
        <w:pStyle w:val="8"/>
        <w:numPr>
          <w:ilvl w:val="5"/>
          <w:numId w:val="38"/>
        </w:numPr>
        <w:spacing w:line="240" w:lineRule="auto"/>
        <w:rPr>
          <w:color w:val="auto"/>
        </w:rPr>
      </w:pPr>
      <w:r>
        <w:rPr>
          <w:rFonts w:hint="eastAsia"/>
          <w:color w:val="auto"/>
        </w:rPr>
        <w:t>统一事件汇聚</w:t>
      </w:r>
    </w:p>
    <w:p w14:paraId="15A5E50E">
      <w:pPr>
        <w:ind w:firstLine="480" w:firstLineChars="200"/>
        <w:rPr>
          <w:rFonts w:ascii="Times New Roman" w:hAnsi="Times New Roman" w:cs="Times New Roman"/>
          <w:color w:val="auto"/>
          <w:sz w:val="24"/>
          <w:szCs w:val="21"/>
        </w:rPr>
      </w:pPr>
      <w:r>
        <w:rPr>
          <w:rFonts w:hint="eastAsia" w:ascii="Times New Roman" w:hAnsi="Times New Roman" w:eastAsia="宋体" w:cs="Times New Roman"/>
          <w:color w:val="auto"/>
          <w:sz w:val="24"/>
          <w:szCs w:val="21"/>
        </w:rPr>
        <w:t>将12345平台、12319微信公众号、随手拍、网格员上报、AI视频智能上报、物联网感知平台等上报受理的事件统一进行汇聚，</w:t>
      </w:r>
      <w:r>
        <w:rPr>
          <w:rFonts w:ascii="Times New Roman" w:hAnsi="Times New Roman" w:eastAsia="宋体" w:cs="Times New Roman"/>
          <w:color w:val="auto"/>
          <w:sz w:val="24"/>
          <w:szCs w:val="21"/>
        </w:rPr>
        <w:t xml:space="preserve"> </w:t>
      </w:r>
      <w:r>
        <w:rPr>
          <w:rFonts w:hint="eastAsia" w:ascii="Times New Roman" w:hAnsi="Times New Roman" w:eastAsia="宋体" w:cs="Times New Roman"/>
          <w:color w:val="auto"/>
          <w:sz w:val="24"/>
          <w:szCs w:val="21"/>
        </w:rPr>
        <w:t>以及同步事件的处理流程、办结时限、处理结果等数据，实现平台数据共享为相似事件智能识别服务提供历史数据参考，解决导致同一个事件可能在不同渠道受理多次，造成重复受理，的情况，减少，受理人员、办理人员工作量。</w:t>
      </w:r>
    </w:p>
    <w:p w14:paraId="57F0DC37">
      <w:pPr>
        <w:pStyle w:val="7"/>
        <w:numPr>
          <w:ilvl w:val="4"/>
          <w:numId w:val="38"/>
        </w:numPr>
        <w:spacing w:line="240" w:lineRule="auto"/>
        <w:rPr>
          <w:color w:val="auto"/>
        </w:rPr>
      </w:pPr>
      <w:r>
        <w:rPr>
          <w:rFonts w:hint="eastAsia"/>
          <w:color w:val="auto"/>
        </w:rPr>
        <w:t>统一分拨</w:t>
      </w:r>
    </w:p>
    <w:p w14:paraId="387E7597">
      <w:pPr>
        <w:pStyle w:val="8"/>
        <w:numPr>
          <w:ilvl w:val="5"/>
          <w:numId w:val="38"/>
        </w:numPr>
        <w:spacing w:line="240" w:lineRule="auto"/>
        <w:rPr>
          <w:color w:val="auto"/>
        </w:rPr>
      </w:pPr>
      <w:r>
        <w:rPr>
          <w:rFonts w:hint="eastAsia"/>
          <w:color w:val="auto"/>
        </w:rPr>
        <w:t>统一用户登录</w:t>
      </w:r>
    </w:p>
    <w:p w14:paraId="64B90044">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能够识别系统账号，</w:t>
      </w:r>
      <w:r>
        <w:rPr>
          <w:rFonts w:hint="eastAsia" w:ascii="宋体" w:hAnsi="宋体" w:eastAsia="宋体" w:cs="宋体"/>
          <w:color w:val="auto"/>
          <w:sz w:val="24"/>
          <w:szCs w:val="22"/>
        </w:rPr>
        <w:t>实现业务人员账号统一，一次登录多业务系统快速使用</w:t>
      </w:r>
      <w:r>
        <w:rPr>
          <w:rFonts w:hint="eastAsia" w:ascii="宋体" w:hAnsi="Calibri" w:eastAsia="宋体" w:cs="Times New Roman"/>
          <w:color w:val="auto"/>
          <w:sz w:val="24"/>
          <w:szCs w:val="22"/>
        </w:rPr>
        <w:t>。</w:t>
      </w:r>
    </w:p>
    <w:p w14:paraId="349D0CA2">
      <w:pPr>
        <w:pStyle w:val="8"/>
        <w:numPr>
          <w:ilvl w:val="5"/>
          <w:numId w:val="38"/>
        </w:numPr>
        <w:spacing w:line="240" w:lineRule="auto"/>
        <w:rPr>
          <w:color w:val="auto"/>
        </w:rPr>
      </w:pPr>
      <w:r>
        <w:rPr>
          <w:rFonts w:hint="eastAsia"/>
          <w:color w:val="auto"/>
        </w:rPr>
        <w:t>案件列表</w:t>
      </w:r>
    </w:p>
    <w:p w14:paraId="23E40FBE">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在用户使用系统时，应能够展示所操作的案件列表，提供案件的相关操作功能，如查看案件信息、批转等操作。</w:t>
      </w:r>
    </w:p>
    <w:p w14:paraId="7AA684D1">
      <w:pPr>
        <w:pStyle w:val="8"/>
        <w:numPr>
          <w:ilvl w:val="5"/>
          <w:numId w:val="38"/>
        </w:numPr>
        <w:spacing w:line="240" w:lineRule="auto"/>
        <w:rPr>
          <w:color w:val="auto"/>
        </w:rPr>
      </w:pPr>
      <w:r>
        <w:rPr>
          <w:rFonts w:hint="eastAsia"/>
          <w:color w:val="auto"/>
        </w:rPr>
        <w:t>字段设置</w:t>
      </w:r>
    </w:p>
    <w:p w14:paraId="36257E7F">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在案件列表中默认显示案件基本信息，用户应能够选择这些字段是否显示。</w:t>
      </w:r>
    </w:p>
    <w:p w14:paraId="72FC6C95">
      <w:pPr>
        <w:pStyle w:val="8"/>
        <w:numPr>
          <w:ilvl w:val="5"/>
          <w:numId w:val="38"/>
        </w:numPr>
        <w:spacing w:line="240" w:lineRule="auto"/>
        <w:rPr>
          <w:color w:val="auto"/>
        </w:rPr>
      </w:pPr>
      <w:r>
        <w:rPr>
          <w:rFonts w:hint="eastAsia"/>
          <w:color w:val="auto"/>
        </w:rPr>
        <w:t>案卷筛选</w:t>
      </w:r>
    </w:p>
    <w:p w14:paraId="5EF3C93A">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在待办案件列表中，应能够根据字段内容进行筛选显示。</w:t>
      </w:r>
    </w:p>
    <w:p w14:paraId="1F5310E5">
      <w:pPr>
        <w:pStyle w:val="8"/>
        <w:numPr>
          <w:ilvl w:val="5"/>
          <w:numId w:val="38"/>
        </w:numPr>
        <w:spacing w:line="240" w:lineRule="auto"/>
        <w:rPr>
          <w:color w:val="auto"/>
        </w:rPr>
      </w:pPr>
      <w:r>
        <w:rPr>
          <w:rFonts w:hint="eastAsia"/>
          <w:color w:val="auto"/>
        </w:rPr>
        <w:t>案件详细信息</w:t>
      </w:r>
    </w:p>
    <w:p w14:paraId="3ED24715">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点击列表中的案件，查看案件的主要信息及相关办理信息，通过案件编号的链接，应能够查询案件的多媒体、地图位置等信息。</w:t>
      </w:r>
    </w:p>
    <w:p w14:paraId="7B0B0EBD">
      <w:pPr>
        <w:pStyle w:val="8"/>
        <w:numPr>
          <w:ilvl w:val="5"/>
          <w:numId w:val="38"/>
        </w:numPr>
        <w:spacing w:line="240" w:lineRule="auto"/>
        <w:rPr>
          <w:color w:val="auto"/>
        </w:rPr>
      </w:pPr>
      <w:r>
        <w:rPr>
          <w:rFonts w:hint="eastAsia"/>
          <w:color w:val="auto"/>
        </w:rPr>
        <w:t>案卷下载</w:t>
      </w:r>
    </w:p>
    <w:p w14:paraId="69F5EBB0">
      <w:pPr>
        <w:ind w:firstLine="480" w:firstLineChars="200"/>
        <w:rPr>
          <w:rFonts w:ascii="宋体" w:hAnsi="Calibri" w:eastAsia="宋体" w:cs="Times New Roman"/>
          <w:color w:val="auto"/>
          <w:sz w:val="24"/>
          <w:szCs w:val="22"/>
        </w:rPr>
      </w:pPr>
      <w:r>
        <w:rPr>
          <w:rFonts w:hint="eastAsia" w:ascii="宋体" w:hAnsi="Calibri" w:eastAsia="宋体" w:cs="Times New Roman"/>
          <w:color w:val="auto"/>
          <w:sz w:val="24"/>
          <w:szCs w:val="22"/>
        </w:rPr>
        <w:t>系统能够将案件批量导出、下载当前案件的多媒体信息。</w:t>
      </w:r>
    </w:p>
    <w:p w14:paraId="68894706">
      <w:pPr>
        <w:pStyle w:val="8"/>
        <w:numPr>
          <w:ilvl w:val="5"/>
          <w:numId w:val="38"/>
        </w:numPr>
        <w:spacing w:line="240" w:lineRule="auto"/>
        <w:rPr>
          <w:color w:val="auto"/>
        </w:rPr>
      </w:pPr>
      <w:r>
        <w:rPr>
          <w:rFonts w:hint="eastAsia"/>
          <w:color w:val="auto"/>
        </w:rPr>
        <w:t>案件回退</w:t>
      </w:r>
    </w:p>
    <w:p w14:paraId="677AC9A0">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在案件流转过程中，用户认为不归自己负责的案件，应可以回退给上一阶段。</w:t>
      </w:r>
    </w:p>
    <w:p w14:paraId="34ECCBF3">
      <w:pPr>
        <w:pStyle w:val="8"/>
        <w:numPr>
          <w:ilvl w:val="5"/>
          <w:numId w:val="38"/>
        </w:numPr>
        <w:spacing w:line="240" w:lineRule="auto"/>
        <w:rPr>
          <w:color w:val="auto"/>
        </w:rPr>
      </w:pPr>
      <w:r>
        <w:rPr>
          <w:rFonts w:hint="eastAsia"/>
          <w:color w:val="auto"/>
        </w:rPr>
        <w:t>答复回退</w:t>
      </w:r>
    </w:p>
    <w:p w14:paraId="057A6364">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如果认为被回退的案件不合理，可以选择答复回退，而不用重新批转。</w:t>
      </w:r>
    </w:p>
    <w:p w14:paraId="4D1A86F6">
      <w:pPr>
        <w:pStyle w:val="8"/>
        <w:numPr>
          <w:ilvl w:val="5"/>
          <w:numId w:val="38"/>
        </w:numPr>
        <w:spacing w:line="240" w:lineRule="auto"/>
        <w:rPr>
          <w:color w:val="auto"/>
        </w:rPr>
      </w:pPr>
      <w:bookmarkStart w:id="122" w:name="_Toc423195502"/>
      <w:r>
        <w:rPr>
          <w:rFonts w:hint="eastAsia"/>
          <w:color w:val="auto"/>
        </w:rPr>
        <w:t>案件批转</w:t>
      </w:r>
      <w:bookmarkEnd w:id="122"/>
    </w:p>
    <w:p w14:paraId="0DC8D596">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在案件流转过程中，用户可以通过批转的菜单将案件派遣至下一个流程。</w:t>
      </w:r>
    </w:p>
    <w:p w14:paraId="026AEA9F">
      <w:pPr>
        <w:pStyle w:val="8"/>
        <w:numPr>
          <w:ilvl w:val="5"/>
          <w:numId w:val="38"/>
        </w:numPr>
        <w:spacing w:line="240" w:lineRule="auto"/>
        <w:rPr>
          <w:color w:val="auto"/>
        </w:rPr>
      </w:pPr>
      <w:r>
        <w:rPr>
          <w:rFonts w:hint="eastAsia"/>
          <w:color w:val="auto"/>
        </w:rPr>
        <w:t>一键派遣</w:t>
      </w:r>
    </w:p>
    <w:p w14:paraId="05F5C21C">
      <w:pPr>
        <w:spacing w:after="120"/>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根据推荐派遣或其他业务规则（小类配置明确的处置部门），确定的派遣部门只有唯部门时，提供一键快捷派遣的功能。</w:t>
      </w:r>
    </w:p>
    <w:p w14:paraId="2F25FF77">
      <w:pPr>
        <w:pStyle w:val="8"/>
        <w:numPr>
          <w:ilvl w:val="5"/>
          <w:numId w:val="38"/>
        </w:numPr>
        <w:spacing w:line="240" w:lineRule="auto"/>
        <w:rPr>
          <w:color w:val="auto"/>
        </w:rPr>
      </w:pPr>
      <w:r>
        <w:rPr>
          <w:rFonts w:hint="eastAsia"/>
          <w:color w:val="auto"/>
        </w:rPr>
        <w:t>返工派遣</w:t>
      </w:r>
    </w:p>
    <w:p w14:paraId="12570031">
      <w:pPr>
        <w:spacing w:after="120"/>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返工的案件，再次派遣只能派遣到原处置部门。</w:t>
      </w:r>
    </w:p>
    <w:p w14:paraId="65C40837">
      <w:pPr>
        <w:pStyle w:val="8"/>
        <w:numPr>
          <w:ilvl w:val="5"/>
          <w:numId w:val="38"/>
        </w:numPr>
        <w:spacing w:line="240" w:lineRule="auto"/>
        <w:rPr>
          <w:color w:val="auto"/>
        </w:rPr>
      </w:pPr>
      <w:r>
        <w:rPr>
          <w:rFonts w:hint="eastAsia"/>
          <w:color w:val="auto"/>
        </w:rPr>
        <w:t>定时派遣</w:t>
      </w:r>
    </w:p>
    <w:p w14:paraId="40EABA24">
      <w:pPr>
        <w:spacing w:after="120"/>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对案件的批转设置定时任务，到达派遣时间后，案件自动派遣并开始计时。同时系统支持对定时派遣案件进行修改定时时间和派遣部门，还支持撤销定时派遣。</w:t>
      </w:r>
    </w:p>
    <w:p w14:paraId="616B36BA">
      <w:pPr>
        <w:pStyle w:val="8"/>
        <w:numPr>
          <w:ilvl w:val="5"/>
          <w:numId w:val="38"/>
        </w:numPr>
        <w:spacing w:line="240" w:lineRule="auto"/>
        <w:rPr>
          <w:color w:val="auto"/>
        </w:rPr>
      </w:pPr>
      <w:r>
        <w:rPr>
          <w:rFonts w:hint="eastAsia"/>
          <w:color w:val="auto"/>
        </w:rPr>
        <w:t>主协办派遣</w:t>
      </w:r>
    </w:p>
    <w:p w14:paraId="49D78B97">
      <w:pPr>
        <w:spacing w:after="120"/>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系统支持同时派遣到多部门，可以设定主办部门、协办部门。</w:t>
      </w:r>
    </w:p>
    <w:p w14:paraId="612C1A18">
      <w:pPr>
        <w:pStyle w:val="8"/>
        <w:numPr>
          <w:ilvl w:val="5"/>
          <w:numId w:val="38"/>
        </w:numPr>
        <w:spacing w:line="240" w:lineRule="auto"/>
        <w:rPr>
          <w:color w:val="auto"/>
        </w:rPr>
      </w:pPr>
      <w:r>
        <w:rPr>
          <w:rFonts w:hint="eastAsia"/>
          <w:color w:val="auto"/>
        </w:rPr>
        <w:t>强制派遣</w:t>
      </w:r>
    </w:p>
    <w:p w14:paraId="26DF57C3">
      <w:pPr>
        <w:spacing w:after="120"/>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指挥中心根据指挥手册或者相关文件要求，确定派遣无误的案件，而专业部门依旧反复进行回退扯皮的案件，中心要求禁止其进行回退操作，把该案件强制指定派遣给相应部门。</w:t>
      </w:r>
    </w:p>
    <w:p w14:paraId="69F80A94">
      <w:pPr>
        <w:pStyle w:val="8"/>
        <w:numPr>
          <w:ilvl w:val="5"/>
          <w:numId w:val="38"/>
        </w:numPr>
        <w:spacing w:line="240" w:lineRule="auto"/>
        <w:rPr>
          <w:color w:val="auto"/>
        </w:rPr>
      </w:pPr>
      <w:r>
        <w:rPr>
          <w:rFonts w:hint="eastAsia"/>
          <w:color w:val="auto"/>
        </w:rPr>
        <w:t>跨区派遣</w:t>
      </w:r>
    </w:p>
    <w:p w14:paraId="0F2EA568">
      <w:pPr>
        <w:spacing w:after="120"/>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一些发生在两个区边界的案卷，可能需要协调相邻区进行派单处置，可以把案件转交给相邻区的派遣员派单到自己的区部门处置。</w:t>
      </w:r>
    </w:p>
    <w:p w14:paraId="4F3BEC1B">
      <w:pPr>
        <w:pStyle w:val="8"/>
        <w:numPr>
          <w:ilvl w:val="5"/>
          <w:numId w:val="38"/>
        </w:numPr>
        <w:spacing w:line="240" w:lineRule="auto"/>
        <w:rPr>
          <w:color w:val="auto"/>
        </w:rPr>
      </w:pPr>
      <w:r>
        <w:rPr>
          <w:rFonts w:hint="eastAsia"/>
          <w:color w:val="auto"/>
        </w:rPr>
        <w:t>双派遣</w:t>
      </w:r>
    </w:p>
    <w:p w14:paraId="704AA80D">
      <w:pPr>
        <w:spacing w:after="120"/>
        <w:ind w:firstLine="480" w:firstLineChars="200"/>
        <w:rPr>
          <w:rFonts w:ascii="宋体" w:hAnsi="宋体" w:eastAsia="宋体" w:cs="宋体"/>
          <w:color w:val="auto"/>
          <w:sz w:val="24"/>
        </w:rPr>
      </w:pPr>
      <w:r>
        <w:rPr>
          <w:rFonts w:hint="eastAsia" w:ascii="宋体" w:hAnsi="宋体" w:eastAsia="宋体" w:cs="宋体"/>
          <w:color w:val="auto"/>
          <w:sz w:val="24"/>
        </w:rPr>
        <w:t>为了提高派给专业公司的案件处置效率，系统提供双派遣功能，即当某一案件派遣给处置部门，同时将该案件派遣给相关的监督部门，由该部门对处置部门的处置情况进行监督。</w:t>
      </w:r>
    </w:p>
    <w:p w14:paraId="01A3191A">
      <w:pPr>
        <w:pStyle w:val="7"/>
        <w:numPr>
          <w:ilvl w:val="4"/>
          <w:numId w:val="38"/>
        </w:numPr>
        <w:spacing w:line="240" w:lineRule="auto"/>
        <w:rPr>
          <w:color w:val="auto"/>
        </w:rPr>
      </w:pPr>
      <w:r>
        <w:rPr>
          <w:rFonts w:hint="eastAsia"/>
          <w:color w:val="auto"/>
        </w:rPr>
        <w:t>统一办理</w:t>
      </w:r>
    </w:p>
    <w:p w14:paraId="55BE8833">
      <w:pPr>
        <w:spacing w:before="159" w:after="159"/>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目前城市事件的管理平台包括12345平台、数字城管平台、综治网格平台、e福州综合指挥平台，这些平台的受理渠道不同，数据也没有共享，导致同一个事件可能在不同平台受理多次，造成重复受理，而且事件的受理以人工为主，增加受理人员、办理人员工作量，对事件汇总、分析也带来一定的副作用。</w:t>
      </w:r>
    </w:p>
    <w:p w14:paraId="36E3D2AE">
      <w:pPr>
        <w:spacing w:before="159" w:after="159"/>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通过调研各区县事件受理情况发现，各区县智慧中心对由于平台分立导致重复事件采集情况，反馈比较强烈，不仅仅增加了受理人员工作量，而且各系统由于要各自完成受理事件闭环，导致后续的办理、反馈、归档等工作都是重复的，导致也增加了各委办局的工作量。</w:t>
      </w:r>
    </w:p>
    <w:p w14:paraId="525E1CCF">
      <w:pPr>
        <w:spacing w:before="159" w:after="159"/>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因此建设统一任务处置模块在平台的业务受理时进行多渠道重复事件判断，在处置时统一进行任务展示，处置部门通过统一身份认证进入统一任务处置，直观了解当天要处理的相关事件信息，点击代办事项进入对应的业务平台进行任务处置。</w:t>
      </w:r>
    </w:p>
    <w:p w14:paraId="4832D7CB">
      <w:pPr>
        <w:numPr>
          <w:ilvl w:val="2"/>
          <w:numId w:val="0"/>
        </w:num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drawing>
          <wp:inline distT="0" distB="0" distL="114300" distR="114300">
            <wp:extent cx="5683250" cy="2679700"/>
            <wp:effectExtent l="0" t="0" r="12700" b="6350"/>
            <wp:docPr id="49" name="图片 4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片1"/>
                    <pic:cNvPicPr>
                      <a:picLocks noChangeAspect="1"/>
                    </pic:cNvPicPr>
                  </pic:nvPicPr>
                  <pic:blipFill>
                    <a:blip r:embed="rId47" cstate="print"/>
                    <a:stretch>
                      <a:fillRect/>
                    </a:stretch>
                  </pic:blipFill>
                  <pic:spPr>
                    <a:xfrm>
                      <a:off x="0" y="0"/>
                      <a:ext cx="5683250" cy="2679700"/>
                    </a:xfrm>
                    <a:prstGeom prst="rect">
                      <a:avLst/>
                    </a:prstGeom>
                  </pic:spPr>
                </pic:pic>
              </a:graphicData>
            </a:graphic>
          </wp:inline>
        </w:drawing>
      </w:r>
    </w:p>
    <w:p w14:paraId="5B29821D">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123" w:name="_Toc18185"/>
      <w:r>
        <w:rPr>
          <w:rFonts w:hint="eastAsia" w:ascii="Times New Roman" w:hAnsi="Times New Roman" w:eastAsia="宋体" w:cs="Times New Roman"/>
          <w:color w:val="auto"/>
          <w:sz w:val="24"/>
          <w:szCs w:val="21"/>
        </w:rPr>
        <w:t>业务统一办理流程</w:t>
      </w:r>
      <w:bookmarkEnd w:id="123"/>
      <w:r>
        <w:rPr>
          <w:rFonts w:hint="eastAsia" w:cs="Times New Roman" w:asciiTheme="majorEastAsia" w:hAnsiTheme="majorEastAsia" w:eastAsiaTheme="majorEastAsia"/>
          <w:color w:val="auto"/>
          <w:sz w:val="24"/>
          <w:szCs w:val="21"/>
        </w:rPr>
        <w:t>示意</w:t>
      </w:r>
      <w:r>
        <w:rPr>
          <w:rFonts w:hint="eastAsia" w:ascii="Times New Roman" w:hAnsi="Times New Roman" w:eastAsia="宋体" w:cs="Times New Roman"/>
          <w:color w:val="auto"/>
          <w:sz w:val="24"/>
          <w:szCs w:val="21"/>
        </w:rPr>
        <w:t>图</w:t>
      </w:r>
    </w:p>
    <w:p w14:paraId="79754C7A">
      <w:pPr>
        <w:ind w:firstLine="480" w:firstLineChars="200"/>
        <w:jc w:val="center"/>
        <w:rPr>
          <w:rFonts w:ascii="Times New Roman" w:hAnsi="Times New Roman" w:eastAsia="宋体" w:cs="Times New Roman"/>
          <w:color w:val="auto"/>
          <w:sz w:val="24"/>
          <w:szCs w:val="21"/>
        </w:rPr>
      </w:pPr>
    </w:p>
    <w:p w14:paraId="5AF508E0">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本次通过对福州数字城管系统的协同工作子系统进行改造，改造为福州市网格化管理综合服务平台的统一业务协同服务模块，改造后的统一业务协同模块，不但支持城市管理问题的业务流转，还可以支持综治、环保、安监、食药监、消防、民政、卫计、公安、人社和司法等相关网格化管理问题的业务流转。</w:t>
      </w:r>
    </w:p>
    <w:p w14:paraId="657D3FB3">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采用共性业务流程引擎实现统一受理、统一分拨、统一处置，保证业务流程的一致性。统一业务协同服务实现</w:t>
      </w:r>
      <w:r>
        <w:rPr>
          <w:rFonts w:hint="eastAsia" w:ascii="宋体" w:hAnsi="宋体" w:eastAsia="宋体" w:cs="Arial"/>
          <w:color w:val="auto"/>
          <w:sz w:val="24"/>
          <w:szCs w:val="22"/>
        </w:rPr>
        <w:t>网格化服务管理业务事项统一的调度分发办理，对用户提交符合要求和规范的请求进行统一的数据分发，通过WebService接口等方式提交给各业务系统。采用总线模式进行数据分发，统一数据交互方式，保证业务监控数据的统一性和完整性。</w:t>
      </w:r>
    </w:p>
    <w:p w14:paraId="1CD58F86">
      <w:pPr>
        <w:pStyle w:val="8"/>
        <w:numPr>
          <w:ilvl w:val="5"/>
          <w:numId w:val="38"/>
        </w:numPr>
        <w:spacing w:line="240" w:lineRule="auto"/>
        <w:rPr>
          <w:color w:val="auto"/>
        </w:rPr>
      </w:pPr>
      <w:r>
        <w:rPr>
          <w:rFonts w:hint="eastAsia"/>
          <w:color w:val="auto"/>
        </w:rPr>
        <w:t>统一用户登录</w:t>
      </w:r>
    </w:p>
    <w:p w14:paraId="2651F7BC">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能够识别系统账号，</w:t>
      </w:r>
      <w:r>
        <w:rPr>
          <w:rFonts w:hint="eastAsia" w:ascii="宋体" w:hAnsi="宋体" w:eastAsia="宋体" w:cs="宋体"/>
          <w:color w:val="auto"/>
          <w:sz w:val="24"/>
          <w:szCs w:val="22"/>
        </w:rPr>
        <w:t>实现业务人员账号统一，一次登录多业务系统快速使用</w:t>
      </w:r>
      <w:r>
        <w:rPr>
          <w:rFonts w:hint="eastAsia" w:ascii="宋体" w:hAnsi="Calibri" w:eastAsia="宋体" w:cs="Times New Roman"/>
          <w:color w:val="auto"/>
          <w:sz w:val="24"/>
          <w:szCs w:val="22"/>
        </w:rPr>
        <w:t>。</w:t>
      </w:r>
    </w:p>
    <w:p w14:paraId="1385FC45">
      <w:pPr>
        <w:pStyle w:val="8"/>
        <w:numPr>
          <w:ilvl w:val="5"/>
          <w:numId w:val="38"/>
        </w:numPr>
        <w:spacing w:line="240" w:lineRule="auto"/>
        <w:rPr>
          <w:color w:val="auto"/>
        </w:rPr>
      </w:pPr>
      <w:bookmarkStart w:id="124" w:name="_Toc423195494"/>
      <w:r>
        <w:rPr>
          <w:rFonts w:hint="eastAsia"/>
          <w:color w:val="auto"/>
        </w:rPr>
        <w:t>案件列表</w:t>
      </w:r>
      <w:bookmarkEnd w:id="124"/>
    </w:p>
    <w:p w14:paraId="2CCECB4D">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在用户使用系统时，应能够展示所操作的案件列表，提供案件的相关操作功能，如查看案件信息、批转等操作。</w:t>
      </w:r>
    </w:p>
    <w:p w14:paraId="521DFBD4">
      <w:pPr>
        <w:pStyle w:val="8"/>
        <w:numPr>
          <w:ilvl w:val="5"/>
          <w:numId w:val="38"/>
        </w:numPr>
        <w:spacing w:line="240" w:lineRule="auto"/>
        <w:rPr>
          <w:color w:val="auto"/>
        </w:rPr>
      </w:pPr>
      <w:bookmarkStart w:id="125" w:name="_Toc423195495"/>
      <w:r>
        <w:rPr>
          <w:rFonts w:hint="eastAsia"/>
          <w:color w:val="auto"/>
        </w:rPr>
        <w:t>字段设置</w:t>
      </w:r>
      <w:bookmarkEnd w:id="125"/>
    </w:p>
    <w:p w14:paraId="77E84809">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在案件列表中默认显示案件基本信息，用户应能够选择这些字段是否显示。</w:t>
      </w:r>
    </w:p>
    <w:p w14:paraId="47E2C5CE">
      <w:pPr>
        <w:pStyle w:val="8"/>
        <w:numPr>
          <w:ilvl w:val="5"/>
          <w:numId w:val="38"/>
        </w:numPr>
        <w:spacing w:line="240" w:lineRule="auto"/>
        <w:rPr>
          <w:color w:val="auto"/>
        </w:rPr>
      </w:pPr>
      <w:bookmarkStart w:id="126" w:name="_Toc423195496"/>
      <w:r>
        <w:rPr>
          <w:rFonts w:hint="eastAsia"/>
          <w:color w:val="auto"/>
        </w:rPr>
        <w:t>案卷筛选</w:t>
      </w:r>
      <w:bookmarkEnd w:id="126"/>
    </w:p>
    <w:p w14:paraId="607A88CE">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在待办案件列表中，应能够根据字段内容进行筛选显示。</w:t>
      </w:r>
    </w:p>
    <w:p w14:paraId="21B2FE3F">
      <w:pPr>
        <w:pStyle w:val="8"/>
        <w:numPr>
          <w:ilvl w:val="5"/>
          <w:numId w:val="38"/>
        </w:numPr>
        <w:spacing w:line="240" w:lineRule="auto"/>
        <w:rPr>
          <w:color w:val="auto"/>
        </w:rPr>
      </w:pPr>
      <w:bookmarkStart w:id="127" w:name="_Toc423195498"/>
      <w:r>
        <w:rPr>
          <w:rFonts w:hint="eastAsia"/>
          <w:color w:val="auto"/>
        </w:rPr>
        <w:t>案件详细信息</w:t>
      </w:r>
      <w:bookmarkEnd w:id="127"/>
    </w:p>
    <w:p w14:paraId="3A4E1181">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点击列表中的案件，查看案件的主要信息及相关办理信息，通过案件编号的链接，应能够查询案件的多媒体、地图位置等信息。</w:t>
      </w:r>
    </w:p>
    <w:p w14:paraId="3932B928">
      <w:pPr>
        <w:pStyle w:val="8"/>
        <w:numPr>
          <w:ilvl w:val="5"/>
          <w:numId w:val="38"/>
        </w:numPr>
        <w:spacing w:line="240" w:lineRule="auto"/>
        <w:rPr>
          <w:color w:val="auto"/>
        </w:rPr>
      </w:pPr>
      <w:bookmarkStart w:id="128" w:name="_Toc423195499"/>
      <w:r>
        <w:rPr>
          <w:rFonts w:hint="eastAsia"/>
          <w:color w:val="auto"/>
        </w:rPr>
        <w:t>案卷下载</w:t>
      </w:r>
      <w:bookmarkEnd w:id="128"/>
    </w:p>
    <w:p w14:paraId="30395D0B">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系统能够将案件批量导出、下载当前案件的多媒体信息。</w:t>
      </w:r>
    </w:p>
    <w:p w14:paraId="2EC20A3C">
      <w:pPr>
        <w:pStyle w:val="8"/>
        <w:numPr>
          <w:ilvl w:val="5"/>
          <w:numId w:val="38"/>
        </w:numPr>
        <w:spacing w:line="240" w:lineRule="auto"/>
        <w:rPr>
          <w:color w:val="auto"/>
        </w:rPr>
      </w:pPr>
      <w:bookmarkStart w:id="129" w:name="_Toc423195500"/>
      <w:r>
        <w:rPr>
          <w:rFonts w:hint="eastAsia"/>
          <w:color w:val="auto"/>
        </w:rPr>
        <w:t>案件办理</w:t>
      </w:r>
      <w:bookmarkEnd w:id="129"/>
    </w:p>
    <w:p w14:paraId="67843A69">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在代办案件列表中点击“办理”进行办理等操作。</w:t>
      </w:r>
    </w:p>
    <w:p w14:paraId="11735625">
      <w:pPr>
        <w:pStyle w:val="8"/>
        <w:numPr>
          <w:ilvl w:val="5"/>
          <w:numId w:val="38"/>
        </w:numPr>
        <w:spacing w:line="240" w:lineRule="auto"/>
        <w:rPr>
          <w:color w:val="auto"/>
        </w:rPr>
      </w:pPr>
      <w:bookmarkStart w:id="130" w:name="_Toc423195503"/>
      <w:r>
        <w:rPr>
          <w:rFonts w:hint="eastAsia"/>
          <w:color w:val="auto"/>
        </w:rPr>
        <w:t>案件回退</w:t>
      </w:r>
      <w:bookmarkEnd w:id="130"/>
    </w:p>
    <w:p w14:paraId="3BF8FB62">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在案件流转过程中，用户认为不归自己负责的案件，应可以回退给上一阶段。</w:t>
      </w:r>
    </w:p>
    <w:p w14:paraId="5CA86BBB">
      <w:pPr>
        <w:pStyle w:val="8"/>
        <w:numPr>
          <w:ilvl w:val="5"/>
          <w:numId w:val="38"/>
        </w:numPr>
        <w:spacing w:line="240" w:lineRule="auto"/>
        <w:rPr>
          <w:color w:val="auto"/>
        </w:rPr>
      </w:pPr>
      <w:bookmarkStart w:id="131" w:name="_Toc423195504"/>
      <w:r>
        <w:rPr>
          <w:rFonts w:hint="eastAsia"/>
          <w:color w:val="auto"/>
        </w:rPr>
        <w:t>答复回退</w:t>
      </w:r>
      <w:bookmarkEnd w:id="131"/>
    </w:p>
    <w:p w14:paraId="06E09827">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如果认为被回退的案件不合理，可以选择答复回退，而不用重新批转。</w:t>
      </w:r>
    </w:p>
    <w:p w14:paraId="5D3B406D">
      <w:pPr>
        <w:pStyle w:val="8"/>
        <w:numPr>
          <w:ilvl w:val="5"/>
          <w:numId w:val="38"/>
        </w:numPr>
        <w:spacing w:line="240" w:lineRule="auto"/>
        <w:rPr>
          <w:color w:val="auto"/>
        </w:rPr>
      </w:pPr>
      <w:bookmarkStart w:id="132" w:name="_Toc423195505"/>
      <w:r>
        <w:rPr>
          <w:rFonts w:hint="eastAsia"/>
          <w:color w:val="auto"/>
        </w:rPr>
        <w:t>经办案件</w:t>
      </w:r>
      <w:bookmarkEnd w:id="132"/>
    </w:p>
    <w:p w14:paraId="323EFB82">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对于自己办理过的案件，应提供单独的查询入口。</w:t>
      </w:r>
    </w:p>
    <w:p w14:paraId="6394631F">
      <w:pPr>
        <w:pStyle w:val="8"/>
        <w:numPr>
          <w:ilvl w:val="5"/>
          <w:numId w:val="38"/>
        </w:numPr>
        <w:spacing w:line="240" w:lineRule="auto"/>
        <w:rPr>
          <w:color w:val="auto"/>
        </w:rPr>
      </w:pPr>
      <w:bookmarkStart w:id="133" w:name="_Toc423195506"/>
      <w:r>
        <w:rPr>
          <w:rFonts w:hint="eastAsia"/>
          <w:color w:val="auto"/>
        </w:rPr>
        <w:t>案件存档</w:t>
      </w:r>
      <w:bookmarkEnd w:id="133"/>
    </w:p>
    <w:p w14:paraId="1DA07C34">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在问题处理完毕后，网格员核查通过的案件，应能够将案件结案存档。</w:t>
      </w:r>
    </w:p>
    <w:p w14:paraId="5EB73517">
      <w:pPr>
        <w:pStyle w:val="8"/>
        <w:numPr>
          <w:ilvl w:val="5"/>
          <w:numId w:val="38"/>
        </w:numPr>
        <w:spacing w:line="240" w:lineRule="auto"/>
        <w:rPr>
          <w:color w:val="auto"/>
        </w:rPr>
      </w:pPr>
      <w:bookmarkStart w:id="134" w:name="_Toc423195508"/>
      <w:r>
        <w:rPr>
          <w:rFonts w:hint="eastAsia"/>
          <w:color w:val="auto"/>
        </w:rPr>
        <w:t>授权操作</w:t>
      </w:r>
      <w:bookmarkEnd w:id="134"/>
    </w:p>
    <w:p w14:paraId="124F863B">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经办人在办理案卷的过程中需要对案卷进行特殊处理，经办人可以根据权限设置向有授权权限的人员申请授权，具体包括延期办理、案件挂账和作废等授权内容。案卷进行申请授权后就会进入授权人的授权箱中，等授权人答复并通过授权意见后，经办人就可以对案卷执行授权操作，方便业务人员在特殊情况下对案卷进行处理。</w:t>
      </w:r>
    </w:p>
    <w:p w14:paraId="3AE801F9">
      <w:pPr>
        <w:pStyle w:val="8"/>
        <w:numPr>
          <w:ilvl w:val="5"/>
          <w:numId w:val="38"/>
        </w:numPr>
        <w:spacing w:line="240" w:lineRule="auto"/>
        <w:rPr>
          <w:color w:val="auto"/>
        </w:rPr>
      </w:pPr>
      <w:bookmarkStart w:id="135" w:name="_Toc423195509"/>
      <w:r>
        <w:rPr>
          <w:rFonts w:hint="eastAsia"/>
          <w:color w:val="auto"/>
        </w:rPr>
        <w:t>案件计时</w:t>
      </w:r>
      <w:bookmarkEnd w:id="135"/>
    </w:p>
    <w:p w14:paraId="5075C92E">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规定专业部门处理的工作时限，以便于进行考核。并针对不同情况，系统能够提供捆绑计时、停止和恢复计时功能。</w:t>
      </w:r>
    </w:p>
    <w:p w14:paraId="2BA77F2E">
      <w:pPr>
        <w:pStyle w:val="8"/>
        <w:numPr>
          <w:ilvl w:val="5"/>
          <w:numId w:val="38"/>
        </w:numPr>
        <w:spacing w:line="240" w:lineRule="auto"/>
        <w:rPr>
          <w:color w:val="auto"/>
        </w:rPr>
      </w:pPr>
      <w:bookmarkStart w:id="136" w:name="_Toc423195511"/>
      <w:r>
        <w:rPr>
          <w:rFonts w:hint="eastAsia"/>
          <w:color w:val="auto"/>
        </w:rPr>
        <w:t>典型案件</w:t>
      </w:r>
      <w:bookmarkEnd w:id="136"/>
    </w:p>
    <w:p w14:paraId="11F042CE">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在案件处理过程中，对于一些比较典型的问题，值班长应可以将其作为典型案件单独保存。</w:t>
      </w:r>
    </w:p>
    <w:p w14:paraId="56D30270">
      <w:pPr>
        <w:pStyle w:val="8"/>
        <w:numPr>
          <w:ilvl w:val="5"/>
          <w:numId w:val="38"/>
        </w:numPr>
        <w:spacing w:line="240" w:lineRule="auto"/>
        <w:rPr>
          <w:color w:val="auto"/>
        </w:rPr>
      </w:pPr>
      <w:bookmarkStart w:id="137" w:name="_Toc423195513"/>
      <w:r>
        <w:rPr>
          <w:rFonts w:hint="eastAsia"/>
          <w:color w:val="auto"/>
        </w:rPr>
        <w:t>相似案卷提示</w:t>
      </w:r>
      <w:bookmarkEnd w:id="137"/>
    </w:p>
    <w:p w14:paraId="67908519">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系统能够根据问题类型、事发时间、事发所属网格来判断是否有相似问题。能够查看相似问题的详细信息。</w:t>
      </w:r>
    </w:p>
    <w:p w14:paraId="5BA8384B">
      <w:pPr>
        <w:pStyle w:val="8"/>
        <w:numPr>
          <w:ilvl w:val="5"/>
          <w:numId w:val="38"/>
        </w:numPr>
        <w:spacing w:line="240" w:lineRule="auto"/>
        <w:rPr>
          <w:color w:val="auto"/>
        </w:rPr>
      </w:pPr>
      <w:bookmarkStart w:id="138" w:name="_Toc423195514"/>
      <w:r>
        <w:rPr>
          <w:rFonts w:hint="eastAsia"/>
          <w:color w:val="auto"/>
        </w:rPr>
        <w:t>案件回访</w:t>
      </w:r>
      <w:bookmarkEnd w:id="138"/>
    </w:p>
    <w:p w14:paraId="6C3487B7">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在案件结案前，如果该问题举报人要求回访，则通过登记问题时所留下的回访电话，向举报人反馈该问题的处理结果，并将回访意见填写到回访意见栏中。</w:t>
      </w:r>
    </w:p>
    <w:p w14:paraId="24B0AA70">
      <w:pPr>
        <w:pStyle w:val="8"/>
        <w:numPr>
          <w:ilvl w:val="5"/>
          <w:numId w:val="38"/>
        </w:numPr>
        <w:spacing w:line="240" w:lineRule="auto"/>
        <w:rPr>
          <w:color w:val="auto"/>
        </w:rPr>
      </w:pPr>
      <w:bookmarkStart w:id="139" w:name="_Toc423195515"/>
      <w:r>
        <w:rPr>
          <w:rFonts w:hint="eastAsia"/>
          <w:color w:val="auto"/>
        </w:rPr>
        <w:t>采集员</w:t>
      </w:r>
      <w:bookmarkEnd w:id="139"/>
      <w:r>
        <w:rPr>
          <w:rFonts w:hint="eastAsia"/>
          <w:color w:val="auto"/>
        </w:rPr>
        <w:t>信息查看</w:t>
      </w:r>
    </w:p>
    <w:p w14:paraId="5920A2A4">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在查看案件信息时，应该能够调出网格员的相关信息，以方便中心人员与网格员联系。</w:t>
      </w:r>
    </w:p>
    <w:p w14:paraId="0A5414F0">
      <w:pPr>
        <w:pStyle w:val="8"/>
        <w:numPr>
          <w:ilvl w:val="5"/>
          <w:numId w:val="38"/>
        </w:numPr>
        <w:spacing w:line="240" w:lineRule="auto"/>
        <w:rPr>
          <w:color w:val="auto"/>
        </w:rPr>
      </w:pPr>
      <w:bookmarkStart w:id="140" w:name="_Toc423195519"/>
      <w:r>
        <w:rPr>
          <w:rFonts w:hint="eastAsia"/>
          <w:color w:val="auto"/>
        </w:rPr>
        <w:t>综合查询</w:t>
      </w:r>
      <w:bookmarkEnd w:id="140"/>
    </w:p>
    <w:p w14:paraId="458599D4">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能够快速查询网格化管理问题的案件信息。</w:t>
      </w:r>
    </w:p>
    <w:p w14:paraId="41BEF227">
      <w:pPr>
        <w:pStyle w:val="8"/>
        <w:numPr>
          <w:ilvl w:val="5"/>
          <w:numId w:val="38"/>
        </w:numPr>
        <w:spacing w:line="240" w:lineRule="auto"/>
        <w:rPr>
          <w:color w:val="auto"/>
        </w:rPr>
      </w:pPr>
      <w:bookmarkStart w:id="141" w:name="_Toc423195524"/>
      <w:r>
        <w:rPr>
          <w:rFonts w:hint="eastAsia"/>
          <w:color w:val="auto"/>
        </w:rPr>
        <w:t>查询统计</w:t>
      </w:r>
      <w:bookmarkEnd w:id="141"/>
    </w:p>
    <w:p w14:paraId="02D04A49">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通过此功能可以是实现监管案件的查询与统计，系统提供了两种查询方式，一是案卷快速查询，用户选择并输入条件，点击‘查询按钮’就可以看到结果。另一种是模版案卷查询，用户可以单击选择列表中的某个模版进行查询。</w:t>
      </w:r>
    </w:p>
    <w:p w14:paraId="2B0D79B3">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统计模块给用户提供了几种默认的报表，用户可以根据这些模板，对业务办理情况进行统计，满足领导对案卷总体情况的了解和对业务办理情况查询的需要。</w:t>
      </w:r>
    </w:p>
    <w:p w14:paraId="0EFBADFA">
      <w:pPr>
        <w:pStyle w:val="8"/>
        <w:numPr>
          <w:ilvl w:val="5"/>
          <w:numId w:val="38"/>
        </w:numPr>
        <w:spacing w:line="240" w:lineRule="auto"/>
        <w:rPr>
          <w:color w:val="auto"/>
        </w:rPr>
      </w:pPr>
      <w:bookmarkStart w:id="142" w:name="_Toc423195525"/>
      <w:r>
        <w:rPr>
          <w:rFonts w:hint="eastAsia"/>
          <w:color w:val="auto"/>
        </w:rPr>
        <w:t>即时消息</w:t>
      </w:r>
      <w:bookmarkEnd w:id="142"/>
    </w:p>
    <w:p w14:paraId="216BAAFD">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系统提供业务办理人员之间发送消息互相通讯的工具，从而提供业务人员的办事效率，接收到其他人发送的消息保存在该栏目下，操作人员可以进行删除。新案卷到达进行即时消息语音提醒。</w:t>
      </w:r>
    </w:p>
    <w:p w14:paraId="5B4C508B">
      <w:pPr>
        <w:pStyle w:val="8"/>
        <w:numPr>
          <w:ilvl w:val="5"/>
          <w:numId w:val="38"/>
        </w:numPr>
        <w:spacing w:line="240" w:lineRule="auto"/>
        <w:rPr>
          <w:color w:val="auto"/>
        </w:rPr>
      </w:pPr>
      <w:bookmarkStart w:id="143" w:name="_Toc423195526"/>
      <w:r>
        <w:rPr>
          <w:rFonts w:hint="eastAsia"/>
          <w:color w:val="auto"/>
        </w:rPr>
        <w:t>数据对接</w:t>
      </w:r>
      <w:bookmarkEnd w:id="143"/>
    </w:p>
    <w:p w14:paraId="67E26AA1">
      <w:pPr>
        <w:ind w:firstLine="480" w:firstLineChars="200"/>
        <w:rPr>
          <w:rFonts w:ascii="Times New Roman" w:hAnsi="Times New Roman" w:eastAsia="宋体" w:cs="Times New Roman"/>
          <w:color w:val="auto"/>
          <w:sz w:val="24"/>
          <w:szCs w:val="21"/>
        </w:rPr>
      </w:pPr>
      <w:r>
        <w:rPr>
          <w:rFonts w:hint="eastAsia" w:ascii="宋体" w:hAnsi="Calibri" w:eastAsia="宋体" w:cs="Times New Roman"/>
          <w:color w:val="auto"/>
          <w:sz w:val="24"/>
          <w:szCs w:val="22"/>
        </w:rPr>
        <w:t>系统能够与地理编码子系统实现数据对接，实现案件与空间地图的结合。</w:t>
      </w:r>
    </w:p>
    <w:p w14:paraId="175905CD">
      <w:pPr>
        <w:pStyle w:val="7"/>
        <w:numPr>
          <w:ilvl w:val="4"/>
          <w:numId w:val="38"/>
        </w:numPr>
        <w:spacing w:line="240" w:lineRule="auto"/>
        <w:rPr>
          <w:color w:val="auto"/>
        </w:rPr>
      </w:pPr>
      <w:r>
        <w:rPr>
          <w:rFonts w:hint="eastAsia"/>
          <w:color w:val="auto"/>
        </w:rPr>
        <w:t>部门联动处置</w:t>
      </w:r>
    </w:p>
    <w:p w14:paraId="66D41FB9">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部门联动处置系统是为了推进综合监督体系建设，进一步加强街道对辖区事务的统筹指挥调度和资源整合力度，充分发挥街道发现问题、处置问题的能力和权利，依托网格化服务管理系统逐渐完善基层治理体系一种处理机制。主要功能包括街道联动、一键联动、部门报到、综合考评、综合查询等内容。</w:t>
      </w:r>
    </w:p>
    <w:p w14:paraId="704FF1E3">
      <w:pPr>
        <w:pStyle w:val="8"/>
        <w:numPr>
          <w:ilvl w:val="5"/>
          <w:numId w:val="38"/>
        </w:numPr>
        <w:spacing w:line="240" w:lineRule="auto"/>
        <w:rPr>
          <w:color w:val="auto"/>
        </w:rPr>
      </w:pPr>
      <w:r>
        <w:rPr>
          <w:rFonts w:hint="eastAsia"/>
          <w:color w:val="auto"/>
        </w:rPr>
        <w:t>街道联动</w:t>
      </w:r>
    </w:p>
    <w:p w14:paraId="0D693E21">
      <w:pPr>
        <w:pStyle w:val="3"/>
        <w:numPr>
          <w:ilvl w:val="6"/>
          <w:numId w:val="38"/>
        </w:numPr>
        <w:spacing w:line="240" w:lineRule="auto"/>
        <w:rPr>
          <w:color w:val="auto"/>
        </w:rPr>
      </w:pPr>
      <w:r>
        <w:rPr>
          <w:rFonts w:hint="eastAsia"/>
          <w:color w:val="auto"/>
        </w:rPr>
        <w:t>申请联动</w:t>
      </w:r>
    </w:p>
    <w:p w14:paraId="154B0EBB">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在街道需要对某个案件进行联动时，通过案件的“办理”选项，进入表单界面，“申请联动”功能中需选择授权人、吹哨类别、报到部门、联系人、联系方式、报到时间、人员要求、特殊要求、申请详情以及根据实际情况选择是否上传附件，确定联动后案件进入街道联动待办栏。e治理app同步增加改功能。</w:t>
      </w:r>
    </w:p>
    <w:p w14:paraId="08FD3FF4">
      <w:pPr>
        <w:pStyle w:val="3"/>
        <w:numPr>
          <w:ilvl w:val="6"/>
          <w:numId w:val="38"/>
        </w:numPr>
        <w:spacing w:line="240" w:lineRule="auto"/>
        <w:ind w:firstLine="482"/>
        <w:rPr>
          <w:color w:val="auto"/>
        </w:rPr>
      </w:pPr>
      <w:r>
        <w:rPr>
          <w:rFonts w:hint="eastAsia"/>
          <w:color w:val="auto"/>
        </w:rPr>
        <w:t>答复联动</w:t>
      </w:r>
    </w:p>
    <w:p w14:paraId="33D60FAF">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授权人接收到街道的联动申请后，根据实际情况对申请进行答复，如果同意，案件进入吹哨状态，并同时给申请时选定的报到部门发送联动案件，如果不同意，则案件保持不变。e治理app同步增加改功能。</w:t>
      </w:r>
    </w:p>
    <w:p w14:paraId="3A801C57">
      <w:pPr>
        <w:pStyle w:val="3"/>
        <w:numPr>
          <w:ilvl w:val="6"/>
          <w:numId w:val="38"/>
        </w:numPr>
        <w:spacing w:line="240" w:lineRule="auto"/>
        <w:ind w:firstLine="482"/>
        <w:rPr>
          <w:color w:val="auto"/>
        </w:rPr>
      </w:pPr>
      <w:r>
        <w:rPr>
          <w:rFonts w:hint="eastAsia"/>
          <w:color w:val="auto"/>
        </w:rPr>
        <w:t>查看联动意见</w:t>
      </w:r>
    </w:p>
    <w:p w14:paraId="519C332B">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此功能主要包括两个模块，联动详情展示和报到部门反馈意见，联动详情界面主要展示申请吹哨时的详细信息，反馈意见模块主要是显示报到部门的相关信息，包括报到部门、收到时间、反馈时间、操作人员以及相关反馈意见。若相关部门未按要求填写“反馈意见”，街道可回退案件给该部门。e治理app同步增加改功能。</w:t>
      </w:r>
    </w:p>
    <w:p w14:paraId="470E5175">
      <w:pPr>
        <w:pStyle w:val="3"/>
        <w:numPr>
          <w:ilvl w:val="6"/>
          <w:numId w:val="38"/>
        </w:numPr>
        <w:spacing w:line="240" w:lineRule="auto"/>
        <w:ind w:firstLine="482"/>
        <w:rPr>
          <w:color w:val="auto"/>
        </w:rPr>
      </w:pPr>
      <w:r>
        <w:rPr>
          <w:rFonts w:hint="eastAsia"/>
          <w:color w:val="auto"/>
        </w:rPr>
        <w:t>街道评价</w:t>
      </w:r>
    </w:p>
    <w:p w14:paraId="4CBAE02E">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报到部门反馈后，街道可以根据报到部门的收到时间、响应时间、报到效率、配合度、专业性以及担当意识等参考指标对各部门的反馈和响应情况进行评价打分。</w:t>
      </w:r>
    </w:p>
    <w:p w14:paraId="0D5CCBAC">
      <w:pPr>
        <w:pStyle w:val="3"/>
        <w:numPr>
          <w:ilvl w:val="6"/>
          <w:numId w:val="38"/>
        </w:numPr>
        <w:spacing w:line="240" w:lineRule="auto"/>
        <w:ind w:firstLine="482"/>
        <w:rPr>
          <w:color w:val="auto"/>
        </w:rPr>
      </w:pPr>
      <w:r>
        <w:rPr>
          <w:rFonts w:hint="eastAsia"/>
          <w:color w:val="auto"/>
        </w:rPr>
        <w:t>打印街道联动处理表</w:t>
      </w:r>
    </w:p>
    <w:p w14:paraId="074E5D2B">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该模块可以将具体一条吹哨案件处理表打印成</w:t>
      </w:r>
      <w:r>
        <w:rPr>
          <w:rFonts w:ascii="宋体" w:hAnsi="宋体" w:eastAsia="宋体" w:cs="宋体"/>
          <w:color w:val="auto"/>
          <w:sz w:val="24"/>
          <w:szCs w:val="21"/>
        </w:rPr>
        <w:t>pdf</w:t>
      </w:r>
      <w:r>
        <w:rPr>
          <w:rFonts w:hint="eastAsia" w:ascii="宋体" w:hAnsi="宋体" w:eastAsia="宋体" w:cs="宋体"/>
          <w:color w:val="auto"/>
          <w:sz w:val="24"/>
          <w:szCs w:val="21"/>
        </w:rPr>
        <w:t>文件，打印出来的</w:t>
      </w:r>
      <w:r>
        <w:rPr>
          <w:rFonts w:ascii="宋体" w:hAnsi="宋体" w:eastAsia="宋体" w:cs="宋体"/>
          <w:color w:val="auto"/>
          <w:sz w:val="24"/>
          <w:szCs w:val="21"/>
        </w:rPr>
        <w:t>pdf</w:t>
      </w:r>
      <w:r>
        <w:rPr>
          <w:rFonts w:hint="eastAsia" w:ascii="宋体" w:hAnsi="宋体" w:eastAsia="宋体" w:cs="宋体"/>
          <w:color w:val="auto"/>
          <w:sz w:val="24"/>
          <w:szCs w:val="21"/>
        </w:rPr>
        <w:t>文件主要包含案件主要信息、报到部门相关信息、处理结果以及领导意见。</w:t>
      </w:r>
    </w:p>
    <w:p w14:paraId="1FFA1F9C">
      <w:pPr>
        <w:pStyle w:val="8"/>
        <w:numPr>
          <w:ilvl w:val="5"/>
          <w:numId w:val="38"/>
        </w:numPr>
        <w:spacing w:line="240" w:lineRule="auto"/>
        <w:rPr>
          <w:color w:val="auto"/>
        </w:rPr>
      </w:pPr>
      <w:r>
        <w:rPr>
          <w:rFonts w:hint="eastAsia"/>
          <w:color w:val="auto"/>
        </w:rPr>
        <w:t>一键联动</w:t>
      </w:r>
    </w:p>
    <w:p w14:paraId="2F3B7236">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为了简化案件上报流程，系统增加“一键联动”功能，不需要提前登记案件，街道可以通过九宫格页面一键联动栏目；通过一键联动，直接进入到吹哨界面。</w:t>
      </w:r>
    </w:p>
    <w:p w14:paraId="4AAC2C2E">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其中，在申请联动界面，除了填写正常案件相同字段外，还增加了问题来源、案件类型和问题描述等基本字段，其中案件类型默认为城市管理，问题来源默认街道联动，案件发生地址默认街道办事处地址。e治理app同步增加改功能。</w:t>
      </w:r>
    </w:p>
    <w:p w14:paraId="0E1E6748">
      <w:pPr>
        <w:pStyle w:val="8"/>
        <w:numPr>
          <w:ilvl w:val="5"/>
          <w:numId w:val="38"/>
        </w:numPr>
        <w:spacing w:line="240" w:lineRule="auto"/>
        <w:ind w:firstLine="482"/>
        <w:rPr>
          <w:color w:val="auto"/>
        </w:rPr>
      </w:pPr>
      <w:r>
        <w:rPr>
          <w:rFonts w:hint="eastAsia"/>
          <w:color w:val="auto"/>
        </w:rPr>
        <w:t>部门报到</w:t>
      </w:r>
    </w:p>
    <w:p w14:paraId="56FC893E">
      <w:pPr>
        <w:pStyle w:val="3"/>
        <w:numPr>
          <w:ilvl w:val="6"/>
          <w:numId w:val="38"/>
        </w:numPr>
        <w:spacing w:line="240" w:lineRule="auto"/>
        <w:ind w:firstLine="482"/>
        <w:rPr>
          <w:color w:val="auto"/>
        </w:rPr>
      </w:pPr>
      <w:r>
        <w:rPr>
          <w:rFonts w:hint="eastAsia"/>
          <w:color w:val="auto"/>
        </w:rPr>
        <w:t>收到联动</w:t>
      </w:r>
    </w:p>
    <w:p w14:paraId="7C36231F">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街道发起的吹哨申请通过后，案件会统一显示在待办栏，各相关委办局可以通过“收到”功能进入到填表页面查看详细信息。e治理app同步增加改功能。</w:t>
      </w:r>
    </w:p>
    <w:p w14:paraId="649E5291">
      <w:pPr>
        <w:pStyle w:val="3"/>
        <w:numPr>
          <w:ilvl w:val="6"/>
          <w:numId w:val="38"/>
        </w:numPr>
        <w:spacing w:line="240" w:lineRule="auto"/>
        <w:ind w:firstLine="482"/>
        <w:rPr>
          <w:color w:val="auto"/>
        </w:rPr>
      </w:pPr>
      <w:r>
        <w:rPr>
          <w:rFonts w:hint="eastAsia"/>
          <w:color w:val="auto"/>
        </w:rPr>
        <w:t>查看意见</w:t>
      </w:r>
    </w:p>
    <w:p w14:paraId="032F2051">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通过“查看联动”功能进入功能页面，左侧标签页显示街道申请联动时的相关信息以及对各报到部门的一些具体要求，右侧标签页显示的是其他委办局填写的联动意见，最后根据实际情况填写本部门的反馈意见并反馈至街道，该案件也从并从联动待办栏中消失。e治理app同步增加改功能。</w:t>
      </w:r>
    </w:p>
    <w:p w14:paraId="77903626">
      <w:pPr>
        <w:pStyle w:val="3"/>
        <w:numPr>
          <w:ilvl w:val="6"/>
          <w:numId w:val="38"/>
        </w:numPr>
        <w:spacing w:line="240" w:lineRule="auto"/>
        <w:ind w:firstLine="482"/>
        <w:rPr>
          <w:color w:val="auto"/>
        </w:rPr>
      </w:pPr>
      <w:r>
        <w:rPr>
          <w:rFonts w:hint="eastAsia"/>
          <w:color w:val="auto"/>
        </w:rPr>
        <w:t>查看联动成绩</w:t>
      </w:r>
    </w:p>
    <w:p w14:paraId="152B50F8">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街道对联动案件评价后及时将评价表批转至区平台，并且也自动分发到委办局并可以点击下载，部门接收到联动成绩提醒后，通过提醒的消息可查看联动成绩页面，并记录当前案件读取状态，也可以通过导航栏“联动成绩”进入联动成绩页面。</w:t>
      </w:r>
    </w:p>
    <w:p w14:paraId="0E8D21F2">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联动成绩支持查询，相关部门可以通过案件号和联动时间两个指标进行筛选。</w:t>
      </w:r>
    </w:p>
    <w:p w14:paraId="535C9ED1">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系统也支持评价表下载功能，可以下载街道打分后的评价表。e治理app同步增加改功能。</w:t>
      </w:r>
    </w:p>
    <w:p w14:paraId="61087FF1">
      <w:pPr>
        <w:pStyle w:val="8"/>
        <w:numPr>
          <w:ilvl w:val="5"/>
          <w:numId w:val="38"/>
        </w:numPr>
        <w:spacing w:line="240" w:lineRule="auto"/>
        <w:rPr>
          <w:color w:val="auto"/>
        </w:rPr>
      </w:pPr>
      <w:r>
        <w:rPr>
          <w:rFonts w:hint="eastAsia"/>
          <w:color w:val="auto"/>
        </w:rPr>
        <w:t>综合查询</w:t>
      </w:r>
    </w:p>
    <w:p w14:paraId="32806E47">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该模块支持对所有联动案件进行系统查询，主要参考指标就是案件号和联动时间。该模块为了方便用户快速寻找对应案件箱里的具体案件，通过输入案件号可以精确查询目标案件，或者通过选择联动时间、联动街道以及联动类别进行模糊查询匹配到对应满足条件的所有案件。</w:t>
      </w:r>
    </w:p>
    <w:p w14:paraId="04F7F9BA">
      <w:pPr>
        <w:pStyle w:val="8"/>
        <w:numPr>
          <w:ilvl w:val="5"/>
          <w:numId w:val="38"/>
        </w:numPr>
        <w:spacing w:line="240" w:lineRule="auto"/>
        <w:rPr>
          <w:color w:val="auto"/>
        </w:rPr>
      </w:pPr>
      <w:r>
        <w:rPr>
          <w:rFonts w:hint="eastAsia"/>
          <w:color w:val="auto"/>
        </w:rPr>
        <w:t>综合考评</w:t>
      </w:r>
    </w:p>
    <w:p w14:paraId="6268736F">
      <w:pPr>
        <w:pStyle w:val="3"/>
        <w:numPr>
          <w:ilvl w:val="6"/>
          <w:numId w:val="38"/>
        </w:numPr>
        <w:spacing w:line="240" w:lineRule="auto"/>
        <w:rPr>
          <w:color w:val="auto"/>
        </w:rPr>
      </w:pPr>
      <w:r>
        <w:rPr>
          <w:rFonts w:hint="eastAsia"/>
          <w:color w:val="auto"/>
        </w:rPr>
        <w:t>对部门考核</w:t>
      </w:r>
    </w:p>
    <w:p w14:paraId="1C3EF220">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该模块主要用于区网格中心对各报到部门的工作情况进行统计评价，评价指标包含报到案件数、街道评价平均分、区级响应平均分，通过以上指标对各部门进行评价考核，计算总分并进行排名，并且该模块支持统计结果导出和统计说明。</w:t>
      </w:r>
    </w:p>
    <w:p w14:paraId="15E59508">
      <w:pPr>
        <w:pStyle w:val="3"/>
        <w:numPr>
          <w:ilvl w:val="6"/>
          <w:numId w:val="38"/>
        </w:numPr>
        <w:spacing w:line="240" w:lineRule="auto"/>
        <w:rPr>
          <w:color w:val="auto"/>
        </w:rPr>
      </w:pPr>
      <w:r>
        <w:rPr>
          <w:rFonts w:hint="eastAsia"/>
          <w:color w:val="auto"/>
        </w:rPr>
        <w:t>对街道考核</w:t>
      </w:r>
    </w:p>
    <w:p w14:paraId="2D1DBA6C">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该模块主要用于区网格中心对各街道的工作情况进行综合评价，评价指标包含联动案件数、联动解决率和联动满意度，通过以上指标对各街道进行评价考核，计算总分并进行排名，并且系统支持考核结果导出功能。</w:t>
      </w:r>
    </w:p>
    <w:p w14:paraId="77BBF30E">
      <w:pPr>
        <w:pStyle w:val="3"/>
        <w:numPr>
          <w:ilvl w:val="6"/>
          <w:numId w:val="38"/>
        </w:numPr>
        <w:spacing w:line="240" w:lineRule="auto"/>
        <w:rPr>
          <w:color w:val="auto"/>
        </w:rPr>
      </w:pPr>
      <w:r>
        <w:rPr>
          <w:rFonts w:hint="eastAsia"/>
          <w:color w:val="auto"/>
        </w:rPr>
        <w:t>类别统计</w:t>
      </w:r>
    </w:p>
    <w:p w14:paraId="146444D6">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该模块主要是根据设定的统计条件对案件箱里符合筛选条件的联动案件进行不同类别的统计查询，我们可以很直观的了解到各报到部门的总体得分和各专项分数，并且该模块还支持案件导出和统计说明。</w:t>
      </w:r>
    </w:p>
    <w:p w14:paraId="0CD2FA8D">
      <w:pPr>
        <w:pStyle w:val="3"/>
        <w:numPr>
          <w:ilvl w:val="6"/>
          <w:numId w:val="38"/>
        </w:numPr>
        <w:spacing w:line="240" w:lineRule="auto"/>
        <w:rPr>
          <w:color w:val="auto"/>
        </w:rPr>
      </w:pPr>
      <w:r>
        <w:rPr>
          <w:rFonts w:hint="eastAsia"/>
          <w:color w:val="auto"/>
        </w:rPr>
        <w:t>联动详细成绩</w:t>
      </w:r>
    </w:p>
    <w:p w14:paraId="2B5A17E8">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该模块主要是根据设定的统计条件对案件箱里符合筛选条件的联动案件进行详细成绩查询，我们可以很直观的了解到各报到部门的总体得分和各专项分数，并且该模块还支持案件导出和统计说明。</w:t>
      </w:r>
    </w:p>
    <w:p w14:paraId="5F91BEEF">
      <w:pPr>
        <w:pStyle w:val="7"/>
        <w:numPr>
          <w:ilvl w:val="4"/>
          <w:numId w:val="38"/>
        </w:numPr>
        <w:spacing w:line="240" w:lineRule="auto"/>
        <w:rPr>
          <w:color w:val="auto"/>
        </w:rPr>
      </w:pPr>
      <w:r>
        <w:rPr>
          <w:rFonts w:hint="eastAsia"/>
          <w:color w:val="auto"/>
        </w:rPr>
        <w:t>信息采集员管理</w:t>
      </w:r>
    </w:p>
    <w:p w14:paraId="65ACDCF0">
      <w:pPr>
        <w:ind w:firstLine="480" w:firstLineChars="200"/>
        <w:rPr>
          <w:rFonts w:ascii="宋体" w:hAnsi="宋体" w:eastAsia="宋体" w:cs="宋体"/>
          <w:color w:val="auto"/>
          <w:sz w:val="24"/>
          <w:szCs w:val="21"/>
        </w:rPr>
      </w:pPr>
      <w:r>
        <w:rPr>
          <w:rFonts w:hint="eastAsia" w:ascii="宋体" w:hAnsi="宋体" w:eastAsia="宋体" w:cs="宋体"/>
          <w:color w:val="auto"/>
          <w:sz w:val="24"/>
          <w:szCs w:val="22"/>
        </w:rPr>
        <w:t>信息采集员管理子系统主要对信息采集员队伍外包服务的管理和信息采集人员的智慧化管理。</w:t>
      </w:r>
      <w:r>
        <w:rPr>
          <w:rFonts w:hint="eastAsia" w:ascii="宋体" w:hAnsi="宋体" w:eastAsia="宋体" w:cs="宋体"/>
          <w:color w:val="auto"/>
          <w:sz w:val="24"/>
          <w:szCs w:val="21"/>
        </w:rPr>
        <w:t>该模块针对部分因统计出错、操作失误或者其他客观问题导致考核结果与实际情况不符的，系统支持处置部门提出申诉，然后由考核部门通过多级审核确认，对考核结果进行修改。同时，针对处置部门主动作为的案件，系统支持处置部门提出申报，由考核部门通过多级审核确认，对考核结果进行修改（考核加分）。</w:t>
      </w:r>
    </w:p>
    <w:p w14:paraId="39146CAB">
      <w:pPr>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包括采集员三定维护、状态监控、巡更管理、采集考核、预警管理、设备管理等。</w:t>
      </w:r>
    </w:p>
    <w:p w14:paraId="664A3BD6">
      <w:pPr>
        <w:pStyle w:val="8"/>
        <w:numPr>
          <w:ilvl w:val="5"/>
          <w:numId w:val="38"/>
        </w:numPr>
        <w:spacing w:line="240" w:lineRule="auto"/>
        <w:rPr>
          <w:color w:val="auto"/>
        </w:rPr>
      </w:pPr>
      <w:r>
        <w:rPr>
          <w:rFonts w:hint="eastAsia"/>
          <w:color w:val="auto"/>
        </w:rPr>
        <w:t>监控统计指标</w:t>
      </w:r>
    </w:p>
    <w:p w14:paraId="579ACC70">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考核申诉系统涉及到申诉任务的状态、阶段，情形如下：</w:t>
      </w:r>
    </w:p>
    <w:p w14:paraId="1AFCDACA">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（1）申报案件条件：主动作为。（作为考核加分）</w:t>
      </w:r>
    </w:p>
    <w:p w14:paraId="72FB4818">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（2）申诉情形：市级系统故障、市级操作失误、恶劣天气或突发事件、客观原因、推诿、回复不实。</w:t>
      </w:r>
    </w:p>
    <w:p w14:paraId="23372E95">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（3）申诉任务审核状态：未申诉（报）、已申诉（报）、已复核、科室已审核、中心领导审核、已过申诉时限。</w:t>
      </w:r>
    </w:p>
    <w:p w14:paraId="49DFB455">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（4）申诉任务当前状态：预审核、部门申诉（报）、考核员复核、科室审核、中心领导审核、结束。</w:t>
      </w:r>
    </w:p>
    <w:p w14:paraId="36FCD7C9">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（5）申诉（报）状态：未申诉、审核中、申诉（报）通过、申诉（报）不通过、已过申诉时限。</w:t>
      </w:r>
    </w:p>
    <w:p w14:paraId="700B8240">
      <w:pPr>
        <w:pStyle w:val="8"/>
        <w:numPr>
          <w:ilvl w:val="5"/>
          <w:numId w:val="38"/>
        </w:numPr>
        <w:spacing w:line="240" w:lineRule="auto"/>
        <w:rPr>
          <w:color w:val="auto"/>
        </w:rPr>
      </w:pPr>
      <w:r>
        <w:rPr>
          <w:rFonts w:hint="eastAsia"/>
          <w:color w:val="auto"/>
        </w:rPr>
        <w:t>三定维护</w:t>
      </w:r>
    </w:p>
    <w:p w14:paraId="62492465">
      <w:pPr>
        <w:spacing w:before="120"/>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该模块主要用于信息采集员的人员档案建立、责任网格权限管理等方面的工作，使繁重的信息采集员人员管理工作纳入标准化、信息化，利用先进的技术手段减轻用户在人员档案管理、责任权属管理方面的工作压力。主要包括：人员档案管理、人员信息维护、巡查网格配置等</w:t>
      </w:r>
    </w:p>
    <w:p w14:paraId="4846B76D">
      <w:pPr>
        <w:pStyle w:val="3"/>
        <w:numPr>
          <w:ilvl w:val="6"/>
          <w:numId w:val="38"/>
        </w:numPr>
        <w:spacing w:line="240" w:lineRule="auto"/>
        <w:rPr>
          <w:color w:val="auto"/>
        </w:rPr>
      </w:pPr>
      <w:r>
        <w:rPr>
          <w:rFonts w:hint="eastAsia"/>
          <w:color w:val="auto"/>
        </w:rPr>
        <w:t>人员档案管理</w:t>
      </w:r>
    </w:p>
    <w:p w14:paraId="224C1988">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人员档案管理主要用于信息采集员的人员档案查询和导入导出，使繁重的信息采集员人员管理工作纳入标准化、信息化，利用先进的技术手段，减轻用户在人员档案管理方面的工作压力</w:t>
      </w:r>
    </w:p>
    <w:p w14:paraId="149A6E0A">
      <w:pPr>
        <w:pStyle w:val="3"/>
        <w:numPr>
          <w:ilvl w:val="6"/>
          <w:numId w:val="38"/>
        </w:numPr>
        <w:spacing w:line="240" w:lineRule="auto"/>
        <w:rPr>
          <w:color w:val="auto"/>
          <w:szCs w:val="22"/>
        </w:rPr>
      </w:pPr>
      <w:r>
        <w:rPr>
          <w:rFonts w:hint="eastAsia"/>
          <w:color w:val="auto"/>
          <w:szCs w:val="22"/>
        </w:rPr>
        <w:t>人员信息维护</w:t>
      </w:r>
    </w:p>
    <w:p w14:paraId="0476E5EA">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人员信息维护通过人机界面建立完整的人员信息档案，保证档案的完整性、真实性，并且使档案便于查询、管理。管理员或操作员可以进行新增或修改采集员信息的操作。</w:t>
      </w:r>
    </w:p>
    <w:p w14:paraId="62EF8083">
      <w:pPr>
        <w:pStyle w:val="3"/>
        <w:numPr>
          <w:ilvl w:val="6"/>
          <w:numId w:val="38"/>
        </w:numPr>
        <w:spacing w:line="240" w:lineRule="auto"/>
        <w:rPr>
          <w:color w:val="auto"/>
          <w:szCs w:val="22"/>
        </w:rPr>
      </w:pPr>
      <w:r>
        <w:rPr>
          <w:rFonts w:hint="eastAsia"/>
          <w:color w:val="auto"/>
          <w:szCs w:val="22"/>
        </w:rPr>
        <w:t>合同管理</w:t>
      </w:r>
    </w:p>
    <w:p w14:paraId="4B14A428">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合同信息通过信息采集员档案界面进行上传，支持添加相关身份证、劳动合同附件信息，并关联信息采集人员，便于对人员合同信息管理。</w:t>
      </w:r>
    </w:p>
    <w:p w14:paraId="5EFFA955">
      <w:pPr>
        <w:pStyle w:val="3"/>
        <w:numPr>
          <w:ilvl w:val="6"/>
          <w:numId w:val="38"/>
        </w:numPr>
        <w:spacing w:line="240" w:lineRule="auto"/>
        <w:rPr>
          <w:color w:val="auto"/>
        </w:rPr>
      </w:pPr>
      <w:r>
        <w:rPr>
          <w:rFonts w:hint="eastAsia"/>
          <w:color w:val="auto"/>
        </w:rPr>
        <w:t>人事分析</w:t>
      </w:r>
    </w:p>
    <w:p w14:paraId="04FD0445">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通过“一张表”的统计要求，对人员信息录入字段完整度、在职人数、在职率，离职人数、离职率进行统计，支持时间和区域条件进行查询统计报表，支持日、月、年时间进行生成统计报表数据。</w:t>
      </w:r>
    </w:p>
    <w:p w14:paraId="61FF9C19">
      <w:pPr>
        <w:pStyle w:val="3"/>
        <w:numPr>
          <w:ilvl w:val="6"/>
          <w:numId w:val="38"/>
        </w:numPr>
        <w:spacing w:line="240" w:lineRule="auto"/>
        <w:rPr>
          <w:color w:val="auto"/>
        </w:rPr>
      </w:pPr>
      <w:r>
        <w:rPr>
          <w:rFonts w:hint="eastAsia"/>
          <w:color w:val="auto"/>
        </w:rPr>
        <w:t>巡查网格配置</w:t>
      </w:r>
    </w:p>
    <w:p w14:paraId="3DA35DC7">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当新增采集员或责任网格有调整时，操作员、领导、管理员完成信息采集员与责任网格对应配置关系，明确信息采集员的工作范围、作业区域。</w:t>
      </w:r>
    </w:p>
    <w:p w14:paraId="11773FF7">
      <w:pPr>
        <w:pStyle w:val="3"/>
        <w:numPr>
          <w:ilvl w:val="6"/>
          <w:numId w:val="38"/>
        </w:numPr>
        <w:spacing w:line="240" w:lineRule="auto"/>
        <w:rPr>
          <w:color w:val="auto"/>
        </w:rPr>
      </w:pPr>
      <w:r>
        <w:rPr>
          <w:rFonts w:hint="eastAsia"/>
          <w:color w:val="auto"/>
        </w:rPr>
        <w:t>查看巡查网格</w:t>
      </w:r>
    </w:p>
    <w:p w14:paraId="610E8EBF">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点击城区选项能够在地图上展现出本城区内的各个责任网格区域范围、以颜色区分各个责任网格区域的四至边界、地图支持放大、缩小、打印功能。点击单个责任网格区域，则地图上自动放大到相应级别，且能够显示出范围、四至边界以颜色区分、地图支持放大、缩小、打印功能。地图做在单独页面上，增加地图显示框的大小，更方便查看责任网格边界和相关信息。</w:t>
      </w:r>
    </w:p>
    <w:p w14:paraId="6DE7EB4B">
      <w:pPr>
        <w:pStyle w:val="3"/>
        <w:numPr>
          <w:ilvl w:val="6"/>
          <w:numId w:val="38"/>
        </w:numPr>
        <w:spacing w:line="240" w:lineRule="auto"/>
        <w:rPr>
          <w:color w:val="auto"/>
        </w:rPr>
      </w:pPr>
      <w:r>
        <w:rPr>
          <w:rFonts w:hint="eastAsia"/>
          <w:color w:val="auto"/>
        </w:rPr>
        <w:t>配置巡查网格</w:t>
      </w:r>
    </w:p>
    <w:p w14:paraId="1C1779D9">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系统按照规则自动生成责任网格编号，用户输入责任网格相关属性信息，然后选择该责任网格相对应的单元网格完成配置。配置责任网格过程中，对责任网格的两个配置规则进行检测，并给出明确的提示。</w:t>
      </w:r>
    </w:p>
    <w:p w14:paraId="5A4DA6CA">
      <w:pPr>
        <w:pStyle w:val="3"/>
        <w:numPr>
          <w:ilvl w:val="6"/>
          <w:numId w:val="38"/>
        </w:numPr>
        <w:spacing w:line="240" w:lineRule="auto"/>
        <w:rPr>
          <w:color w:val="auto"/>
        </w:rPr>
      </w:pPr>
      <w:r>
        <w:rPr>
          <w:rFonts w:hint="eastAsia"/>
          <w:color w:val="auto"/>
        </w:rPr>
        <w:t>配置权限</w:t>
      </w:r>
    </w:p>
    <w:p w14:paraId="34142A6C">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责任网格配置权限只配置给业务处室。</w:t>
      </w:r>
    </w:p>
    <w:p w14:paraId="1F2E4FE0">
      <w:pPr>
        <w:pStyle w:val="8"/>
        <w:numPr>
          <w:ilvl w:val="5"/>
          <w:numId w:val="38"/>
        </w:numPr>
        <w:spacing w:line="240" w:lineRule="auto"/>
        <w:rPr>
          <w:color w:val="auto"/>
        </w:rPr>
      </w:pPr>
      <w:r>
        <w:rPr>
          <w:rFonts w:hint="eastAsia"/>
          <w:color w:val="auto"/>
        </w:rPr>
        <w:t>状态监控</w:t>
      </w:r>
    </w:p>
    <w:p w14:paraId="1D46E4A1">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操作员、领导、管理员登录系统后，显示全部信息采集员当天的情况列表，可对信息采集工作情况进行实时监控。如对超过规则库中定义的预警阈值人、网格进行预警提示。另外可根据用户提供的条件筛选信息采集员信息进行监控查看。</w:t>
      </w:r>
    </w:p>
    <w:p w14:paraId="30C90142">
      <w:pPr>
        <w:pStyle w:val="3"/>
        <w:numPr>
          <w:ilvl w:val="6"/>
          <w:numId w:val="38"/>
        </w:numPr>
        <w:spacing w:line="240" w:lineRule="auto"/>
        <w:rPr>
          <w:color w:val="auto"/>
        </w:rPr>
      </w:pPr>
      <w:r>
        <w:rPr>
          <w:rFonts w:hint="eastAsia"/>
          <w:color w:val="auto"/>
        </w:rPr>
        <w:t>“责任网格”查询</w:t>
      </w:r>
    </w:p>
    <w:p w14:paraId="6BB4ECD6">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增加“责任网格”查询功能，可以查看责任网格的基本信息，在地图上查看责任网格边界。</w:t>
      </w:r>
    </w:p>
    <w:p w14:paraId="0C17CA96">
      <w:pPr>
        <w:pStyle w:val="3"/>
        <w:numPr>
          <w:ilvl w:val="6"/>
          <w:numId w:val="38"/>
        </w:numPr>
        <w:spacing w:line="240" w:lineRule="auto"/>
        <w:rPr>
          <w:color w:val="auto"/>
        </w:rPr>
      </w:pPr>
      <w:r>
        <w:rPr>
          <w:rFonts w:hint="eastAsia"/>
          <w:color w:val="auto"/>
        </w:rPr>
        <w:t>“巡查网格”查询</w:t>
      </w:r>
    </w:p>
    <w:p w14:paraId="13DF5ED3">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增加“巡查网格”查询功能，可以查看巡查网格的基本信息，配置的人员，在前在岗的人员；地图中可用颜色区分巡查网格是否有人在岗。</w:t>
      </w:r>
    </w:p>
    <w:p w14:paraId="6F18FDE5">
      <w:pPr>
        <w:pStyle w:val="3"/>
        <w:numPr>
          <w:ilvl w:val="6"/>
          <w:numId w:val="38"/>
        </w:numPr>
        <w:spacing w:line="240" w:lineRule="auto"/>
        <w:rPr>
          <w:color w:val="auto"/>
        </w:rPr>
      </w:pPr>
      <w:r>
        <w:rPr>
          <w:rFonts w:hint="eastAsia"/>
          <w:color w:val="auto"/>
        </w:rPr>
        <w:t>管理提示</w:t>
      </w:r>
    </w:p>
    <w:p w14:paraId="1AFEB0B5">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一年365天内，在一个区域内巡查累计超过三个月（90天）的，系统自动将责任网格和采集员名字置为红色字体，同时在保存时弹出友好提示。</w:t>
      </w:r>
    </w:p>
    <w:p w14:paraId="5B14BFC0">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需提供“需三定采集员查询”，可查看查询结果中某位采集员的超期责任网格明细。</w:t>
      </w:r>
    </w:p>
    <w:p w14:paraId="70E7CB92">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采集员进行轨迹查询中，对采集员在某点停留10分钟以上的时间段给予醒目提示：对于空挡时间段（比如12:15-12:55之间没有轨迹）给予醒目提示，可给出统计功能。</w:t>
      </w:r>
    </w:p>
    <w:p w14:paraId="46A7065C">
      <w:pPr>
        <w:pStyle w:val="3"/>
        <w:numPr>
          <w:ilvl w:val="6"/>
          <w:numId w:val="38"/>
        </w:numPr>
        <w:spacing w:line="240" w:lineRule="auto"/>
        <w:rPr>
          <w:color w:val="auto"/>
        </w:rPr>
      </w:pPr>
      <w:r>
        <w:rPr>
          <w:rFonts w:hint="eastAsia"/>
          <w:color w:val="auto"/>
        </w:rPr>
        <w:t>考勤查询</w:t>
      </w:r>
    </w:p>
    <w:p w14:paraId="2FE47801">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对每天员工考勤情况进行自动记录，包括迟到、早退、旷到等考勤情况的记录，同时对员工工作时间进行统计，实现信息采集员考勤的实时管理，对每天的考勤情况进行细化分析。主要实现功能：</w:t>
      </w:r>
    </w:p>
    <w:p w14:paraId="14EF6D52">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对当天的迟到、早退、旷到、串岗等情况进行统计；</w:t>
      </w:r>
    </w:p>
    <w:p w14:paraId="5D006A51">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输入查询时间，以天为单位，不可以查询几天、周、月，只能查询以前某天或者本日的考勤情况；</w:t>
      </w:r>
    </w:p>
    <w:p w14:paraId="55F7BD13">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可以输入单个信息采集员进行筛选查询。</w:t>
      </w:r>
    </w:p>
    <w:p w14:paraId="307FD8B1">
      <w:pPr>
        <w:pStyle w:val="3"/>
        <w:numPr>
          <w:ilvl w:val="6"/>
          <w:numId w:val="38"/>
        </w:numPr>
        <w:spacing w:line="240" w:lineRule="auto"/>
        <w:rPr>
          <w:color w:val="auto"/>
        </w:rPr>
      </w:pPr>
      <w:r>
        <w:rPr>
          <w:rFonts w:hint="eastAsia"/>
          <w:color w:val="auto"/>
        </w:rPr>
        <w:t>考勤统计</w:t>
      </w:r>
    </w:p>
    <w:p w14:paraId="6894F19C">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对某个时间段、周、月的员工的考勤情况进行统计分析，便于考勤情况统计，最终数据作为考勤分考评的数据基础。</w:t>
      </w:r>
    </w:p>
    <w:p w14:paraId="007A517B">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操作员输入时间段、周、月、年、考勤员姓名，系统根据输入项的内容输出全部考勤员或者单个考勤员的考勤统计数据。</w:t>
      </w:r>
    </w:p>
    <w:p w14:paraId="3B94239B">
      <w:pPr>
        <w:pStyle w:val="8"/>
        <w:numPr>
          <w:ilvl w:val="5"/>
          <w:numId w:val="38"/>
        </w:numPr>
        <w:spacing w:line="240" w:lineRule="auto"/>
        <w:rPr>
          <w:color w:val="auto"/>
        </w:rPr>
      </w:pPr>
      <w:r>
        <w:rPr>
          <w:rFonts w:hint="eastAsia"/>
          <w:color w:val="auto"/>
        </w:rPr>
        <w:t>巡更管理</w:t>
      </w:r>
    </w:p>
    <w:p w14:paraId="69601917">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采取定点、定时、定路线的方法对道路、街巷进行巡查。管理人员可以按照责任网格定制巡更标志点，系统生成并制作二维码标牌。信息采集员在城管通手机上对预先设置二维码标牌进行巡更考勤。根据信息采集员对巡更点打点时通过GPS获得的位置和预先设定的巡更点的位置进行对比，如果两者的距离在设定的范围内，意味本次考勤成功。在实际使用中，由于GPS会存在漂移，如建筑物、天气等因素，在巡更定位时还要综合考虑偏差，综合以上，信息采集员发出巡更指令后，系统能够记录以下四种状态：巡更成功、超出范围、GPS未开启、GPS未定位四种状态。主要模块应包括：巡更考勤管理、巡更轨迹展示、巡更统计等。</w:t>
      </w:r>
    </w:p>
    <w:p w14:paraId="32659528">
      <w:pPr>
        <w:pStyle w:val="3"/>
        <w:numPr>
          <w:ilvl w:val="6"/>
          <w:numId w:val="38"/>
        </w:numPr>
        <w:spacing w:line="240" w:lineRule="auto"/>
        <w:rPr>
          <w:color w:val="auto"/>
        </w:rPr>
      </w:pPr>
      <w:r>
        <w:rPr>
          <w:rFonts w:hint="eastAsia"/>
          <w:color w:val="auto"/>
        </w:rPr>
        <w:t>巡更点设置</w:t>
      </w:r>
    </w:p>
    <w:p w14:paraId="0FDD4B11">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管理人员在管理后台根据信息采集员的巡更路线设置巡更点。</w:t>
      </w:r>
    </w:p>
    <w:p w14:paraId="17587C31">
      <w:pPr>
        <w:pStyle w:val="3"/>
        <w:numPr>
          <w:ilvl w:val="6"/>
          <w:numId w:val="38"/>
        </w:numPr>
        <w:spacing w:line="240" w:lineRule="auto"/>
        <w:rPr>
          <w:color w:val="auto"/>
        </w:rPr>
      </w:pPr>
      <w:r>
        <w:rPr>
          <w:rFonts w:hint="eastAsia"/>
          <w:color w:val="auto"/>
        </w:rPr>
        <w:t>巡更考勤管理</w:t>
      </w:r>
    </w:p>
    <w:p w14:paraId="763559C9">
      <w:pPr>
        <w:spacing w:before="120"/>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信息采集员在规定的巡更路线上，经过巡更点时使用城管通手机进行打点。是城管</w:t>
      </w:r>
      <w:r>
        <w:rPr>
          <w:rFonts w:hint="eastAsia" w:ascii="宋体" w:hAnsi="宋体" w:eastAsia="宋体" w:cs="宋体"/>
          <w:color w:val="auto"/>
          <w:sz w:val="24"/>
          <w:szCs w:val="22"/>
        </w:rPr>
        <w:t>通巡更管理界面。在该页面，信息采集员可以查看到当天要巡更的圈数、巡更点的位置、以及巡更点打点状态。为查看巡更点在地图中的位置。为非正常巡更状态下，会对信息采集员进行提示。</w:t>
      </w:r>
    </w:p>
    <w:p w14:paraId="7E5B9B6A">
      <w:pPr>
        <w:pStyle w:val="3"/>
        <w:numPr>
          <w:ilvl w:val="6"/>
          <w:numId w:val="38"/>
        </w:numPr>
        <w:spacing w:line="240" w:lineRule="auto"/>
        <w:rPr>
          <w:color w:val="auto"/>
        </w:rPr>
      </w:pPr>
      <w:r>
        <w:rPr>
          <w:rFonts w:hint="eastAsia"/>
          <w:color w:val="auto"/>
        </w:rPr>
        <w:t>巡更轨迹展示</w:t>
      </w:r>
    </w:p>
    <w:p w14:paraId="2714165B">
      <w:pPr>
        <w:spacing w:before="120"/>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根据信息采集员巡更情况，形象的在大屏系统上展示信息采集员的轨迹。点击大屏系统的信息采集员巡更演示，可以看到信息采集员巡更情况。</w:t>
      </w:r>
    </w:p>
    <w:p w14:paraId="3F4055BE">
      <w:pPr>
        <w:pStyle w:val="3"/>
        <w:numPr>
          <w:ilvl w:val="6"/>
          <w:numId w:val="38"/>
        </w:numPr>
        <w:spacing w:line="240" w:lineRule="auto"/>
        <w:rPr>
          <w:color w:val="auto"/>
        </w:rPr>
      </w:pPr>
      <w:r>
        <w:rPr>
          <w:rFonts w:hint="eastAsia"/>
          <w:color w:val="auto"/>
        </w:rPr>
        <w:t>巡更统计</w:t>
      </w:r>
    </w:p>
    <w:p w14:paraId="71D9BB0A">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对信息采集员巡更整体情况进行统计。</w:t>
      </w:r>
    </w:p>
    <w:p w14:paraId="7D30FEA2">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对信息采集员巡更点的具体巡更情况。</w:t>
      </w:r>
    </w:p>
    <w:p w14:paraId="28346F67">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信息采集员巡更情况统计表。</w:t>
      </w:r>
    </w:p>
    <w:p w14:paraId="04117F95">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根据信息采集员的巡更点打点时间，达到对信息采集员的考勤管理。</w:t>
      </w:r>
    </w:p>
    <w:p w14:paraId="5AAC5623">
      <w:pPr>
        <w:pStyle w:val="8"/>
        <w:numPr>
          <w:ilvl w:val="5"/>
          <w:numId w:val="38"/>
        </w:numPr>
        <w:spacing w:line="240" w:lineRule="auto"/>
        <w:rPr>
          <w:color w:val="auto"/>
        </w:rPr>
      </w:pPr>
      <w:r>
        <w:rPr>
          <w:rFonts w:hint="eastAsia"/>
          <w:color w:val="auto"/>
        </w:rPr>
        <w:t>采集考核</w:t>
      </w:r>
    </w:p>
    <w:p w14:paraId="32FDC422">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根据采集员上报案卷量、漏报情况及人员到岗情况等进行分类汇总，考评单位可参考相关统计数据对采集员或采集公司进行考核评定，给考核管理提供有效的数据支持。</w:t>
      </w:r>
    </w:p>
    <w:p w14:paraId="14BA041D">
      <w:pPr>
        <w:pStyle w:val="3"/>
        <w:numPr>
          <w:ilvl w:val="6"/>
          <w:numId w:val="38"/>
        </w:numPr>
        <w:spacing w:line="240" w:lineRule="auto"/>
        <w:rPr>
          <w:color w:val="auto"/>
        </w:rPr>
      </w:pPr>
      <w:r>
        <w:rPr>
          <w:rFonts w:hint="eastAsia"/>
          <w:color w:val="auto"/>
        </w:rPr>
        <w:t>责任划分</w:t>
      </w:r>
    </w:p>
    <w:p w14:paraId="081BC508">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管理信息采集员部门管理所属网格辖区绑定。</w:t>
      </w:r>
    </w:p>
    <w:p w14:paraId="5BBB6B47">
      <w:pPr>
        <w:pStyle w:val="3"/>
        <w:numPr>
          <w:ilvl w:val="6"/>
          <w:numId w:val="38"/>
        </w:numPr>
        <w:spacing w:line="240" w:lineRule="auto"/>
        <w:rPr>
          <w:color w:val="auto"/>
          <w:szCs w:val="22"/>
        </w:rPr>
      </w:pPr>
      <w:r>
        <w:rPr>
          <w:rFonts w:hint="eastAsia"/>
          <w:color w:val="auto"/>
        </w:rPr>
        <w:t>网格分组</w:t>
      </w:r>
    </w:p>
    <w:p w14:paraId="566C8EF0">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通过对信息采集员部门所属网格进行分组，区分各区域小组网格要求。</w:t>
      </w:r>
    </w:p>
    <w:p w14:paraId="4D29B22D">
      <w:pPr>
        <w:pStyle w:val="3"/>
        <w:numPr>
          <w:ilvl w:val="6"/>
          <w:numId w:val="38"/>
        </w:numPr>
        <w:spacing w:line="240" w:lineRule="auto"/>
        <w:rPr>
          <w:color w:val="auto"/>
        </w:rPr>
      </w:pPr>
      <w:r>
        <w:rPr>
          <w:rFonts w:hint="eastAsia"/>
          <w:color w:val="auto"/>
        </w:rPr>
        <w:t>班次定义</w:t>
      </w:r>
    </w:p>
    <w:p w14:paraId="3494C896">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对信息采集员考勤班次时间进行配置，便于对信息采集员考勤的标准时限进行要求。</w:t>
      </w:r>
    </w:p>
    <w:p w14:paraId="3247C01B">
      <w:pPr>
        <w:pStyle w:val="3"/>
        <w:numPr>
          <w:ilvl w:val="6"/>
          <w:numId w:val="38"/>
        </w:numPr>
        <w:spacing w:line="240" w:lineRule="auto"/>
        <w:rPr>
          <w:color w:val="auto"/>
        </w:rPr>
      </w:pPr>
      <w:r>
        <w:rPr>
          <w:rFonts w:hint="eastAsia"/>
          <w:color w:val="auto"/>
        </w:rPr>
        <w:t>网格班次</w:t>
      </w:r>
    </w:p>
    <w:p w14:paraId="3F873995">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通过对信息采集部门网格分组绑定考勤班次配置，已保障现场信息采集员考勤根据实际考勤要求进行的个性化配置。</w:t>
      </w:r>
    </w:p>
    <w:p w14:paraId="64DCA215">
      <w:pPr>
        <w:pStyle w:val="3"/>
        <w:numPr>
          <w:ilvl w:val="6"/>
          <w:numId w:val="38"/>
        </w:numPr>
        <w:spacing w:line="240" w:lineRule="auto"/>
        <w:rPr>
          <w:color w:val="auto"/>
        </w:rPr>
      </w:pPr>
      <w:r>
        <w:rPr>
          <w:rFonts w:hint="eastAsia"/>
          <w:color w:val="auto"/>
        </w:rPr>
        <w:t>排班生成</w:t>
      </w:r>
    </w:p>
    <w:p w14:paraId="46C02DF5">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管理信息采集部门排班计划生成，根据采集部门绑定责任网格进行分组排班，支持排班表导出模板及导入数据。在该页面中，可根据时间条件进行展示排班情况。</w:t>
      </w:r>
    </w:p>
    <w:p w14:paraId="355EC055">
      <w:pPr>
        <w:pStyle w:val="3"/>
        <w:numPr>
          <w:ilvl w:val="6"/>
          <w:numId w:val="38"/>
        </w:numPr>
        <w:spacing w:line="240" w:lineRule="auto"/>
        <w:rPr>
          <w:color w:val="auto"/>
        </w:rPr>
      </w:pPr>
      <w:r>
        <w:rPr>
          <w:color w:val="auto"/>
        </w:rPr>
        <w:t>APP</w:t>
      </w:r>
      <w:r>
        <w:rPr>
          <w:rFonts w:hint="eastAsia"/>
          <w:color w:val="auto"/>
        </w:rPr>
        <w:t>打卡考勤</w:t>
      </w:r>
    </w:p>
    <w:p w14:paraId="1DF8A580">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信息采集员在岗期间，可根据设置的早午晚三班考勤时限内，进行移动端APP打卡考勤，超出时限、不在责任网格内进行考勤打卡，则被统计为异常打卡 数据，并支持采集员管理移动端、电脑端对网格员考勤、缺勤情况进行统计查看。</w:t>
      </w:r>
    </w:p>
    <w:p w14:paraId="03434023">
      <w:pPr>
        <w:pStyle w:val="3"/>
        <w:numPr>
          <w:ilvl w:val="6"/>
          <w:numId w:val="38"/>
        </w:numPr>
        <w:spacing w:line="240" w:lineRule="auto"/>
        <w:rPr>
          <w:color w:val="auto"/>
        </w:rPr>
      </w:pPr>
      <w:r>
        <w:rPr>
          <w:rFonts w:hint="eastAsia"/>
          <w:color w:val="auto"/>
        </w:rPr>
        <w:t>缺岗责任网格</w:t>
      </w:r>
    </w:p>
    <w:p w14:paraId="0A49CA9D">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采集员可能存在长时间缺岗网格的情况，因此需要在采集员在缺岗半小时后，即给管理中心发送消息提醒“XX采集员已缺岗半小时，请及时确认！”</w:t>
      </w:r>
    </w:p>
    <w:p w14:paraId="7272CA1F">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预警规则：采集员脱离责任网格超过半小时</w:t>
      </w:r>
    </w:p>
    <w:p w14:paraId="156E40E5">
      <w:pPr>
        <w:pStyle w:val="3"/>
        <w:numPr>
          <w:ilvl w:val="6"/>
          <w:numId w:val="38"/>
        </w:numPr>
        <w:spacing w:line="240" w:lineRule="auto"/>
        <w:rPr>
          <w:color w:val="auto"/>
        </w:rPr>
      </w:pPr>
      <w:r>
        <w:rPr>
          <w:rFonts w:hint="eastAsia"/>
          <w:color w:val="auto"/>
        </w:rPr>
        <w:t>在岗情况展示</w:t>
      </w:r>
    </w:p>
    <w:p w14:paraId="685A69EE">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系统根据后台配置排班计划，对各区县信息采集员应在岗，在岗、缺岗人数情况进行统计展示，反查显示每个人员的情况，并支持查看人员详情、工作情况、实时轨迹等相关展示。</w:t>
      </w:r>
    </w:p>
    <w:p w14:paraId="7C13D52C">
      <w:pPr>
        <w:pStyle w:val="8"/>
        <w:numPr>
          <w:ilvl w:val="5"/>
          <w:numId w:val="38"/>
        </w:numPr>
        <w:spacing w:line="240" w:lineRule="auto"/>
        <w:rPr>
          <w:color w:val="auto"/>
        </w:rPr>
      </w:pPr>
      <w:r>
        <w:rPr>
          <w:rFonts w:hint="eastAsia"/>
          <w:color w:val="auto"/>
        </w:rPr>
        <w:t>预警管理</w:t>
      </w:r>
    </w:p>
    <w:p w14:paraId="5050A8E2">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根据采集员存在异常情况进行系统化监控预警，管理单位可通过预警功能对信息采集员在岗工作情况进行考评监督，并及时提醒，避免信息采集员在工作中存在问题未及时处置导致信息采集员管理出现问题。系统能够记录以下六种异常状态：长时间未产生工作量、离线、信号异常、跨网格、停留五种异常。主要模块包含：静默提醒、离线提醒、停留提醒、脱岗提醒、信号异常提醒、预警配置、预警提示、预警查询；并在监督指挥大屏提供对应功能模块，包括采集员实时预警、在岗情况展示、监督员管理。</w:t>
      </w:r>
    </w:p>
    <w:p w14:paraId="0DAC9D33">
      <w:pPr>
        <w:pStyle w:val="3"/>
        <w:numPr>
          <w:ilvl w:val="6"/>
          <w:numId w:val="38"/>
        </w:numPr>
        <w:spacing w:line="240" w:lineRule="auto"/>
        <w:rPr>
          <w:color w:val="auto"/>
        </w:rPr>
      </w:pPr>
      <w:r>
        <w:rPr>
          <w:rFonts w:hint="eastAsia"/>
          <w:color w:val="auto"/>
        </w:rPr>
        <w:t>静默提醒</w:t>
      </w:r>
    </w:p>
    <w:p w14:paraId="4CD6BCD1">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当前经常出现采集员较长时间未上报、核实、核查的情况，因此需要设置在采集员连续一段时间（如1小时）未产生工作量的情况下，给其发布一则消息提醒“您已超过一个小时未产生工作量，请加强巡逻！”</w:t>
      </w:r>
    </w:p>
    <w:p w14:paraId="2C96CA7D">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预警规则:超过一定时长未产生工作量，时长可配置，如1小时、2小时等。</w:t>
      </w:r>
    </w:p>
    <w:p w14:paraId="581E6FD8">
      <w:pPr>
        <w:pStyle w:val="3"/>
        <w:numPr>
          <w:ilvl w:val="6"/>
          <w:numId w:val="38"/>
        </w:numPr>
        <w:spacing w:line="240" w:lineRule="auto"/>
        <w:rPr>
          <w:color w:val="auto"/>
        </w:rPr>
      </w:pPr>
      <w:r>
        <w:rPr>
          <w:rFonts w:hint="eastAsia"/>
          <w:color w:val="auto"/>
        </w:rPr>
        <w:t>采集员离线提醒</w:t>
      </w:r>
    </w:p>
    <w:p w14:paraId="7C6EEC07">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采集员可能存在退出e治理（离线）的情况，因此需要在采集员离线半小时后，即给管理中心发送消息提醒“XX采集员已离线半小时，请及时确认！”</w:t>
      </w:r>
    </w:p>
    <w:p w14:paraId="0C8338ED">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预警规则：当班采集员离线超过半小时</w:t>
      </w:r>
    </w:p>
    <w:p w14:paraId="67F613BE">
      <w:pPr>
        <w:pStyle w:val="3"/>
        <w:numPr>
          <w:ilvl w:val="6"/>
          <w:numId w:val="38"/>
        </w:numPr>
        <w:spacing w:line="240" w:lineRule="auto"/>
        <w:rPr>
          <w:color w:val="auto"/>
        </w:rPr>
      </w:pPr>
      <w:r>
        <w:rPr>
          <w:rFonts w:hint="eastAsia"/>
          <w:color w:val="auto"/>
        </w:rPr>
        <w:t>采集员停留提醒</w:t>
      </w:r>
    </w:p>
    <w:p w14:paraId="67E0A7D3">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采集员可能存在长时间停留在一个位置（偏差100米）的情况，因此需要在采集员停留半小时后，即给管理中心发送消息提醒“XX采集员已停留半小时，请及时确认！”</w:t>
      </w:r>
    </w:p>
    <w:p w14:paraId="3DF249C6">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预警规则：超过半小时，停留在一个位置（偏差100米）</w:t>
      </w:r>
    </w:p>
    <w:p w14:paraId="6F16DFB5">
      <w:pPr>
        <w:pStyle w:val="3"/>
        <w:numPr>
          <w:ilvl w:val="6"/>
          <w:numId w:val="38"/>
        </w:numPr>
        <w:spacing w:line="240" w:lineRule="auto"/>
        <w:rPr>
          <w:color w:val="auto"/>
          <w:szCs w:val="24"/>
        </w:rPr>
      </w:pPr>
      <w:r>
        <w:rPr>
          <w:rFonts w:hint="eastAsia"/>
          <w:color w:val="auto"/>
          <w:szCs w:val="24"/>
        </w:rPr>
        <w:t>采集员脱岗提醒</w:t>
      </w:r>
    </w:p>
    <w:p w14:paraId="23DE7674">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采集员可能存在长时间脱离网格的情况，因此需要在采集员在脱岗半小时后，即给管理中心发送消息提醒“XX采集员已脱岗半小时，请及时确认！”</w:t>
      </w:r>
    </w:p>
    <w:p w14:paraId="4609C771">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预警规则：采集员脱离责任网格超过半小时</w:t>
      </w:r>
    </w:p>
    <w:p w14:paraId="43E6EC3E">
      <w:pPr>
        <w:pStyle w:val="3"/>
        <w:numPr>
          <w:ilvl w:val="6"/>
          <w:numId w:val="38"/>
        </w:numPr>
        <w:spacing w:line="240" w:lineRule="auto"/>
        <w:rPr>
          <w:color w:val="auto"/>
        </w:rPr>
      </w:pPr>
      <w:r>
        <w:rPr>
          <w:rFonts w:hint="eastAsia"/>
          <w:color w:val="auto"/>
        </w:rPr>
        <w:t>采集员信号异常提醒</w:t>
      </w:r>
    </w:p>
    <w:p w14:paraId="3464376C">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采集员可能存在长时间信号异常（定位轨迹异常）的情况，因此需要在采集员在信号异常半小时后，即给管理中心发送消息提醒“XX采集员信号异常，请及时确认！”</w:t>
      </w:r>
    </w:p>
    <w:p w14:paraId="02B75608">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预警规则：采集员信号异常超过半小时</w:t>
      </w:r>
    </w:p>
    <w:p w14:paraId="33A8B105">
      <w:pPr>
        <w:pStyle w:val="3"/>
        <w:numPr>
          <w:ilvl w:val="6"/>
          <w:numId w:val="38"/>
        </w:numPr>
        <w:spacing w:line="240" w:lineRule="auto"/>
        <w:rPr>
          <w:color w:val="auto"/>
          <w:szCs w:val="22"/>
        </w:rPr>
      </w:pPr>
      <w:r>
        <w:rPr>
          <w:rFonts w:hint="eastAsia"/>
          <w:color w:val="auto"/>
          <w:szCs w:val="22"/>
        </w:rPr>
        <w:t>预警配置</w:t>
      </w:r>
      <w:r>
        <w:rPr>
          <w:rFonts w:hint="eastAsia"/>
          <w:color w:val="auto"/>
          <w:szCs w:val="22"/>
        </w:rPr>
        <w:tab/>
      </w:r>
    </w:p>
    <w:p w14:paraId="03DF6F24">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管理人员可对信息采集员预警消息进行配置，并通过区域、采集员类型、预警类型及管理人员进行配置。</w:t>
      </w:r>
    </w:p>
    <w:p w14:paraId="15C6A567">
      <w:pPr>
        <w:pStyle w:val="3"/>
        <w:numPr>
          <w:ilvl w:val="6"/>
          <w:numId w:val="38"/>
        </w:numPr>
        <w:spacing w:line="240" w:lineRule="auto"/>
        <w:rPr>
          <w:color w:val="auto"/>
        </w:rPr>
      </w:pPr>
      <w:r>
        <w:rPr>
          <w:rFonts w:hint="eastAsia"/>
          <w:color w:val="auto"/>
        </w:rPr>
        <w:t>预警提示</w:t>
      </w:r>
    </w:p>
    <w:p w14:paraId="1A63FA6E">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信息采集员在岗期间，出现异常情况达到系统配置的时限后，将会对相关关联人员发送预警消息，网格员自身APP也会进行提示预警情况，要求及时处置。预警消息支持提前如10分钟进行提示，信息采集员进行预警规避。</w:t>
      </w:r>
    </w:p>
    <w:p w14:paraId="2AAACE65">
      <w:pPr>
        <w:pStyle w:val="3"/>
        <w:numPr>
          <w:ilvl w:val="6"/>
          <w:numId w:val="38"/>
        </w:numPr>
        <w:spacing w:line="240" w:lineRule="auto"/>
        <w:rPr>
          <w:color w:val="auto"/>
        </w:rPr>
      </w:pPr>
      <w:r>
        <w:rPr>
          <w:rFonts w:hint="eastAsia"/>
          <w:color w:val="auto"/>
        </w:rPr>
        <w:t>预警查询</w:t>
      </w:r>
    </w:p>
    <w:p w14:paraId="29E2742C">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信息采集员存在异常后达到要求考核时限，则会生成预警记录，预警记录分为长时间未产生工作量、离线、信号异常、跨网格、停留五类，支持数据根据时间、区域条件进行查询并统计导出数据。</w:t>
      </w:r>
    </w:p>
    <w:p w14:paraId="0ABAE0B6">
      <w:pPr>
        <w:pStyle w:val="3"/>
        <w:numPr>
          <w:ilvl w:val="6"/>
          <w:numId w:val="38"/>
        </w:numPr>
        <w:spacing w:line="240" w:lineRule="auto"/>
        <w:rPr>
          <w:color w:val="auto"/>
        </w:rPr>
      </w:pPr>
      <w:r>
        <w:rPr>
          <w:rFonts w:hint="eastAsia"/>
          <w:color w:val="auto"/>
        </w:rPr>
        <w:t>采集员实时预警</w:t>
      </w:r>
    </w:p>
    <w:p w14:paraId="22CEB679">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预警信息在大屏上滚动列表展示</w:t>
      </w:r>
    </w:p>
    <w:p w14:paraId="044D2CC7">
      <w:pPr>
        <w:ind w:firstLine="480" w:firstLineChars="200"/>
        <w:rPr>
          <w:rFonts w:ascii="宋体" w:hAnsi="宋体" w:eastAsia="宋体" w:cs="宋体"/>
          <w:color w:val="auto"/>
          <w:sz w:val="24"/>
          <w:szCs w:val="21"/>
        </w:rPr>
      </w:pPr>
      <w:r>
        <w:rPr>
          <w:rFonts w:ascii="宋体" w:hAnsi="宋体" w:eastAsia="宋体" w:cs="宋体"/>
          <w:color w:val="auto"/>
          <w:sz w:val="24"/>
          <w:szCs w:val="21"/>
        </w:rPr>
        <w:t>1</w:t>
      </w:r>
      <w:r>
        <w:rPr>
          <w:rFonts w:hint="eastAsia" w:ascii="宋体" w:hAnsi="宋体" w:eastAsia="宋体" w:cs="宋体"/>
          <w:color w:val="auto"/>
          <w:sz w:val="24"/>
          <w:szCs w:val="21"/>
        </w:rPr>
        <w:t>、显示最近</w:t>
      </w:r>
      <w:r>
        <w:rPr>
          <w:rFonts w:ascii="宋体" w:hAnsi="宋体" w:eastAsia="宋体" w:cs="宋体"/>
          <w:color w:val="auto"/>
          <w:sz w:val="24"/>
          <w:szCs w:val="21"/>
        </w:rPr>
        <w:t>1</w:t>
      </w:r>
      <w:r>
        <w:rPr>
          <w:rFonts w:hint="eastAsia" w:ascii="宋体" w:hAnsi="宋体" w:eastAsia="宋体" w:cs="宋体"/>
          <w:color w:val="auto"/>
          <w:sz w:val="24"/>
          <w:szCs w:val="21"/>
        </w:rPr>
        <w:t>个小时的预警，如果</w:t>
      </w:r>
      <w:r>
        <w:rPr>
          <w:rFonts w:ascii="宋体" w:hAnsi="宋体" w:eastAsia="宋体" w:cs="宋体"/>
          <w:color w:val="auto"/>
          <w:sz w:val="24"/>
          <w:szCs w:val="21"/>
        </w:rPr>
        <w:t>1</w:t>
      </w:r>
      <w:r>
        <w:rPr>
          <w:rFonts w:hint="eastAsia" w:ascii="宋体" w:hAnsi="宋体" w:eastAsia="宋体" w:cs="宋体"/>
          <w:color w:val="auto"/>
          <w:sz w:val="24"/>
          <w:szCs w:val="21"/>
        </w:rPr>
        <w:t>个小时都没有预警，滚动显示为</w:t>
      </w:r>
      <w:r>
        <w:rPr>
          <w:rFonts w:ascii="宋体" w:hAnsi="宋体" w:eastAsia="宋体" w:cs="宋体"/>
          <w:color w:val="auto"/>
          <w:sz w:val="24"/>
          <w:szCs w:val="21"/>
        </w:rPr>
        <w:t>“</w:t>
      </w:r>
      <w:r>
        <w:rPr>
          <w:rFonts w:hint="eastAsia" w:ascii="宋体" w:hAnsi="宋体" w:eastAsia="宋体" w:cs="宋体"/>
          <w:color w:val="auto"/>
          <w:sz w:val="24"/>
          <w:szCs w:val="21"/>
        </w:rPr>
        <w:t>无预警</w:t>
      </w:r>
      <w:r>
        <w:rPr>
          <w:rFonts w:ascii="宋体" w:hAnsi="宋体" w:eastAsia="宋体" w:cs="宋体"/>
          <w:color w:val="auto"/>
          <w:sz w:val="24"/>
          <w:szCs w:val="21"/>
        </w:rPr>
        <w:t>”</w:t>
      </w:r>
    </w:p>
    <w:p w14:paraId="2CEA77B6">
      <w:pPr>
        <w:ind w:firstLine="480" w:firstLineChars="200"/>
        <w:rPr>
          <w:rFonts w:ascii="宋体" w:hAnsi="宋体" w:eastAsia="宋体" w:cs="宋体"/>
          <w:color w:val="auto"/>
          <w:sz w:val="24"/>
          <w:szCs w:val="21"/>
        </w:rPr>
      </w:pPr>
      <w:r>
        <w:rPr>
          <w:rFonts w:ascii="宋体" w:hAnsi="宋体" w:eastAsia="宋体" w:cs="宋体"/>
          <w:color w:val="auto"/>
          <w:sz w:val="24"/>
          <w:szCs w:val="21"/>
        </w:rPr>
        <w:t>2</w:t>
      </w:r>
      <w:r>
        <w:rPr>
          <w:rFonts w:hint="eastAsia" w:ascii="宋体" w:hAnsi="宋体" w:eastAsia="宋体" w:cs="宋体"/>
          <w:color w:val="auto"/>
          <w:sz w:val="24"/>
          <w:szCs w:val="21"/>
        </w:rPr>
        <w:t>、点击列表中的预警信息，打开信息采集员主页，查看人员工作情况和异常次数。</w:t>
      </w:r>
    </w:p>
    <w:p w14:paraId="08BCD113">
      <w:pPr>
        <w:pStyle w:val="3"/>
        <w:numPr>
          <w:ilvl w:val="6"/>
          <w:numId w:val="38"/>
        </w:numPr>
        <w:spacing w:line="240" w:lineRule="auto"/>
        <w:rPr>
          <w:color w:val="auto"/>
        </w:rPr>
      </w:pPr>
      <w:r>
        <w:rPr>
          <w:rFonts w:hint="eastAsia"/>
          <w:color w:val="auto"/>
        </w:rPr>
        <w:t>在岗情况展示</w:t>
      </w:r>
    </w:p>
    <w:p w14:paraId="5A03C531">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系统根据后台配置排班计划，对各区县信息采集员应在岗，在岗、缺岗人数情况进行统计展示，反查显示每个人员的情况，并支持查看人员详情、工作情况、实时轨迹等相关展示。</w:t>
      </w:r>
    </w:p>
    <w:p w14:paraId="71B17F04">
      <w:pPr>
        <w:pStyle w:val="3"/>
        <w:numPr>
          <w:ilvl w:val="6"/>
          <w:numId w:val="38"/>
        </w:numPr>
        <w:spacing w:line="240" w:lineRule="auto"/>
        <w:rPr>
          <w:color w:val="auto"/>
        </w:rPr>
      </w:pPr>
      <w:r>
        <w:rPr>
          <w:rFonts w:hint="eastAsia"/>
          <w:color w:val="auto"/>
        </w:rPr>
        <w:t>监督员管理</w:t>
      </w:r>
    </w:p>
    <w:p w14:paraId="24C6A144">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监督指挥大屏通过一张图的方式进行展示信息采集员实时情况，当前在岗人员数量及实时定位生成人员图标，并显示在地图位置，人员图标左侧显示当前状态，如现在存在异常，则显示黄色“！”，如当前正常，则显示绿色“√”，便于管理人员快速定位信息采集员当前异常，并支持点击地图人员图标或人员列表，查看人员信息及工作情况、异常次数及轨迹展示。</w:t>
      </w:r>
    </w:p>
    <w:p w14:paraId="731CBD0F">
      <w:pPr>
        <w:pStyle w:val="8"/>
        <w:numPr>
          <w:ilvl w:val="5"/>
          <w:numId w:val="38"/>
        </w:numPr>
        <w:spacing w:line="240" w:lineRule="auto"/>
        <w:rPr>
          <w:color w:val="auto"/>
        </w:rPr>
      </w:pPr>
      <w:r>
        <w:rPr>
          <w:rFonts w:hint="eastAsia"/>
          <w:color w:val="auto"/>
        </w:rPr>
        <w:t>考核申诉</w:t>
      </w:r>
    </w:p>
    <w:p w14:paraId="73B2A027">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系统支持考核申诉功能。</w:t>
      </w:r>
    </w:p>
    <w:p w14:paraId="0E6DE3E6">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（1）考核申诉：产生监察点后，通过考核申诉功能，进行考核申诉申请，考核部门通过多级审核同意后，可以对工单扣分监察点指标进行修改。</w:t>
      </w:r>
    </w:p>
    <w:p w14:paraId="47200DFB">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（2）监察点申报：案件结案后，对于主动作为的案件，相关部门可以申请主动作为监察点，作为部门考核加分指标。</w:t>
      </w:r>
    </w:p>
    <w:p w14:paraId="5166227E">
      <w:pPr>
        <w:pStyle w:val="3"/>
        <w:numPr>
          <w:ilvl w:val="6"/>
          <w:numId w:val="38"/>
        </w:numPr>
        <w:spacing w:line="240" w:lineRule="auto"/>
        <w:rPr>
          <w:color w:val="auto"/>
        </w:rPr>
      </w:pPr>
      <w:r>
        <w:rPr>
          <w:rFonts w:hint="eastAsia"/>
          <w:color w:val="auto"/>
        </w:rPr>
        <w:t>预审核</w:t>
      </w:r>
    </w:p>
    <w:p w14:paraId="3570F5E7">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绩效评价涉及的考核指标，由预审核人员对此类案件进行预审核，预审核属实的案件，进入部门申诉阶段；预审核不属实的案件，系统直接剔除对应监察点指标。</w:t>
      </w:r>
    </w:p>
    <w:p w14:paraId="58393005">
      <w:pPr>
        <w:pStyle w:val="3"/>
        <w:numPr>
          <w:ilvl w:val="6"/>
          <w:numId w:val="38"/>
        </w:numPr>
        <w:spacing w:line="240" w:lineRule="auto"/>
        <w:rPr>
          <w:color w:val="auto"/>
        </w:rPr>
      </w:pPr>
      <w:r>
        <w:rPr>
          <w:rFonts w:hint="eastAsia"/>
          <w:color w:val="auto"/>
        </w:rPr>
        <w:t>部门申诉申报</w:t>
      </w:r>
    </w:p>
    <w:p w14:paraId="6B1C8F74">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监察点产生后，案件状态为未申诉，部门可根据申诉（报）状态查询各状态案件、也可根据案件号查询案件监察点名称、监察点产生时间、监察点。</w:t>
      </w:r>
    </w:p>
    <w:p w14:paraId="48C74418">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申诉：部门登陆申诉系统可对本部门已产生监察点案件进行申诉，申诉界面可填写申诉情形、申诉意见、申诉附件。</w:t>
      </w:r>
    </w:p>
    <w:p w14:paraId="27108AEB">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时限：可申诉时间为监察点产生时间后三个自然日内，时限内未申诉，案件状态展示为已过申诉时限。</w:t>
      </w:r>
    </w:p>
    <w:p w14:paraId="077F148C">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申报：部门申报可申报本部门经办案件，申报界面填写申报意见、附件。部门申诉申报后，案件流转至考核员复核阶段。</w:t>
      </w:r>
    </w:p>
    <w:p w14:paraId="0BF77FF7">
      <w:pPr>
        <w:pStyle w:val="3"/>
        <w:numPr>
          <w:ilvl w:val="6"/>
          <w:numId w:val="38"/>
        </w:numPr>
        <w:spacing w:line="240" w:lineRule="auto"/>
        <w:rPr>
          <w:color w:val="auto"/>
        </w:rPr>
      </w:pPr>
      <w:r>
        <w:rPr>
          <w:rFonts w:hint="eastAsia"/>
          <w:color w:val="auto"/>
        </w:rPr>
        <w:t>考核员复核</w:t>
      </w:r>
    </w:p>
    <w:p w14:paraId="785B68F9">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部门申诉申报的案件先由考核员对案件进行初步复核，考核员根据情况填写审核结果（结果可填写同意、不同意、疑难）、审核意见、附件，审核意见自行填写。考核员复核后，案件流转至科室审核阶段。</w:t>
      </w:r>
    </w:p>
    <w:p w14:paraId="2438AECE">
      <w:pPr>
        <w:pStyle w:val="3"/>
        <w:numPr>
          <w:ilvl w:val="6"/>
          <w:numId w:val="38"/>
        </w:numPr>
        <w:spacing w:line="240" w:lineRule="auto"/>
        <w:rPr>
          <w:color w:val="auto"/>
        </w:rPr>
      </w:pPr>
      <w:r>
        <w:rPr>
          <w:rFonts w:hint="eastAsia"/>
          <w:color w:val="auto"/>
        </w:rPr>
        <w:t>科室审核</w:t>
      </w:r>
    </w:p>
    <w:p w14:paraId="15EE80A3">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考核员复核的案件，由科室对案件进行二次审核，科室根据情况填写审核结果、审核意见、附件。若审核结果填写同意或不同意，案件审核流程结束；若审核结果为疑难，案件流转至中心领导审核阶段。</w:t>
      </w:r>
    </w:p>
    <w:p w14:paraId="0A65616E">
      <w:pPr>
        <w:pStyle w:val="3"/>
        <w:numPr>
          <w:ilvl w:val="6"/>
          <w:numId w:val="38"/>
        </w:numPr>
        <w:spacing w:line="240" w:lineRule="auto"/>
        <w:rPr>
          <w:color w:val="auto"/>
        </w:rPr>
      </w:pPr>
      <w:r>
        <w:rPr>
          <w:rFonts w:hint="eastAsia"/>
          <w:color w:val="auto"/>
        </w:rPr>
        <w:t>中心领导审核</w:t>
      </w:r>
    </w:p>
    <w:p w14:paraId="6E554F5A">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科室审核结果为疑难的案件，由中心领导审核。中心领导可对疑难案件审核为同意或不同意，案件审核流程结束。</w:t>
      </w:r>
    </w:p>
    <w:p w14:paraId="213CAB6B">
      <w:pPr>
        <w:pStyle w:val="8"/>
        <w:numPr>
          <w:ilvl w:val="5"/>
          <w:numId w:val="38"/>
        </w:numPr>
        <w:spacing w:line="240" w:lineRule="auto"/>
        <w:rPr>
          <w:color w:val="auto"/>
        </w:rPr>
      </w:pPr>
      <w:r>
        <w:rPr>
          <w:rFonts w:hint="eastAsia"/>
          <w:color w:val="auto"/>
        </w:rPr>
        <w:t>设备管理</w:t>
      </w:r>
    </w:p>
    <w:p w14:paraId="4ECF7D74">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设备档案管理主要用于信息采集员的移动终端设备档案查询和导入导出，使信息采集人员设备的信息、管理、下发、使用、回收一系列流程可通过信息化手段进行管理留痕，加强对信息采集员设备使用情况的管理。</w:t>
      </w:r>
    </w:p>
    <w:p w14:paraId="4D34DF2F">
      <w:pPr>
        <w:pStyle w:val="3"/>
        <w:numPr>
          <w:ilvl w:val="6"/>
          <w:numId w:val="38"/>
        </w:numPr>
        <w:spacing w:line="240" w:lineRule="auto"/>
        <w:rPr>
          <w:color w:val="auto"/>
        </w:rPr>
      </w:pPr>
      <w:r>
        <w:rPr>
          <w:rFonts w:hint="eastAsia"/>
          <w:color w:val="auto"/>
        </w:rPr>
        <w:t>新增设备</w:t>
      </w:r>
    </w:p>
    <w:p w14:paraId="0EA5D516">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管理人员可以通过设备表单进行设备信息录入保存。</w:t>
      </w:r>
    </w:p>
    <w:p w14:paraId="42F17AA8">
      <w:pPr>
        <w:pStyle w:val="3"/>
        <w:numPr>
          <w:ilvl w:val="6"/>
          <w:numId w:val="38"/>
        </w:numPr>
        <w:spacing w:line="240" w:lineRule="auto"/>
        <w:rPr>
          <w:color w:val="auto"/>
          <w:szCs w:val="22"/>
        </w:rPr>
      </w:pPr>
      <w:r>
        <w:rPr>
          <w:rFonts w:hint="eastAsia"/>
          <w:color w:val="auto"/>
        </w:rPr>
        <w:t>设备调整</w:t>
      </w:r>
    </w:p>
    <w:p w14:paraId="2527DD5A">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管理人员对设备状态数据修改，包含设备类型、设备名字、设备编码、设备状态、购置人、购置时间、购置金额信息。</w:t>
      </w:r>
    </w:p>
    <w:p w14:paraId="0089A913">
      <w:pPr>
        <w:pStyle w:val="3"/>
        <w:numPr>
          <w:ilvl w:val="6"/>
          <w:numId w:val="38"/>
        </w:numPr>
        <w:spacing w:line="240" w:lineRule="auto"/>
        <w:rPr>
          <w:color w:val="auto"/>
        </w:rPr>
      </w:pPr>
      <w:r>
        <w:rPr>
          <w:rFonts w:hint="eastAsia"/>
          <w:color w:val="auto"/>
        </w:rPr>
        <w:t>设备查询</w:t>
      </w:r>
    </w:p>
    <w:p w14:paraId="6F04DB38">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管理人员可以根据设备类型、设备名称、设备编码、购置时间、当前拥有人、设备状态等对设备信息进行查询，并支持导出及查看设备详情数据。</w:t>
      </w:r>
    </w:p>
    <w:p w14:paraId="620A4BFA">
      <w:pPr>
        <w:pStyle w:val="3"/>
        <w:numPr>
          <w:ilvl w:val="6"/>
          <w:numId w:val="38"/>
        </w:numPr>
        <w:spacing w:line="240" w:lineRule="auto"/>
        <w:rPr>
          <w:color w:val="auto"/>
        </w:rPr>
      </w:pPr>
      <w:r>
        <w:rPr>
          <w:rFonts w:hint="eastAsia"/>
          <w:color w:val="auto"/>
        </w:rPr>
        <w:t>设备管理</w:t>
      </w:r>
    </w:p>
    <w:p w14:paraId="681A9183">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管理人员可以通过后台对设备使用情况编辑，包含设备操作、当前拥有人、操作时间、经办人、操作原因。其中包含发放、收回、维修、报废等状态。</w:t>
      </w:r>
    </w:p>
    <w:p w14:paraId="721555C8">
      <w:pPr>
        <w:pStyle w:val="8"/>
        <w:numPr>
          <w:ilvl w:val="5"/>
          <w:numId w:val="38"/>
        </w:numPr>
        <w:spacing w:line="240" w:lineRule="auto"/>
        <w:rPr>
          <w:color w:val="auto"/>
        </w:rPr>
      </w:pPr>
      <w:r>
        <w:rPr>
          <w:rFonts w:hint="eastAsia"/>
          <w:color w:val="auto"/>
        </w:rPr>
        <w:t>考核报表</w:t>
      </w:r>
    </w:p>
    <w:p w14:paraId="14C3C63A">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提供网格员在岗考核报表，管理员可随时查询网格员个人及入职信息，了解目前网格员在职人数以及离职人数。</w:t>
      </w:r>
    </w:p>
    <w:p w14:paraId="47D212D8">
      <w:pPr>
        <w:pStyle w:val="3"/>
        <w:numPr>
          <w:ilvl w:val="6"/>
          <w:numId w:val="38"/>
        </w:numPr>
        <w:spacing w:line="240" w:lineRule="auto"/>
        <w:rPr>
          <w:color w:val="auto"/>
        </w:rPr>
      </w:pPr>
      <w:r>
        <w:rPr>
          <w:rFonts w:hint="eastAsia"/>
          <w:color w:val="auto"/>
        </w:rPr>
        <w:t>个人信息更新</w:t>
      </w:r>
    </w:p>
    <w:p w14:paraId="309FEB57">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所有在职城管网格员需要在线填写个人信息，以加强账号与人员的关联，以达到账号与人员匹配。</w:t>
      </w:r>
    </w:p>
    <w:p w14:paraId="7786E4C7">
      <w:pPr>
        <w:jc w:val="center"/>
        <w:rPr>
          <w:rFonts w:ascii="宋体" w:hAnsi="宋体" w:eastAsia="宋体" w:cs="宋体"/>
          <w:color w:val="auto"/>
          <w:sz w:val="24"/>
        </w:rPr>
      </w:pPr>
      <w:r>
        <w:rPr>
          <w:rFonts w:ascii="宋体" w:hAnsi="宋体" w:eastAsia="宋体" w:cs="宋体"/>
          <w:color w:val="auto"/>
          <w:sz w:val="24"/>
        </w:rPr>
        <w:drawing>
          <wp:inline distT="0" distB="0" distL="114300" distR="114300">
            <wp:extent cx="4318635" cy="3041015"/>
            <wp:effectExtent l="0" t="0" r="5715" b="6985"/>
            <wp:docPr id="44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5" descr="IMG_256"/>
                    <pic:cNvPicPr>
                      <a:picLocks noChangeAspect="1"/>
                    </pic:cNvPicPr>
                  </pic:nvPicPr>
                  <pic:blipFill>
                    <a:blip r:embed="rId48" cstate="print"/>
                    <a:stretch>
                      <a:fillRect/>
                    </a:stretch>
                  </pic:blipFill>
                  <pic:spPr>
                    <a:xfrm>
                      <a:off x="0" y="0"/>
                      <a:ext cx="4318635" cy="3041015"/>
                    </a:xfrm>
                    <a:prstGeom prst="rect">
                      <a:avLst/>
                    </a:prstGeom>
                    <a:noFill/>
                    <a:ln w="9525">
                      <a:noFill/>
                    </a:ln>
                  </pic:spPr>
                </pic:pic>
              </a:graphicData>
            </a:graphic>
          </wp:inline>
        </w:drawing>
      </w:r>
    </w:p>
    <w:p w14:paraId="73A2D4FF">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144" w:name="_Toc17355"/>
      <w:r>
        <w:rPr>
          <w:rFonts w:hint="eastAsia" w:ascii="Times New Roman" w:hAnsi="Times New Roman" w:eastAsia="宋体" w:cs="Times New Roman"/>
          <w:color w:val="auto"/>
          <w:sz w:val="24"/>
          <w:szCs w:val="21"/>
        </w:rPr>
        <w:t>网格员个人信息填写表单</w:t>
      </w:r>
      <w:r>
        <w:rPr>
          <w:rFonts w:hint="eastAsia" w:cs="Times New Roman" w:asciiTheme="majorEastAsia" w:hAnsiTheme="majorEastAsia" w:eastAsiaTheme="majorEastAsia"/>
          <w:color w:val="auto"/>
          <w:sz w:val="24"/>
          <w:szCs w:val="21"/>
        </w:rPr>
        <w:t>示意</w:t>
      </w:r>
      <w:r>
        <w:rPr>
          <w:rFonts w:hint="eastAsia" w:ascii="Times New Roman" w:hAnsi="Times New Roman" w:eastAsia="宋体" w:cs="Times New Roman"/>
          <w:color w:val="auto"/>
          <w:sz w:val="24"/>
          <w:szCs w:val="21"/>
        </w:rPr>
        <w:t>图</w:t>
      </w:r>
    </w:p>
    <w:bookmarkEnd w:id="144"/>
    <w:p w14:paraId="01E75166">
      <w:pPr>
        <w:ind w:firstLine="480" w:firstLineChars="200"/>
        <w:jc w:val="center"/>
        <w:rPr>
          <w:rFonts w:ascii="Times New Roman" w:hAnsi="Times New Roman" w:eastAsia="宋体" w:cs="Times New Roman"/>
          <w:color w:val="auto"/>
          <w:sz w:val="24"/>
          <w:szCs w:val="21"/>
        </w:rPr>
      </w:pPr>
    </w:p>
    <w:p w14:paraId="325CB641">
      <w:pPr>
        <w:pStyle w:val="3"/>
        <w:numPr>
          <w:ilvl w:val="6"/>
          <w:numId w:val="38"/>
        </w:numPr>
        <w:spacing w:line="240" w:lineRule="auto"/>
        <w:rPr>
          <w:color w:val="auto"/>
        </w:rPr>
      </w:pPr>
      <w:r>
        <w:rPr>
          <w:rFonts w:hint="eastAsia"/>
          <w:color w:val="auto"/>
        </w:rPr>
        <w:t>个人信息审核</w:t>
      </w:r>
    </w:p>
    <w:p w14:paraId="5362C492">
      <w:pPr>
        <w:ind w:firstLine="480" w:firstLineChars="200"/>
        <w:rPr>
          <w:rFonts w:ascii="宋体" w:hAnsi="宋体" w:eastAsia="宋体" w:cs="宋体"/>
          <w:color w:val="auto"/>
          <w:sz w:val="24"/>
          <w:szCs w:val="21"/>
        </w:rPr>
      </w:pPr>
      <w:r>
        <w:rPr>
          <w:rFonts w:hint="eastAsia" w:ascii="宋体" w:hAnsi="宋体" w:eastAsia="宋体" w:cs="宋体"/>
          <w:color w:val="auto"/>
          <w:sz w:val="24"/>
          <w:szCs w:val="22"/>
        </w:rPr>
        <w:t>网格员个人信息填好后不可随意修改，如若修改信息需进行提交至市指挥中心，由市指挥长或市值班长进行审核，审核通过后信息才可以修改生效，并支持查看修改记录。申请人员的申请意见、答复人员名称、申请时间及答复时间和答复意见、以及修改字段及前后修改数据都支持可查</w:t>
      </w:r>
      <w:r>
        <w:rPr>
          <w:rFonts w:hint="eastAsia" w:ascii="宋体" w:hAnsi="宋体" w:eastAsia="宋体" w:cs="宋体"/>
          <w:color w:val="auto"/>
          <w:sz w:val="24"/>
          <w:szCs w:val="21"/>
        </w:rPr>
        <w:t>。</w:t>
      </w:r>
    </w:p>
    <w:p w14:paraId="3BD67F8F">
      <w:pPr>
        <w:jc w:val="center"/>
        <w:rPr>
          <w:rFonts w:ascii="宋体" w:hAnsi="宋体" w:eastAsia="宋体" w:cs="宋体"/>
          <w:color w:val="auto"/>
          <w:sz w:val="24"/>
        </w:rPr>
      </w:pPr>
      <w:r>
        <w:rPr>
          <w:rFonts w:ascii="宋体" w:hAnsi="宋体" w:eastAsia="宋体" w:cs="宋体"/>
          <w:color w:val="auto"/>
          <w:sz w:val="24"/>
        </w:rPr>
        <w:drawing>
          <wp:inline distT="0" distB="0" distL="114300" distR="114300">
            <wp:extent cx="3867150" cy="6191250"/>
            <wp:effectExtent l="0" t="0" r="0" b="0"/>
            <wp:docPr id="449"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4" descr="IMG_256"/>
                    <pic:cNvPicPr>
                      <a:picLocks noChangeAspect="1"/>
                    </pic:cNvPicPr>
                  </pic:nvPicPr>
                  <pic:blipFill>
                    <a:blip r:embed="rId49" cstate="print"/>
                    <a:stretch>
                      <a:fillRect/>
                    </a:stretch>
                  </pic:blipFill>
                  <pic:spPr>
                    <a:xfrm>
                      <a:off x="0" y="0"/>
                      <a:ext cx="3867150" cy="6191250"/>
                    </a:xfrm>
                    <a:prstGeom prst="rect">
                      <a:avLst/>
                    </a:prstGeom>
                    <a:noFill/>
                    <a:ln w="9525">
                      <a:noFill/>
                    </a:ln>
                  </pic:spPr>
                </pic:pic>
              </a:graphicData>
            </a:graphic>
          </wp:inline>
        </w:drawing>
      </w:r>
    </w:p>
    <w:p w14:paraId="0C282FEF">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145" w:name="_Toc20250"/>
      <w:r>
        <w:rPr>
          <w:rFonts w:hint="eastAsia" w:ascii="Times New Roman" w:hAnsi="Times New Roman" w:eastAsia="宋体" w:cs="Times New Roman"/>
          <w:color w:val="auto"/>
          <w:sz w:val="24"/>
          <w:szCs w:val="21"/>
        </w:rPr>
        <w:t>网格员个人信息审核</w:t>
      </w:r>
      <w:bookmarkEnd w:id="145"/>
      <w:r>
        <w:rPr>
          <w:rFonts w:hint="eastAsia" w:cs="Times New Roman" w:asciiTheme="majorEastAsia" w:hAnsiTheme="majorEastAsia" w:eastAsiaTheme="majorEastAsia"/>
          <w:color w:val="auto"/>
          <w:sz w:val="24"/>
          <w:szCs w:val="21"/>
        </w:rPr>
        <w:t>示意</w:t>
      </w:r>
      <w:r>
        <w:rPr>
          <w:rFonts w:hint="eastAsia" w:ascii="Times New Roman" w:hAnsi="Times New Roman" w:eastAsia="宋体" w:cs="Times New Roman"/>
          <w:color w:val="auto"/>
          <w:sz w:val="24"/>
          <w:szCs w:val="21"/>
        </w:rPr>
        <w:t>图</w:t>
      </w:r>
    </w:p>
    <w:p w14:paraId="2B39164C">
      <w:pPr>
        <w:ind w:firstLine="480" w:firstLineChars="200"/>
        <w:jc w:val="center"/>
        <w:rPr>
          <w:rFonts w:ascii="Times New Roman" w:hAnsi="Times New Roman" w:eastAsia="宋体" w:cs="Times New Roman"/>
          <w:color w:val="auto"/>
          <w:sz w:val="24"/>
          <w:szCs w:val="21"/>
        </w:rPr>
      </w:pPr>
    </w:p>
    <w:p w14:paraId="5E2A212B">
      <w:pPr>
        <w:pStyle w:val="3"/>
        <w:numPr>
          <w:ilvl w:val="6"/>
          <w:numId w:val="38"/>
        </w:numPr>
        <w:spacing w:line="240" w:lineRule="auto"/>
        <w:rPr>
          <w:color w:val="auto"/>
        </w:rPr>
      </w:pPr>
      <w:r>
        <w:rPr>
          <w:rFonts w:hint="eastAsia"/>
          <w:color w:val="auto"/>
        </w:rPr>
        <w:t>多媒体附件</w:t>
      </w:r>
    </w:p>
    <w:p w14:paraId="7CF66DCB">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网格员在完成个人信息填写时应支持提交多媒体数据或文件（必填），如网格员的个人身份证和入职合同信息。</w:t>
      </w:r>
    </w:p>
    <w:p w14:paraId="18F3590E">
      <w:pPr>
        <w:pStyle w:val="3"/>
        <w:numPr>
          <w:ilvl w:val="6"/>
          <w:numId w:val="38"/>
        </w:numPr>
        <w:spacing w:line="240" w:lineRule="auto"/>
        <w:rPr>
          <w:color w:val="auto"/>
        </w:rPr>
      </w:pPr>
      <w:r>
        <w:rPr>
          <w:rFonts w:hint="eastAsia"/>
          <w:color w:val="auto"/>
        </w:rPr>
        <w:t>离职状态调整</w:t>
      </w:r>
    </w:p>
    <w:p w14:paraId="39415D56">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如果网格员存在离职，则需要采集员管理员立即将其账号状态修改为“离职”，并需要在一周时间内（限定7天）找到新的网格员，并把账号信息更新为新的人员信息，如果超出限定时间未进行修改，则统计时默认判断此账号为缺岗。</w:t>
      </w:r>
    </w:p>
    <w:p w14:paraId="7D07E397">
      <w:pPr>
        <w:pStyle w:val="3"/>
        <w:numPr>
          <w:ilvl w:val="6"/>
          <w:numId w:val="38"/>
        </w:numPr>
        <w:spacing w:line="240" w:lineRule="auto"/>
        <w:rPr>
          <w:color w:val="auto"/>
        </w:rPr>
      </w:pPr>
      <w:r>
        <w:rPr>
          <w:rFonts w:hint="eastAsia"/>
          <w:color w:val="auto"/>
        </w:rPr>
        <w:t>可视化展示</w:t>
      </w:r>
    </w:p>
    <w:p w14:paraId="1CB891C1">
      <w:pPr>
        <w:spacing w:before="120"/>
        <w:ind w:firstLine="480" w:firstLineChars="200"/>
        <w:rPr>
          <w:rFonts w:ascii="宋体" w:hAnsi="宋体" w:eastAsia="宋体" w:cs="宋体"/>
          <w:color w:val="auto"/>
          <w:sz w:val="24"/>
          <w:szCs w:val="22"/>
        </w:rPr>
      </w:pPr>
      <w:r>
        <w:rPr>
          <w:rFonts w:hint="eastAsia" w:ascii="宋体" w:hAnsi="宋体" w:eastAsia="宋体" w:cs="宋体"/>
          <w:color w:val="auto"/>
          <w:sz w:val="24"/>
          <w:szCs w:val="22"/>
        </w:rPr>
        <w:t>网格员信息录入后展示应支持可视化，图表化展示，包括个人信息根据区域（采集公司）和个人信息进行统计，例如信息完整度，离职网格员未及时修改记录，离职数、离职率、在职数、在职率等。</w:t>
      </w:r>
    </w:p>
    <w:p w14:paraId="1D18236E">
      <w:pPr>
        <w:rPr>
          <w:rFonts w:ascii="宋体" w:hAnsi="宋体" w:eastAsia="宋体" w:cs="宋体"/>
          <w:color w:val="auto"/>
          <w:sz w:val="24"/>
        </w:rPr>
      </w:pPr>
      <w:r>
        <w:rPr>
          <w:rFonts w:ascii="宋体" w:hAnsi="宋体" w:eastAsia="宋体" w:cs="宋体"/>
          <w:color w:val="auto"/>
          <w:sz w:val="24"/>
        </w:rPr>
        <w:drawing>
          <wp:inline distT="0" distB="0" distL="114300" distR="114300">
            <wp:extent cx="5734050" cy="879475"/>
            <wp:effectExtent l="0" t="0" r="0" b="15875"/>
            <wp:docPr id="452" name="图片 45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452" descr="IMG_256"/>
                    <pic:cNvPicPr>
                      <a:picLocks noChangeAspect="1"/>
                    </pic:cNvPicPr>
                  </pic:nvPicPr>
                  <pic:blipFill>
                    <a:blip r:embed="rId50" cstate="print"/>
                    <a:stretch>
                      <a:fillRect/>
                    </a:stretch>
                  </pic:blipFill>
                  <pic:spPr>
                    <a:xfrm>
                      <a:off x="0" y="0"/>
                      <a:ext cx="5734050" cy="879475"/>
                    </a:xfrm>
                    <a:prstGeom prst="rect">
                      <a:avLst/>
                    </a:prstGeom>
                    <a:noFill/>
                    <a:ln w="9525">
                      <a:noFill/>
                    </a:ln>
                  </pic:spPr>
                </pic:pic>
              </a:graphicData>
            </a:graphic>
          </wp:inline>
        </w:drawing>
      </w:r>
    </w:p>
    <w:p w14:paraId="3878D622">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146" w:name="_Toc5051"/>
      <w:r>
        <w:rPr>
          <w:rFonts w:hint="eastAsia" w:ascii="Times New Roman" w:hAnsi="Times New Roman" w:eastAsia="宋体" w:cs="Times New Roman"/>
          <w:color w:val="auto"/>
          <w:sz w:val="24"/>
          <w:szCs w:val="21"/>
        </w:rPr>
        <w:t>网格员在职人数统计</w:t>
      </w:r>
      <w:bookmarkEnd w:id="146"/>
      <w:r>
        <w:rPr>
          <w:rFonts w:hint="eastAsia" w:cs="Times New Roman" w:asciiTheme="majorEastAsia" w:hAnsiTheme="majorEastAsia" w:eastAsiaTheme="majorEastAsia"/>
          <w:color w:val="auto"/>
          <w:sz w:val="24"/>
          <w:szCs w:val="21"/>
        </w:rPr>
        <w:t>示意</w:t>
      </w:r>
      <w:r>
        <w:rPr>
          <w:rFonts w:hint="eastAsia" w:ascii="Times New Roman" w:hAnsi="Times New Roman" w:eastAsia="宋体" w:cs="Times New Roman"/>
          <w:color w:val="auto"/>
          <w:sz w:val="24"/>
          <w:szCs w:val="21"/>
        </w:rPr>
        <w:t>图</w:t>
      </w:r>
    </w:p>
    <w:p w14:paraId="7FA8147B">
      <w:pPr>
        <w:ind w:firstLine="480" w:firstLineChars="200"/>
        <w:jc w:val="center"/>
        <w:rPr>
          <w:rFonts w:ascii="Times New Roman" w:hAnsi="Times New Roman" w:eastAsia="宋体" w:cs="Times New Roman"/>
          <w:color w:val="auto"/>
          <w:sz w:val="24"/>
          <w:szCs w:val="21"/>
        </w:rPr>
      </w:pPr>
    </w:p>
    <w:p w14:paraId="155B34EE">
      <w:pPr>
        <w:pStyle w:val="8"/>
        <w:numPr>
          <w:ilvl w:val="5"/>
          <w:numId w:val="38"/>
        </w:numPr>
        <w:spacing w:line="240" w:lineRule="auto"/>
        <w:rPr>
          <w:color w:val="auto"/>
        </w:rPr>
      </w:pPr>
      <w:r>
        <w:rPr>
          <w:rFonts w:hint="eastAsia"/>
          <w:color w:val="auto"/>
        </w:rPr>
        <w:t>短信提醒</w:t>
      </w:r>
    </w:p>
    <w:p w14:paraId="2204BDC4">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当监察点产生时，系统向对应监察点产生部门人员手机号发送短信，短信内容例：[数字城管考核申诉（报）系统]：案件XXXXXX产生新的考核指标【XXXX】，如有异议请于3工作日内进行申诉！</w:t>
      </w:r>
    </w:p>
    <w:p w14:paraId="0DA9EFBA">
      <w:pPr>
        <w:pStyle w:val="7"/>
        <w:numPr>
          <w:ilvl w:val="4"/>
          <w:numId w:val="38"/>
        </w:numPr>
        <w:spacing w:line="240" w:lineRule="auto"/>
        <w:rPr>
          <w:color w:val="auto"/>
        </w:rPr>
      </w:pPr>
      <w:r>
        <w:rPr>
          <w:rFonts w:hint="eastAsia"/>
          <w:color w:val="auto"/>
        </w:rPr>
        <w:t>e治理app网格员工作模块H</w:t>
      </w:r>
      <w:r>
        <w:rPr>
          <w:color w:val="auto"/>
        </w:rPr>
        <w:t>5</w:t>
      </w:r>
      <w:r>
        <w:rPr>
          <w:rFonts w:hint="eastAsia"/>
          <w:color w:val="auto"/>
        </w:rPr>
        <w:t>改造</w:t>
      </w:r>
    </w:p>
    <w:p w14:paraId="152A3ACE">
      <w:pPr>
        <w:ind w:firstLine="480" w:firstLineChars="200"/>
        <w:rPr>
          <w:rFonts w:ascii="宋体" w:hAnsi="宋体" w:eastAsia="宋体" w:cs="宋体"/>
          <w:color w:val="auto"/>
          <w:sz w:val="24"/>
          <w:szCs w:val="21"/>
        </w:rPr>
      </w:pPr>
      <w:r>
        <w:rPr>
          <w:rFonts w:hint="eastAsia" w:ascii="宋体" w:hAnsi="宋体" w:eastAsia="宋体" w:cs="宋体"/>
          <w:color w:val="auto"/>
          <w:sz w:val="24"/>
          <w:szCs w:val="21"/>
        </w:rPr>
        <w:t>将e治理中的采集员管理模块进行H</w:t>
      </w:r>
      <w:r>
        <w:rPr>
          <w:rFonts w:ascii="宋体" w:hAnsi="宋体" w:eastAsia="宋体" w:cs="宋体"/>
          <w:color w:val="auto"/>
          <w:sz w:val="24"/>
          <w:szCs w:val="21"/>
        </w:rPr>
        <w:t>5</w:t>
      </w:r>
      <w:r>
        <w:rPr>
          <w:rFonts w:hint="eastAsia" w:ascii="宋体" w:hAnsi="宋体" w:eastAsia="宋体" w:cs="宋体"/>
          <w:color w:val="auto"/>
          <w:sz w:val="24"/>
          <w:szCs w:val="21"/>
        </w:rPr>
        <w:t>改造，嵌入到联防联控系统中，具体H</w:t>
      </w:r>
      <w:r>
        <w:rPr>
          <w:rFonts w:ascii="宋体" w:hAnsi="宋体" w:eastAsia="宋体" w:cs="宋体"/>
          <w:color w:val="auto"/>
          <w:sz w:val="24"/>
          <w:szCs w:val="21"/>
        </w:rPr>
        <w:t>5</w:t>
      </w:r>
      <w:r>
        <w:rPr>
          <w:rFonts w:hint="eastAsia" w:ascii="宋体" w:hAnsi="宋体" w:eastAsia="宋体" w:cs="宋体"/>
          <w:color w:val="auto"/>
          <w:sz w:val="24"/>
          <w:szCs w:val="21"/>
        </w:rPr>
        <w:t>改造的功能包括问题上报、核实任务、核查任务、数据采集、自行处置、采集员轨迹对接。</w:t>
      </w:r>
    </w:p>
    <w:p w14:paraId="03D8E3C5">
      <w:pPr>
        <w:pStyle w:val="6"/>
        <w:numPr>
          <w:ilvl w:val="3"/>
          <w:numId w:val="38"/>
        </w:numPr>
        <w:spacing w:line="240" w:lineRule="auto"/>
        <w:rPr>
          <w:color w:val="auto"/>
        </w:rPr>
      </w:pPr>
      <w:r>
        <w:rPr>
          <w:rFonts w:hint="eastAsia"/>
          <w:color w:val="auto"/>
        </w:rPr>
        <w:t>日常指挥协同</w:t>
      </w:r>
    </w:p>
    <w:p w14:paraId="37B06D5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基于e福州综合指挥平台，升级改造实现城市的立体化日常指挥协同管理功能，系统以网格化管理为基础，以社会化服务为方向，实现隐患排查、社会维稳、治安防控、灾害预防及应急宣传教育等服务工作，建立力量管理、目标掌控、任务追踪及形势研判等管理功能模块。</w:t>
      </w:r>
    </w:p>
    <w:p w14:paraId="68BDCDEC">
      <w:pPr>
        <w:pStyle w:val="7"/>
        <w:numPr>
          <w:ilvl w:val="4"/>
          <w:numId w:val="38"/>
        </w:numPr>
        <w:spacing w:line="240" w:lineRule="auto"/>
        <w:rPr>
          <w:color w:val="auto"/>
        </w:rPr>
      </w:pPr>
      <w:r>
        <w:rPr>
          <w:rFonts w:hint="eastAsia"/>
          <w:color w:val="auto"/>
        </w:rPr>
        <w:t>力量管理</w:t>
      </w:r>
    </w:p>
    <w:p w14:paraId="660319DE">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系统实现城市辖区内警力、网格员及群防群治力量等各类防控力量的综合管理服务，包括防控力量基础信息维护、防控力量定位监督、防控力量部署管理及防控力量通讯调度等管理功能。</w:t>
      </w:r>
    </w:p>
    <w:p w14:paraId="0CB4CB48">
      <w:pPr>
        <w:pStyle w:val="8"/>
        <w:numPr>
          <w:ilvl w:val="5"/>
          <w:numId w:val="38"/>
        </w:numPr>
        <w:spacing w:line="240" w:lineRule="auto"/>
        <w:rPr>
          <w:color w:val="auto"/>
        </w:rPr>
      </w:pPr>
      <w:r>
        <w:rPr>
          <w:rFonts w:hint="eastAsia"/>
          <w:color w:val="auto"/>
        </w:rPr>
        <w:t>力量信息维护</w:t>
      </w:r>
    </w:p>
    <w:p w14:paraId="3D5703B4">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实现城市辖区内警力、网格员及群防群治力量等各类防控力量的基础信息管理，包括防控力量的类型、基础信息、所在单位、联系方式、人员照片及空间地理位置等信息。</w:t>
      </w:r>
    </w:p>
    <w:p w14:paraId="55FEB60A">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实现防控力量的增加、修改、删除及综合查询功能，实现基于电子地图的防控力量分布检索等功能。</w:t>
      </w:r>
    </w:p>
    <w:p w14:paraId="40528B45">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基于数据对接服务支撑平台，实现公安警力、网格员等类型人员基础数据从相应平台的数据直接对接调度。</w:t>
      </w:r>
    </w:p>
    <w:p w14:paraId="1F436857">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1、警力信息管理</w:t>
      </w:r>
    </w:p>
    <w:p w14:paraId="62D80EEE">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管理辖区的警力及警车等基础信息，包括数据对接、数据修改及数据检索等管理功能。</w:t>
      </w:r>
    </w:p>
    <w:p w14:paraId="66B34296">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2、网格员信息管理</w:t>
      </w:r>
    </w:p>
    <w:p w14:paraId="0D5BF257">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维护综治网格员、数字城管网格员及行业网格员等各类网格员的基础信息，实现数据通信对接、数据修改及数据检索等管理功能。</w:t>
      </w:r>
    </w:p>
    <w:p w14:paraId="7A810507">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3</w:t>
      </w:r>
      <w:r>
        <w:rPr>
          <w:rFonts w:hint="eastAsia" w:cs="Times New Roman" w:asciiTheme="majorEastAsia" w:hAnsiTheme="majorEastAsia" w:eastAsiaTheme="majorEastAsia"/>
          <w:color w:val="auto"/>
          <w:sz w:val="24"/>
          <w:szCs w:val="21"/>
        </w:rPr>
        <w:t>、保安信息管理</w:t>
      </w:r>
    </w:p>
    <w:p w14:paraId="2F9793BA">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实现专职保安、单位保安、小区物业等各类单位、各类型保安的基础信息管理功能，包括数据增加、修改、删除、数据检索及人员定位等管理功能。</w:t>
      </w:r>
    </w:p>
    <w:p w14:paraId="216DC4E2">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4</w:t>
      </w:r>
      <w:r>
        <w:rPr>
          <w:rFonts w:hint="eastAsia" w:cs="Times New Roman" w:asciiTheme="majorEastAsia" w:hAnsiTheme="majorEastAsia" w:eastAsiaTheme="majorEastAsia"/>
          <w:color w:val="auto"/>
          <w:sz w:val="24"/>
          <w:szCs w:val="21"/>
        </w:rPr>
        <w:t>、其他群防群治力量管理</w:t>
      </w:r>
    </w:p>
    <w:p w14:paraId="729FA46E">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实现社区平安志愿者等各类其他群防群治力量的基础信息管理，包括数据增加、修改、删除、数据检索及人员定位等管理功能。</w:t>
      </w:r>
    </w:p>
    <w:p w14:paraId="17411B47">
      <w:pPr>
        <w:pStyle w:val="8"/>
        <w:numPr>
          <w:ilvl w:val="5"/>
          <w:numId w:val="38"/>
        </w:numPr>
        <w:spacing w:line="240" w:lineRule="auto"/>
        <w:rPr>
          <w:color w:val="auto"/>
        </w:rPr>
      </w:pPr>
      <w:r>
        <w:rPr>
          <w:rFonts w:hint="eastAsia"/>
          <w:color w:val="auto"/>
        </w:rPr>
        <w:t>力量定位监督</w:t>
      </w:r>
    </w:p>
    <w:p w14:paraId="415B7E3E">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实现全市各个辖区各类防控力量的实时定位及轨迹追踪等监督管理功能。包括公安警车及警员实时定位管理、各类网格员实时定位管理、专职保安等群防群治力量的定位管理等。</w:t>
      </w:r>
    </w:p>
    <w:p w14:paraId="011F6156">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1、力量实时定位</w:t>
      </w:r>
    </w:p>
    <w:p w14:paraId="4A9FE7C3">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基于地理信息GIS电子地图，结合空间定位支撑服务，实时定位辖区内各个巡逻警车、巡逻警力及网格员等人员的动态信息，全面掌握各个辖区的防控力量分布情况，支持通过电子地图查看各个防控力量的基础信息，直接直接调度相应人员的通信方式。</w:t>
      </w:r>
    </w:p>
    <w:p w14:paraId="6C820A7C">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2、力量轨迹追踪</w:t>
      </w:r>
    </w:p>
    <w:p w14:paraId="04AEF314">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支持各类防控力量的人员轨迹追踪管理功能，查询相应人员的工作或巡逻轨迹，并在电子地图上以动画的形式展示出来。</w:t>
      </w:r>
    </w:p>
    <w:p w14:paraId="61986EBF">
      <w:pPr>
        <w:pStyle w:val="8"/>
        <w:numPr>
          <w:ilvl w:val="5"/>
          <w:numId w:val="38"/>
        </w:numPr>
        <w:spacing w:line="240" w:lineRule="auto"/>
        <w:rPr>
          <w:color w:val="auto"/>
        </w:rPr>
      </w:pPr>
      <w:r>
        <w:rPr>
          <w:rFonts w:hint="eastAsia"/>
          <w:color w:val="auto"/>
        </w:rPr>
        <w:t>力量部署管理</w:t>
      </w:r>
    </w:p>
    <w:p w14:paraId="664CC065">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城市各个辖区日常指挥协同力量的部署方案及演练管理，科学划分巡逻区域，优化力量布局，建立健全指挥和保障机制，完善早晚高峰等节点人员密集场所重点工作机制及减少治安防控死角和盲区等工作，提升社会面动态控制能力。</w:t>
      </w:r>
    </w:p>
    <w:p w14:paraId="33288ED2">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1</w:t>
      </w:r>
      <w:r>
        <w:rPr>
          <w:rFonts w:hint="eastAsia" w:cs="Times New Roman" w:asciiTheme="majorEastAsia" w:hAnsiTheme="majorEastAsia" w:eastAsiaTheme="majorEastAsia"/>
          <w:color w:val="auto"/>
          <w:sz w:val="24"/>
          <w:szCs w:val="21"/>
        </w:rPr>
        <w:t>、力量</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部署批注</w:t>
      </w:r>
    </w:p>
    <w:p w14:paraId="3847E57A">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系统基于</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电子地图，在电子地图上直接维护批注各个辖区的各类防控力量及防控工作的部署示意，直观全面掌握防控工作安排情况。</w:t>
      </w:r>
    </w:p>
    <w:p w14:paraId="05586183">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系统实现灵活方便的手动批注管理功能，支持各个管理用户自行在</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地图界面上进行防控力量手写批注，系统提供丰富的批注工具，包括人员类型、防控资源、文本标注、点、线、面等基础批注组件，支持批注后的画面保存管理功能。</w:t>
      </w:r>
    </w:p>
    <w:p w14:paraId="0D63FD00">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2</w:t>
      </w:r>
      <w:r>
        <w:rPr>
          <w:rFonts w:hint="eastAsia" w:cs="Times New Roman" w:asciiTheme="majorEastAsia" w:hAnsiTheme="majorEastAsia" w:eastAsiaTheme="majorEastAsia"/>
          <w:color w:val="auto"/>
          <w:sz w:val="24"/>
          <w:szCs w:val="21"/>
        </w:rPr>
        <w:t>、力量</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部署动画展示</w:t>
      </w:r>
    </w:p>
    <w:p w14:paraId="14514382">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系统实现各个防控工作部署方案的</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动画展示管理，基于</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电子地图，支持在电子地图以动画的形式直接展示各个防控工作的部署内容，包括防控人员安排、巡逻路径安排、调度资源及防控目标等。</w:t>
      </w:r>
    </w:p>
    <w:p w14:paraId="46108D60">
      <w:pPr>
        <w:pStyle w:val="8"/>
        <w:numPr>
          <w:ilvl w:val="5"/>
          <w:numId w:val="38"/>
        </w:numPr>
        <w:spacing w:line="240" w:lineRule="auto"/>
        <w:rPr>
          <w:color w:val="auto"/>
        </w:rPr>
      </w:pPr>
      <w:r>
        <w:rPr>
          <w:rFonts w:hint="eastAsia"/>
          <w:color w:val="auto"/>
        </w:rPr>
        <w:t>力量通讯调度</w:t>
      </w:r>
    </w:p>
    <w:p w14:paraId="4E1DEE0D">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实现辖区防控力量的通讯调度管理，包括语音通话调度及集群电话调度等功能。</w:t>
      </w:r>
    </w:p>
    <w:p w14:paraId="216F525F">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1</w:t>
      </w:r>
      <w:r>
        <w:rPr>
          <w:rFonts w:hint="eastAsia" w:cs="Times New Roman" w:asciiTheme="majorEastAsia" w:hAnsiTheme="majorEastAsia" w:eastAsiaTheme="majorEastAsia"/>
          <w:color w:val="auto"/>
          <w:sz w:val="24"/>
          <w:szCs w:val="21"/>
        </w:rPr>
        <w:t>、语音通话调度</w:t>
      </w:r>
    </w:p>
    <w:p w14:paraId="6F3533BF">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支持各类防控力量的语音电话通讯直接调度管理，基于</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电子地图，支持直接拔打相应网格员或各类群防群治人员的普通电话或移动电话，直接进行语音通信调度。</w:t>
      </w:r>
    </w:p>
    <w:p w14:paraId="081ABA0F">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2</w:t>
      </w:r>
      <w:r>
        <w:rPr>
          <w:rFonts w:hint="eastAsia" w:cs="Times New Roman" w:asciiTheme="majorEastAsia" w:hAnsiTheme="majorEastAsia" w:eastAsiaTheme="majorEastAsia"/>
          <w:color w:val="auto"/>
          <w:sz w:val="24"/>
          <w:szCs w:val="21"/>
        </w:rPr>
        <w:t>、数字集群语音对讲通信</w:t>
      </w:r>
    </w:p>
    <w:p w14:paraId="35C4F58B">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实现辖区公安警力或专职保安人员的数字集群语音对讲通信管理，利用融合通信支撑服务，直接呼叫相应公安警力或专职保安人员的数字集群电话。</w:t>
      </w:r>
    </w:p>
    <w:p w14:paraId="02CB6F6D">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3</w:t>
      </w:r>
      <w:r>
        <w:rPr>
          <w:rFonts w:hint="eastAsia" w:cs="Times New Roman" w:asciiTheme="majorEastAsia" w:hAnsiTheme="majorEastAsia" w:eastAsiaTheme="majorEastAsia"/>
          <w:color w:val="auto"/>
          <w:sz w:val="24"/>
          <w:szCs w:val="21"/>
        </w:rPr>
        <w:t>、短信通知</w:t>
      </w:r>
    </w:p>
    <w:p w14:paraId="3965E20B">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基于GIS电子地图，支持在线人员的直接短信通知管理功能，方便管理人员进行相应的工作安排通知或突发指挥调度管理。</w:t>
      </w:r>
    </w:p>
    <w:p w14:paraId="5AAE4329">
      <w:pPr>
        <w:pStyle w:val="7"/>
        <w:numPr>
          <w:ilvl w:val="4"/>
          <w:numId w:val="38"/>
        </w:numPr>
        <w:spacing w:line="240" w:lineRule="auto"/>
        <w:rPr>
          <w:color w:val="auto"/>
        </w:rPr>
      </w:pPr>
      <w:r>
        <w:rPr>
          <w:rFonts w:hint="eastAsia"/>
          <w:color w:val="auto"/>
        </w:rPr>
        <w:t>目标掌控</w:t>
      </w:r>
    </w:p>
    <w:p w14:paraId="04FA2478">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全市各辖区重点防控目标的掌控与动态管理功能，包括地铁站、火车站、码头、口岸、高铁沿线等重点部位的安全保卫工作，幼儿园、学校、金融机构、商业场所、医院等重点场所的安全防范，及重点场所及周边治安综合治理，确保全市社会秩序良好。</w:t>
      </w:r>
    </w:p>
    <w:p w14:paraId="67E7A0D8">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实现各类重点防控目标的信息维护管理、日常安全检查、防控预案管理及防控目标视频调阅等功能。</w:t>
      </w:r>
    </w:p>
    <w:p w14:paraId="0F2EBEF0">
      <w:pPr>
        <w:pStyle w:val="8"/>
        <w:numPr>
          <w:ilvl w:val="5"/>
          <w:numId w:val="38"/>
        </w:numPr>
        <w:spacing w:line="240" w:lineRule="auto"/>
        <w:rPr>
          <w:color w:val="auto"/>
        </w:rPr>
      </w:pPr>
      <w:r>
        <w:rPr>
          <w:rFonts w:hint="eastAsia"/>
          <w:color w:val="auto"/>
        </w:rPr>
        <w:t>目标管理</w:t>
      </w:r>
    </w:p>
    <w:p w14:paraId="70809050">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实现辖区内各类重点防控目标的基础信息维护管理，包括防控目标的基础信息、所在地点、图片信息、周边视频及关联数据等信息。实现防控目标信息的增加、修改、删除、地图定位及综合查询功能。</w:t>
      </w:r>
    </w:p>
    <w:p w14:paraId="71AE869C">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支持在</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电子地图上以不同图标展示各类重要防控目标信息，包括政府机关、学校、车站、高速出入口、宾馆、网吧、娱乐场所、商业街区、重大危险源及城市重要设施等的具体位置，了解各个重点防控目标的相关信息。</w:t>
      </w:r>
    </w:p>
    <w:p w14:paraId="4E75C144">
      <w:pPr>
        <w:pStyle w:val="8"/>
        <w:numPr>
          <w:ilvl w:val="5"/>
          <w:numId w:val="38"/>
        </w:numPr>
        <w:spacing w:line="240" w:lineRule="auto"/>
        <w:rPr>
          <w:color w:val="auto"/>
        </w:rPr>
      </w:pPr>
      <w:r>
        <w:rPr>
          <w:rFonts w:hint="eastAsia"/>
          <w:color w:val="auto"/>
        </w:rPr>
        <w:t>日常安全检查</w:t>
      </w:r>
    </w:p>
    <w:p w14:paraId="65201E89">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实现各类重点防控目标的日常安全检查管理，包括网格员的日常安全检查及行业单位日常检查记录维护管理等。支持基于统一数据对接支撑服务，获取网格化综合治理等平台的相应检查记录信息。</w:t>
      </w:r>
    </w:p>
    <w:p w14:paraId="2A962734">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实现重点防控目标的日常安全检查记录基础信息、检查现场照片、检查结论等信息的维护与检索。</w:t>
      </w:r>
    </w:p>
    <w:p w14:paraId="5010C278">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支持以不同的颜色图标在电子地图上直观展示各个重要防控目标的检查情况，让管理人员直观掌握重要防控目标的实际情况。</w:t>
      </w:r>
    </w:p>
    <w:p w14:paraId="628F150F">
      <w:pPr>
        <w:pStyle w:val="8"/>
        <w:numPr>
          <w:ilvl w:val="5"/>
          <w:numId w:val="38"/>
        </w:numPr>
        <w:spacing w:line="240" w:lineRule="auto"/>
        <w:rPr>
          <w:color w:val="auto"/>
        </w:rPr>
      </w:pPr>
      <w:r>
        <w:rPr>
          <w:rFonts w:hint="eastAsia"/>
          <w:color w:val="auto"/>
        </w:rPr>
        <w:t>预案管理</w:t>
      </w:r>
    </w:p>
    <w:p w14:paraId="6496EBEA">
      <w:pPr>
        <w:ind w:firstLine="480" w:firstLineChars="200"/>
        <w:rPr>
          <w:rFonts w:cs="仿宋_GB2312" w:asciiTheme="majorEastAsia" w:hAnsiTheme="majorEastAsia" w:eastAsiaTheme="majorEastAsia"/>
          <w:color w:val="auto"/>
          <w:sz w:val="24"/>
          <w:szCs w:val="21"/>
        </w:rPr>
      </w:pPr>
      <w:r>
        <w:rPr>
          <w:rFonts w:hint="eastAsia" w:cs="仿宋_GB2312" w:asciiTheme="majorEastAsia" w:hAnsiTheme="majorEastAsia" w:eastAsiaTheme="majorEastAsia"/>
          <w:color w:val="auto"/>
          <w:sz w:val="24"/>
          <w:szCs w:val="21"/>
        </w:rPr>
        <w:t>实现火车站、地铁口及商业街区等重点防控目标的防控应急预案管理功能，包括应急预案基础信息管理及应急预案的数字化维护与匹配调度等功能。</w:t>
      </w:r>
    </w:p>
    <w:p w14:paraId="69441F50">
      <w:pPr>
        <w:ind w:firstLine="480" w:firstLineChars="200"/>
        <w:rPr>
          <w:rFonts w:cs="仿宋_GB2312" w:asciiTheme="majorEastAsia" w:hAnsiTheme="majorEastAsia" w:eastAsiaTheme="majorEastAsia"/>
          <w:color w:val="auto"/>
          <w:sz w:val="24"/>
          <w:szCs w:val="21"/>
        </w:rPr>
      </w:pPr>
      <w:r>
        <w:rPr>
          <w:rFonts w:hint="eastAsia" w:cs="仿宋_GB2312" w:asciiTheme="majorEastAsia" w:hAnsiTheme="majorEastAsia" w:eastAsiaTheme="majorEastAsia"/>
          <w:color w:val="auto"/>
          <w:sz w:val="24"/>
          <w:szCs w:val="21"/>
        </w:rPr>
        <w:t>实现防控预案的防控力量部署维护管理，包括调度警力、群防群治力量、联系方式及招人流程等信息管理。</w:t>
      </w:r>
    </w:p>
    <w:p w14:paraId="2DD48E71">
      <w:pPr>
        <w:ind w:firstLine="480" w:firstLineChars="200"/>
        <w:rPr>
          <w:rFonts w:cs="仿宋_GB2312" w:asciiTheme="majorEastAsia" w:hAnsiTheme="majorEastAsia" w:eastAsiaTheme="majorEastAsia"/>
          <w:color w:val="auto"/>
          <w:sz w:val="24"/>
          <w:szCs w:val="21"/>
        </w:rPr>
      </w:pPr>
      <w:r>
        <w:rPr>
          <w:rFonts w:hint="eastAsia" w:cs="仿宋_GB2312" w:asciiTheme="majorEastAsia" w:hAnsiTheme="majorEastAsia" w:eastAsiaTheme="majorEastAsia"/>
          <w:color w:val="auto"/>
          <w:sz w:val="24"/>
          <w:szCs w:val="21"/>
        </w:rPr>
        <w:t>实现防控预案的部署电子批注管理功能，支持在电子地图的手工批注及效果动画演示管理功能。</w:t>
      </w:r>
    </w:p>
    <w:p w14:paraId="7D7BC151">
      <w:pPr>
        <w:ind w:firstLine="480" w:firstLineChars="200"/>
        <w:rPr>
          <w:rFonts w:cs="仿宋_GB2312" w:asciiTheme="majorEastAsia" w:hAnsiTheme="majorEastAsia" w:eastAsiaTheme="majorEastAsia"/>
          <w:color w:val="auto"/>
          <w:sz w:val="24"/>
          <w:szCs w:val="21"/>
        </w:rPr>
      </w:pPr>
      <w:r>
        <w:rPr>
          <w:rFonts w:hint="eastAsia" w:cs="仿宋_GB2312" w:asciiTheme="majorEastAsia" w:hAnsiTheme="majorEastAsia" w:eastAsiaTheme="majorEastAsia"/>
          <w:color w:val="auto"/>
          <w:sz w:val="24"/>
          <w:szCs w:val="21"/>
        </w:rPr>
        <w:t>支持根据预案配置，在突发事件发生时及时发送短信给相关人员。</w:t>
      </w:r>
    </w:p>
    <w:p w14:paraId="2E697251">
      <w:pPr>
        <w:ind w:firstLine="480" w:firstLineChars="200"/>
        <w:rPr>
          <w:rFonts w:cs="仿宋_GB2312" w:asciiTheme="majorEastAsia" w:hAnsiTheme="majorEastAsia" w:eastAsiaTheme="majorEastAsia"/>
          <w:color w:val="auto"/>
          <w:sz w:val="24"/>
          <w:szCs w:val="21"/>
        </w:rPr>
      </w:pPr>
      <w:r>
        <w:rPr>
          <w:rFonts w:hint="eastAsia" w:cs="仿宋_GB2312" w:asciiTheme="majorEastAsia" w:hAnsiTheme="majorEastAsia" w:eastAsiaTheme="majorEastAsia"/>
          <w:color w:val="auto"/>
          <w:sz w:val="24"/>
          <w:szCs w:val="21"/>
        </w:rPr>
        <w:t>支持根据预案配置，在突发事件发生时自动匹配相应的应急资源保障信息。</w:t>
      </w:r>
    </w:p>
    <w:p w14:paraId="1496BAE5">
      <w:pPr>
        <w:pStyle w:val="8"/>
        <w:numPr>
          <w:ilvl w:val="5"/>
          <w:numId w:val="38"/>
        </w:numPr>
        <w:spacing w:line="240" w:lineRule="auto"/>
        <w:rPr>
          <w:rFonts w:cstheme="majorBidi"/>
          <w:color w:val="auto"/>
        </w:rPr>
      </w:pPr>
      <w:r>
        <w:rPr>
          <w:rFonts w:hint="eastAsia"/>
          <w:color w:val="auto"/>
        </w:rPr>
        <w:t>目标视频调阅</w:t>
      </w:r>
    </w:p>
    <w:p w14:paraId="6CA53EE4">
      <w:pPr>
        <w:ind w:firstLine="480" w:firstLineChars="200"/>
        <w:rPr>
          <w:rFonts w:cs="仿宋_GB2312" w:asciiTheme="majorEastAsia" w:hAnsiTheme="majorEastAsia" w:eastAsiaTheme="majorEastAsia"/>
          <w:color w:val="auto"/>
          <w:sz w:val="24"/>
          <w:szCs w:val="21"/>
        </w:rPr>
      </w:pPr>
      <w:r>
        <w:rPr>
          <w:rFonts w:hint="eastAsia" w:cs="仿宋_GB2312" w:asciiTheme="majorEastAsia" w:hAnsiTheme="majorEastAsia" w:eastAsiaTheme="majorEastAsia"/>
          <w:color w:val="auto"/>
          <w:sz w:val="24"/>
          <w:szCs w:val="21"/>
        </w:rPr>
        <w:t>实现重要防控目标的现场及周边视频监控资源的关联及快速调度管理。支持日常巡查或突发事件发生时，可快速查阅重要防控目标的现场及周边实时视频情况。</w:t>
      </w:r>
    </w:p>
    <w:p w14:paraId="0056F9F2">
      <w:pPr>
        <w:ind w:firstLine="480" w:firstLineChars="200"/>
        <w:rPr>
          <w:rFonts w:cs="仿宋_GB2312" w:asciiTheme="majorEastAsia" w:hAnsiTheme="majorEastAsia" w:eastAsiaTheme="majorEastAsia"/>
          <w:color w:val="auto"/>
          <w:sz w:val="24"/>
          <w:szCs w:val="21"/>
        </w:rPr>
      </w:pPr>
      <w:r>
        <w:rPr>
          <w:rFonts w:hint="eastAsia" w:cs="仿宋_GB2312" w:asciiTheme="majorEastAsia" w:hAnsiTheme="majorEastAsia" w:eastAsiaTheme="majorEastAsia"/>
          <w:color w:val="auto"/>
          <w:sz w:val="24"/>
          <w:szCs w:val="21"/>
        </w:rPr>
        <w:t>实现目标周边视频监控的实时画面查阅、云台控制、录像查询及画面抓拍等管理功能。</w:t>
      </w:r>
    </w:p>
    <w:p w14:paraId="20821DB6">
      <w:pPr>
        <w:pStyle w:val="7"/>
        <w:numPr>
          <w:ilvl w:val="4"/>
          <w:numId w:val="38"/>
        </w:numPr>
        <w:spacing w:line="240" w:lineRule="auto"/>
        <w:rPr>
          <w:color w:val="auto"/>
        </w:rPr>
      </w:pPr>
      <w:r>
        <w:rPr>
          <w:rFonts w:hint="eastAsia"/>
          <w:color w:val="auto"/>
        </w:rPr>
        <w:t>任务追踪</w:t>
      </w:r>
    </w:p>
    <w:p w14:paraId="5010BAD7">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实现城市日常指挥协同的全过程任务追踪管理功能，任务追踪是城市日常挥协同及防灾减灾预防预警工作的核心内容。系统以防控任务为中心，由各个辖区主管部门针对日常治安防控、防台防汛、风险隐患排查及应急宣传教育等各个方面的重要工作对下属责任机构或行业网格员下发具体任务安排，及时跟踪各项重要工作安排的进展情况及存在问题，真正实现辖区日常挥协同工作的流程化任务管理、可视化反馈追踪及扁平化过程监督等管理需求，保障日常挥协同工作的顺利进行。</w:t>
      </w:r>
    </w:p>
    <w:p w14:paraId="6DC66B66">
      <w:pPr>
        <w:pStyle w:val="8"/>
        <w:numPr>
          <w:ilvl w:val="5"/>
          <w:numId w:val="38"/>
        </w:numPr>
        <w:spacing w:line="240" w:lineRule="auto"/>
        <w:rPr>
          <w:color w:val="auto"/>
        </w:rPr>
      </w:pPr>
      <w:r>
        <w:rPr>
          <w:rFonts w:hint="eastAsia"/>
          <w:color w:val="auto"/>
        </w:rPr>
        <w:t>任务分类管理</w:t>
      </w:r>
    </w:p>
    <w:p w14:paraId="547CDB4B">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实现日常治安防控、防台防汛、风险隐患排查及应急宣传教育等各类防控任务的分类模板化管理，结合日常指挥协同及防台防汛等工作安排，对各项工作任务安排进行分类管理。</w:t>
      </w:r>
    </w:p>
    <w:p w14:paraId="7AF0DA2A">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1</w:t>
      </w:r>
      <w:r>
        <w:rPr>
          <w:rFonts w:hint="eastAsia" w:cs="Times New Roman" w:asciiTheme="majorEastAsia" w:hAnsiTheme="majorEastAsia" w:eastAsiaTheme="majorEastAsia"/>
          <w:color w:val="auto"/>
          <w:sz w:val="24"/>
          <w:szCs w:val="21"/>
        </w:rPr>
        <w:t>、防灾任务管理</w:t>
      </w:r>
    </w:p>
    <w:p w14:paraId="603BB12F">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由各级政府部门、各个主管机关管理各自的防控任务安排模板，包括下属任务责任部门、责任人员、任务内容、任务时间等约束条件，并关联至风险隐患对象，方便台风、洪涝等灾害预警时，相关主管部门能快速进行防灾减灾的工作安排与任务追踪。</w:t>
      </w:r>
    </w:p>
    <w:p w14:paraId="048AFAF8">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2</w:t>
      </w:r>
      <w:r>
        <w:rPr>
          <w:rFonts w:hint="eastAsia" w:cs="Times New Roman" w:asciiTheme="majorEastAsia" w:hAnsiTheme="majorEastAsia" w:eastAsiaTheme="majorEastAsia"/>
          <w:color w:val="auto"/>
          <w:sz w:val="24"/>
          <w:szCs w:val="21"/>
        </w:rPr>
        <w:t>、治安防控管理</w:t>
      </w:r>
    </w:p>
    <w:p w14:paraId="14E0A075">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提供日常治安责任部门对辖区治安防控的任务安排模板进行维护管理，包括下属任务责任部门、责任人员、任务内容等、任务时间等约束条件，并设定对应的防控目标或防控范围，方便日常指挥协同工作中，能够便捷、快速地进行治安防控任务下派。</w:t>
      </w:r>
    </w:p>
    <w:p w14:paraId="7A5A2189">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3</w:t>
      </w:r>
      <w:r>
        <w:rPr>
          <w:rFonts w:hint="eastAsia" w:cs="Times New Roman" w:asciiTheme="majorEastAsia" w:hAnsiTheme="majorEastAsia" w:eastAsiaTheme="majorEastAsia"/>
          <w:color w:val="auto"/>
          <w:sz w:val="24"/>
          <w:szCs w:val="21"/>
        </w:rPr>
        <w:t>、风险隐患排查</w:t>
      </w:r>
    </w:p>
    <w:p w14:paraId="73F898FF">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为各业务部门提供针对性的风险隐患排查模板，以部门为划分，各部门管理人员维护本部门的辖区风险隐患排查工作任务模板，包括任务责任部门、责任人员、任务内容、任务时间等约束条件，并关联至排查地点、对象等内容，便捷相关主管部门能够快速开展日常风险隐患排查工作。</w:t>
      </w:r>
    </w:p>
    <w:p w14:paraId="32269ED0">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4</w:t>
      </w:r>
      <w:r>
        <w:rPr>
          <w:rFonts w:hint="eastAsia" w:cs="Times New Roman" w:asciiTheme="majorEastAsia" w:hAnsiTheme="majorEastAsia" w:eastAsiaTheme="majorEastAsia"/>
          <w:color w:val="auto"/>
          <w:sz w:val="24"/>
          <w:szCs w:val="21"/>
        </w:rPr>
        <w:t>、应急宣传教育</w:t>
      </w:r>
    </w:p>
    <w:p w14:paraId="41F92B42">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为应急宣传教育工作提供标准化模板管理，包括任务责任部门、责任人员、教育内容、任务时间等约束条件，并关联至对应的宣传片区，便捷宣传教育工作的开展。</w:t>
      </w:r>
    </w:p>
    <w:p w14:paraId="276CA451">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5</w:t>
      </w:r>
      <w:r>
        <w:rPr>
          <w:rFonts w:hint="eastAsia" w:cs="Times New Roman" w:asciiTheme="majorEastAsia" w:hAnsiTheme="majorEastAsia" w:eastAsiaTheme="majorEastAsia"/>
          <w:color w:val="auto"/>
          <w:sz w:val="24"/>
          <w:szCs w:val="21"/>
        </w:rPr>
        <w:t>、其它任务管理</w:t>
      </w:r>
    </w:p>
    <w:p w14:paraId="1D5247F0">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提供基本任务的模板维护功能，各主管机关可以维护基本任务的内容。</w:t>
      </w:r>
    </w:p>
    <w:p w14:paraId="71ACE462">
      <w:pPr>
        <w:pStyle w:val="8"/>
        <w:numPr>
          <w:ilvl w:val="5"/>
          <w:numId w:val="38"/>
        </w:numPr>
        <w:spacing w:line="240" w:lineRule="auto"/>
        <w:rPr>
          <w:color w:val="auto"/>
        </w:rPr>
      </w:pPr>
      <w:r>
        <w:rPr>
          <w:rFonts w:hint="eastAsia"/>
          <w:color w:val="auto"/>
        </w:rPr>
        <w:t>任务预案化管理</w:t>
      </w:r>
    </w:p>
    <w:p w14:paraId="1B239DF1">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实现各类防控任务的预案化信息管理，对各类任务工作以预案的形式进行管理，针对具体灾害或防控工作对象，提前做好相应的任务预案模板，包括任务安排流程、任务反馈机制及资源准备等。</w:t>
      </w:r>
    </w:p>
    <w:p w14:paraId="0B6DEC93">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支持基于</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电子地图的防控任务预案展示管理。</w:t>
      </w:r>
    </w:p>
    <w:p w14:paraId="4B39489C">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1</w:t>
      </w:r>
      <w:r>
        <w:rPr>
          <w:rFonts w:hint="eastAsia" w:cs="Times New Roman" w:asciiTheme="majorEastAsia" w:hAnsiTheme="majorEastAsia" w:eastAsiaTheme="majorEastAsia"/>
          <w:color w:val="auto"/>
          <w:sz w:val="24"/>
          <w:szCs w:val="21"/>
        </w:rPr>
        <w:t>、任务安排流程</w:t>
      </w:r>
    </w:p>
    <w:p w14:paraId="6C40FD4A">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提供对防控工作的任务拆解流程配置管理，用户可以对应每个防控任务拆解为各个流程节点，并将每个节点关联至对应的任务细项。任务细项可以直接在已配置的任务模板中选择，也可以创建新的任务项。</w:t>
      </w:r>
    </w:p>
    <w:p w14:paraId="208E4363">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2</w:t>
      </w:r>
      <w:r>
        <w:rPr>
          <w:rFonts w:hint="eastAsia" w:cs="Times New Roman" w:asciiTheme="majorEastAsia" w:hAnsiTheme="majorEastAsia" w:eastAsiaTheme="majorEastAsia"/>
          <w:color w:val="auto"/>
          <w:sz w:val="24"/>
          <w:szCs w:val="21"/>
        </w:rPr>
        <w:t>、任务反馈机制</w:t>
      </w:r>
    </w:p>
    <w:p w14:paraId="345077B0">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任务反馈机制配置对应节点的反馈对象与需提交的内容，在任务的执行过程中，需要根据配置的反馈节点进行结果的反馈。</w:t>
      </w:r>
    </w:p>
    <w:p w14:paraId="4CF87714">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3</w:t>
      </w:r>
      <w:r>
        <w:rPr>
          <w:rFonts w:hint="eastAsia" w:cs="Times New Roman" w:asciiTheme="majorEastAsia" w:hAnsiTheme="majorEastAsia" w:eastAsiaTheme="majorEastAsia"/>
          <w:color w:val="auto"/>
          <w:sz w:val="24"/>
          <w:szCs w:val="21"/>
        </w:rPr>
        <w:t>、资源准备</w:t>
      </w:r>
    </w:p>
    <w:p w14:paraId="79E6E3FC">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资源准备主要提供每个任务节点调度的资源关联项，包括资源的类型、数量、使用工作等内容的配置。</w:t>
      </w:r>
    </w:p>
    <w:p w14:paraId="0649251E">
      <w:pPr>
        <w:pStyle w:val="8"/>
        <w:numPr>
          <w:ilvl w:val="5"/>
          <w:numId w:val="38"/>
        </w:numPr>
        <w:spacing w:line="240" w:lineRule="auto"/>
        <w:rPr>
          <w:color w:val="auto"/>
        </w:rPr>
      </w:pPr>
      <w:r>
        <w:rPr>
          <w:rFonts w:hint="eastAsia"/>
          <w:color w:val="auto"/>
        </w:rPr>
        <w:t>任务安排管理</w:t>
      </w:r>
    </w:p>
    <w:p w14:paraId="18412EB9">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实现各个主管单位的防控任务安排管理，包括任务的创建，任务分配及任务通知等管理功能。</w:t>
      </w:r>
    </w:p>
    <w:p w14:paraId="013F0C6A">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1</w:t>
      </w:r>
      <w:r>
        <w:rPr>
          <w:rFonts w:hint="eastAsia" w:cs="Times New Roman" w:asciiTheme="majorEastAsia" w:hAnsiTheme="majorEastAsia" w:eastAsiaTheme="majorEastAsia"/>
          <w:color w:val="auto"/>
          <w:sz w:val="24"/>
          <w:szCs w:val="21"/>
        </w:rPr>
        <w:t>、任务创建</w:t>
      </w:r>
    </w:p>
    <w:p w14:paraId="3BE5BC66">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各级主管机关用户可以选择任务模板、任务预案或重新创建任务来进行工作任务的安排，包括日常治安防控、防台防汛、风险隐患排查及应急宣传教育等各类防控任务，在确认任务的创建后将继续进入任务的分配操作。</w:t>
      </w:r>
    </w:p>
    <w:p w14:paraId="3F184F14">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2</w:t>
      </w:r>
      <w:r>
        <w:rPr>
          <w:rFonts w:hint="eastAsia" w:cs="Times New Roman" w:asciiTheme="majorEastAsia" w:hAnsiTheme="majorEastAsia" w:eastAsiaTheme="majorEastAsia"/>
          <w:color w:val="auto"/>
          <w:sz w:val="24"/>
          <w:szCs w:val="21"/>
        </w:rPr>
        <w:t>、任务分配</w:t>
      </w:r>
    </w:p>
    <w:p w14:paraId="42A58572">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在完成工作任务的创建后，管理人员可以进行任务对象的分配，包括分配的部门、人员等内容编辑，分配对象可以多选。</w:t>
      </w:r>
    </w:p>
    <w:p w14:paraId="42BCE6E2">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3</w:t>
      </w:r>
      <w:r>
        <w:rPr>
          <w:rFonts w:hint="eastAsia" w:cs="Times New Roman" w:asciiTheme="majorEastAsia" w:hAnsiTheme="majorEastAsia" w:eastAsiaTheme="majorEastAsia"/>
          <w:color w:val="auto"/>
          <w:sz w:val="24"/>
          <w:szCs w:val="21"/>
        </w:rPr>
        <w:t>、任务通知</w:t>
      </w:r>
    </w:p>
    <w:p w14:paraId="4B823413">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任务分配后，系统将根据任务分配的对象进行短信及移动端的自动通知。</w:t>
      </w:r>
    </w:p>
    <w:p w14:paraId="79283940">
      <w:pPr>
        <w:pStyle w:val="8"/>
        <w:numPr>
          <w:ilvl w:val="5"/>
          <w:numId w:val="38"/>
        </w:numPr>
        <w:spacing w:line="240" w:lineRule="auto"/>
        <w:rPr>
          <w:color w:val="auto"/>
        </w:rPr>
      </w:pPr>
      <w:r>
        <w:rPr>
          <w:rFonts w:hint="eastAsia"/>
          <w:color w:val="auto"/>
        </w:rPr>
        <w:t>任务反馈跟踪</w:t>
      </w:r>
    </w:p>
    <w:p w14:paraId="50A7A6AC">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实现防控任务反馈跟踪管理，各个责任部门及行业网格员通过平台或移动应用终端，及时反馈任务进度及进展情况。</w:t>
      </w:r>
    </w:p>
    <w:p w14:paraId="08703AE4">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1</w:t>
      </w:r>
      <w:r>
        <w:rPr>
          <w:rFonts w:hint="eastAsia" w:cs="Times New Roman" w:asciiTheme="majorEastAsia" w:hAnsiTheme="majorEastAsia" w:eastAsiaTheme="majorEastAsia"/>
          <w:color w:val="auto"/>
          <w:sz w:val="24"/>
          <w:szCs w:val="21"/>
        </w:rPr>
        <w:t>、任务反馈</w:t>
      </w:r>
    </w:p>
    <w:p w14:paraId="78EB6BC0">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提供平台端与移动端的任务反馈情况填报功能，用户通过选择对应任务的反馈功能，以表单形式填报对应的情况信息，并能够以附件形式将照片、文档等内容进行上传，使指挥中心人员和后续任务人员接收到任务的处置结果情况。</w:t>
      </w:r>
    </w:p>
    <w:p w14:paraId="03F4F43B">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2</w:t>
      </w:r>
      <w:r>
        <w:rPr>
          <w:rFonts w:hint="eastAsia" w:cs="Times New Roman" w:asciiTheme="majorEastAsia" w:hAnsiTheme="majorEastAsia" w:eastAsiaTheme="majorEastAsia"/>
          <w:color w:val="auto"/>
          <w:sz w:val="24"/>
          <w:szCs w:val="21"/>
        </w:rPr>
        <w:t>、任务追踪</w:t>
      </w:r>
    </w:p>
    <w:p w14:paraId="05EC6905">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平台基于</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电子地图对各项任务工作的进度进行统一展示，并以不同的图标颜色反馈各项任务工作的进度。点击对应的任务图标可以调阅任务的详细进度情况，包括任务内容、任务时间、任务负责人、完成情况等内容，使指挥中心的管理人员能够快速掌握各个工作任务的进度。</w:t>
      </w:r>
    </w:p>
    <w:p w14:paraId="420D3341">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3</w:t>
      </w:r>
      <w:r>
        <w:rPr>
          <w:rFonts w:hint="eastAsia" w:cs="Times New Roman" w:asciiTheme="majorEastAsia" w:hAnsiTheme="majorEastAsia" w:eastAsiaTheme="majorEastAsia"/>
          <w:color w:val="auto"/>
          <w:sz w:val="24"/>
          <w:szCs w:val="21"/>
        </w:rPr>
        <w:t>、任务监督</w:t>
      </w:r>
    </w:p>
    <w:p w14:paraId="428A1DD1">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系统对还未完成的任务以列表形式单独展示，并为监督人员提供提醒功能，能够通过短信、语音等方式对相关责任部门、人员进行提醒信息发送，保障任务能够按流程节点完成。</w:t>
      </w:r>
    </w:p>
    <w:p w14:paraId="78CB5A25">
      <w:pPr>
        <w:pStyle w:val="8"/>
        <w:numPr>
          <w:ilvl w:val="5"/>
          <w:numId w:val="38"/>
        </w:numPr>
        <w:spacing w:line="240" w:lineRule="auto"/>
        <w:rPr>
          <w:color w:val="auto"/>
        </w:rPr>
      </w:pPr>
      <w:r>
        <w:rPr>
          <w:rFonts w:hint="eastAsia"/>
          <w:color w:val="auto"/>
        </w:rPr>
        <w:t>统计分析管理</w:t>
      </w:r>
    </w:p>
    <w:p w14:paraId="11F3DADC">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实现分类型、多维度的对防控任务进行统计分析管理，通过对防控任务的统计分析，直观反映防控任务事件的任务类型、分布区域、处置效率，为任务事件的人员调配和任务安排的指挥调度决策提供数据支撑。</w:t>
      </w:r>
    </w:p>
    <w:p w14:paraId="4B981E5D">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1</w:t>
      </w:r>
      <w:r>
        <w:rPr>
          <w:rFonts w:hint="eastAsia" w:cs="Times New Roman" w:asciiTheme="majorEastAsia" w:hAnsiTheme="majorEastAsia" w:eastAsiaTheme="majorEastAsia"/>
          <w:color w:val="auto"/>
          <w:sz w:val="24"/>
          <w:szCs w:val="21"/>
        </w:rPr>
        <w:t>、任务类型统计分析</w:t>
      </w:r>
    </w:p>
    <w:p w14:paraId="35922407">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以任务类型作为统计分析的维度，分析各类防控任务完成情况，如日常治安防控、防台防汛、风险隐患排查等任务的派发情况，为相关责任部门在人员调配上提供相应的数据依据。支持以柱状图、饼状图等分析进行分析显示，并支持在</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地图上对任务类型统计数据进行叠加展示。</w:t>
      </w:r>
    </w:p>
    <w:p w14:paraId="707C3556">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2</w:t>
      </w:r>
      <w:r>
        <w:rPr>
          <w:rFonts w:hint="eastAsia" w:cs="Times New Roman" w:asciiTheme="majorEastAsia" w:hAnsiTheme="majorEastAsia" w:eastAsiaTheme="majorEastAsia"/>
          <w:color w:val="auto"/>
          <w:sz w:val="24"/>
          <w:szCs w:val="21"/>
        </w:rPr>
        <w:t>、部门任务统计分析</w:t>
      </w:r>
    </w:p>
    <w:p w14:paraId="50F5D7AE">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以任务派发部门为统计对象，实现对相关责任部门接收的防控任务数量进行统计分析，可支持按任务接收时间、任务类型等不同维度进行统计分析。支持以柱状图、饼状图等分析进行分析显示，并支持在</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地图上对各部门任务统计数据进行叠加展示。</w:t>
      </w:r>
    </w:p>
    <w:p w14:paraId="200748D2">
      <w:pPr>
        <w:snapToGrid w:val="0"/>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3</w:t>
      </w:r>
      <w:r>
        <w:rPr>
          <w:rFonts w:hint="eastAsia" w:cs="Times New Roman" w:asciiTheme="majorEastAsia" w:hAnsiTheme="majorEastAsia" w:eastAsiaTheme="majorEastAsia"/>
          <w:color w:val="auto"/>
          <w:sz w:val="24"/>
          <w:szCs w:val="21"/>
        </w:rPr>
        <w:t>、分布区域统计分析</w:t>
      </w:r>
    </w:p>
    <w:p w14:paraId="3A47421D">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以任务分布区域为统计分析的维度，分析各个不同类型防控任务分布情况，如哪些区域的治安任务比较多，为相关责任部门的日常指挥协同提供相应的数据依据。</w:t>
      </w:r>
    </w:p>
    <w:p w14:paraId="201A0BD9">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系统实现防控任务区域分布分析，支持根据案件类型、发生日期等组合条件，统计分析该条件下各个区域的反馈任务分布情况。支持统计结果以柱状图、饼图及折线图等方式进行分析显示，支持以</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地图的方式展示各类案件在各个区域的分布情况。</w:t>
      </w:r>
    </w:p>
    <w:p w14:paraId="2DC418C6">
      <w:pPr>
        <w:pStyle w:val="7"/>
        <w:numPr>
          <w:ilvl w:val="4"/>
          <w:numId w:val="38"/>
        </w:numPr>
        <w:spacing w:line="240" w:lineRule="auto"/>
        <w:rPr>
          <w:color w:val="auto"/>
        </w:rPr>
      </w:pPr>
      <w:r>
        <w:rPr>
          <w:rFonts w:hint="eastAsia"/>
          <w:color w:val="auto"/>
        </w:rPr>
        <w:t>形势研判</w:t>
      </w:r>
    </w:p>
    <w:p w14:paraId="4505CC0C">
      <w:pPr>
        <w:snapToGrid w:val="0"/>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实现基于</w:t>
      </w:r>
      <w:r>
        <w:rPr>
          <w:rFonts w:cs="Times New Roman" w:asciiTheme="majorEastAsia" w:hAnsiTheme="majorEastAsia" w:eastAsiaTheme="majorEastAsia"/>
          <w:color w:val="auto"/>
          <w:sz w:val="24"/>
          <w:szCs w:val="21"/>
        </w:rPr>
        <w:t>GIS</w:t>
      </w:r>
      <w:r>
        <w:rPr>
          <w:rFonts w:hint="eastAsia" w:cs="Times New Roman" w:asciiTheme="majorEastAsia" w:hAnsiTheme="majorEastAsia" w:eastAsiaTheme="majorEastAsia"/>
          <w:color w:val="auto"/>
          <w:sz w:val="24"/>
          <w:szCs w:val="21"/>
        </w:rPr>
        <w:t>的防控形势研判分析，利用</w:t>
      </w:r>
      <w:r>
        <w:rPr>
          <w:rFonts w:cs="Times New Roman" w:asciiTheme="majorEastAsia" w:hAnsiTheme="majorEastAsia" w:eastAsiaTheme="majorEastAsia"/>
          <w:color w:val="auto"/>
          <w:sz w:val="24"/>
          <w:szCs w:val="21"/>
        </w:rPr>
        <w:t>12345</w:t>
      </w:r>
      <w:r>
        <w:rPr>
          <w:rFonts w:hint="eastAsia" w:cs="Times New Roman" w:asciiTheme="majorEastAsia" w:hAnsiTheme="majorEastAsia" w:eastAsiaTheme="majorEastAsia"/>
          <w:color w:val="auto"/>
          <w:sz w:val="24"/>
          <w:szCs w:val="21"/>
        </w:rPr>
        <w:t>服务事件来源及公安警情导入数据，通过对事件的研判分析，掌握辖区维稳及治安基本态势和事件热点，提供事件三高分析（高发类型、高发地段、高发时段）、预警、同环比分析、案件动态监测等功能，实时掌握本辖区事件热点及趋势，可以及时调整防控工作重心，有放矢的布置防控力量，合理利用防控资源，有效降低事件发生率，提升群众安全感满意度。</w:t>
      </w:r>
    </w:p>
    <w:p w14:paraId="2EA0178E">
      <w:pPr>
        <w:pStyle w:val="6"/>
        <w:numPr>
          <w:ilvl w:val="3"/>
          <w:numId w:val="38"/>
        </w:numPr>
        <w:spacing w:line="240" w:lineRule="auto"/>
        <w:rPr>
          <w:color w:val="auto"/>
        </w:rPr>
      </w:pPr>
      <w:r>
        <w:rPr>
          <w:rFonts w:hint="eastAsia"/>
          <w:color w:val="auto"/>
        </w:rPr>
        <w:t>应急指挥调度</w:t>
      </w:r>
    </w:p>
    <w:p w14:paraId="74B11D8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基于e福州综合指挥平台，升级实现突发事件处置的全过程联动指挥管理，能够调用组织公安、消防、急救、交警、城建等多部门、多行业、多层次的应急力量和信息资源，实现对突发事件处置全过程的跟踪、指挥，快速、及时、准确地收集到应急信息，为政府的科学决策提供有效的信息支持。</w:t>
      </w:r>
    </w:p>
    <w:p w14:paraId="37B40970">
      <w:pPr>
        <w:pStyle w:val="7"/>
        <w:numPr>
          <w:ilvl w:val="4"/>
          <w:numId w:val="38"/>
        </w:numPr>
        <w:spacing w:line="240" w:lineRule="auto"/>
        <w:rPr>
          <w:color w:val="auto"/>
        </w:rPr>
      </w:pPr>
      <w:bookmarkStart w:id="147" w:name="_Toc471823918"/>
      <w:bookmarkStart w:id="148" w:name="_Toc472071565"/>
      <w:bookmarkStart w:id="149" w:name="_Toc472071033"/>
      <w:r>
        <w:rPr>
          <w:rFonts w:hint="eastAsia"/>
          <w:color w:val="auto"/>
        </w:rPr>
        <w:t>应急值班值守</w:t>
      </w:r>
      <w:bookmarkEnd w:id="147"/>
      <w:bookmarkEnd w:id="148"/>
      <w:bookmarkEnd w:id="149"/>
    </w:p>
    <w:p w14:paraId="1BE1EF72">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实现市、区县两级政府部门及各应急单位部门的综合应急值班值守管理，落实值班表及24小时值班制度，密切关注预测预警信息及突发事件的情况，及时上报、果断处置，保证信息联络及时、畅通。</w:t>
      </w:r>
    </w:p>
    <w:p w14:paraId="171AB9F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 xml:space="preserve">应急值守管理子系统主要实现应急值班日常管理、事件接报处理及应急模拟演练等，包括应急值班日常管理及应急突发事件上报及接收、审核、定级等功能。应急值守管理系统提供应急部门日常值班所需的功能，主要包括事件接报、值班日志、值班表等，满足应急管理办公室日常值班业务的需要，将提高日常值班工作效率、降低日常值班工作复杂度为主要目标。 </w:t>
      </w:r>
    </w:p>
    <w:p w14:paraId="3D8683EC">
      <w:pPr>
        <w:pStyle w:val="8"/>
        <w:numPr>
          <w:ilvl w:val="5"/>
          <w:numId w:val="38"/>
        </w:numPr>
        <w:spacing w:line="240" w:lineRule="auto"/>
        <w:rPr>
          <w:color w:val="auto"/>
        </w:rPr>
      </w:pPr>
      <w:r>
        <w:rPr>
          <w:rFonts w:hint="eastAsia"/>
          <w:color w:val="auto"/>
        </w:rPr>
        <w:t>事件接报管理</w:t>
      </w:r>
    </w:p>
    <w:p w14:paraId="14F8AB73">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实现各部门值班人员将接报的突发事件信息进行填写并根据审核流程逐级上报，实现各流程环节部门负责人的事件审核确认管理。</w:t>
      </w:r>
    </w:p>
    <w:p w14:paraId="6FE2F05C">
      <w:pPr>
        <w:pStyle w:val="3"/>
        <w:numPr>
          <w:ilvl w:val="6"/>
          <w:numId w:val="38"/>
        </w:numPr>
        <w:spacing w:before="0" w:after="0" w:line="240" w:lineRule="auto"/>
        <w:ind w:left="322" w:firstLine="561"/>
        <w:rPr>
          <w:rFonts w:asciiTheme="majorEastAsia" w:hAnsiTheme="majorEastAsia" w:eastAsiaTheme="majorEastAsia"/>
          <w:color w:val="auto"/>
        </w:rPr>
      </w:pPr>
      <w:r>
        <w:rPr>
          <w:rFonts w:hint="eastAsia" w:asciiTheme="majorEastAsia" w:hAnsiTheme="majorEastAsia" w:eastAsiaTheme="majorEastAsia"/>
          <w:color w:val="auto"/>
        </w:rPr>
        <w:t>事件信息上报</w:t>
      </w:r>
    </w:p>
    <w:p w14:paraId="11044B4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实现接报人对突发事件信息的填写，按照设定的上报流程逐级上报、续报事件相关情况，支持资料文档上传，支持图片及视频文件上传，并支持对事件发生的地点进行GIS定位。</w:t>
      </w:r>
    </w:p>
    <w:p w14:paraId="5FEA6F9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实现各渠道获取的突发公共事件信息的录入和建档管理。</w:t>
      </w:r>
    </w:p>
    <w:p w14:paraId="3213090A">
      <w:pPr>
        <w:pStyle w:val="3"/>
        <w:numPr>
          <w:ilvl w:val="6"/>
          <w:numId w:val="38"/>
        </w:numPr>
        <w:spacing w:before="0" w:after="0" w:line="240" w:lineRule="auto"/>
        <w:ind w:left="322" w:firstLine="561"/>
        <w:rPr>
          <w:rFonts w:asciiTheme="majorEastAsia" w:hAnsiTheme="majorEastAsia" w:eastAsiaTheme="majorEastAsia"/>
          <w:color w:val="auto"/>
        </w:rPr>
      </w:pPr>
      <w:r>
        <w:rPr>
          <w:rFonts w:hint="eastAsia" w:asciiTheme="majorEastAsia" w:hAnsiTheme="majorEastAsia" w:eastAsiaTheme="majorEastAsia"/>
          <w:color w:val="auto"/>
        </w:rPr>
        <w:t>突发事件核实</w:t>
      </w:r>
    </w:p>
    <w:p w14:paraId="2DB06A2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应急值守人员接到事件后，可通过电话问询事件上报人员或现场附近的巡查人员，可通过浏览视频监控图像等方式，对突发事件发生信息进行核实，避免因为设备误操作、机器故障、恶意电话等造成的盲目出警。</w:t>
      </w:r>
    </w:p>
    <w:p w14:paraId="6F6A28D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在事件核实后，通过事件状态位的设置，将接报事件确定为核实状态，并记录突发事件信息。</w:t>
      </w:r>
    </w:p>
    <w:p w14:paraId="3DDBBC79">
      <w:pPr>
        <w:pStyle w:val="3"/>
        <w:numPr>
          <w:ilvl w:val="6"/>
          <w:numId w:val="38"/>
        </w:numPr>
        <w:spacing w:before="0" w:after="0" w:line="240" w:lineRule="auto"/>
        <w:ind w:left="322" w:firstLine="561"/>
        <w:rPr>
          <w:rFonts w:asciiTheme="majorEastAsia" w:hAnsiTheme="majorEastAsia" w:eastAsiaTheme="majorEastAsia"/>
          <w:color w:val="auto"/>
        </w:rPr>
      </w:pPr>
      <w:r>
        <w:rPr>
          <w:rFonts w:hint="eastAsia" w:asciiTheme="majorEastAsia" w:hAnsiTheme="majorEastAsia" w:eastAsiaTheme="majorEastAsia"/>
          <w:color w:val="auto"/>
        </w:rPr>
        <w:t>突发事件定位</w:t>
      </w:r>
    </w:p>
    <w:p w14:paraId="250B379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事件接报后，应急值守人员可通过报警电话、移动终端定位及监控视频等获取的事件位置信息、以GIS地图为基础，实现突发事件在GIS地图上的具体位置定位标注，支持以红色警灯方式显示，并可呈现出动画效果。</w:t>
      </w:r>
    </w:p>
    <w:p w14:paraId="07118E0C">
      <w:pPr>
        <w:pStyle w:val="3"/>
        <w:numPr>
          <w:ilvl w:val="6"/>
          <w:numId w:val="38"/>
        </w:numPr>
        <w:spacing w:before="0" w:after="0" w:line="240" w:lineRule="auto"/>
        <w:ind w:left="322" w:firstLine="561"/>
        <w:rPr>
          <w:rFonts w:asciiTheme="majorEastAsia" w:hAnsiTheme="majorEastAsia" w:eastAsiaTheme="majorEastAsia"/>
          <w:color w:val="auto"/>
        </w:rPr>
      </w:pPr>
      <w:r>
        <w:rPr>
          <w:rFonts w:hint="eastAsia" w:asciiTheme="majorEastAsia" w:hAnsiTheme="majorEastAsia" w:eastAsiaTheme="majorEastAsia"/>
          <w:color w:val="auto"/>
        </w:rPr>
        <w:t>突发事件归并</w:t>
      </w:r>
    </w:p>
    <w:p w14:paraId="3A28B8A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突发事件发生后一段时间内，应急值守人员可陆续接到多个人对于同一突发事件的上报，经事件核实、事件定位后，应及时进行多个上报记录的信息归并，即实现同一突发事件多条接报记录编号的关联，以免对同一突发事件的多条接报记录造成事件记录的混乱和难以管理。</w:t>
      </w:r>
    </w:p>
    <w:p w14:paraId="214D3A2A">
      <w:pPr>
        <w:pStyle w:val="3"/>
        <w:numPr>
          <w:ilvl w:val="6"/>
          <w:numId w:val="38"/>
        </w:numPr>
        <w:spacing w:before="0" w:after="0" w:line="240" w:lineRule="auto"/>
        <w:ind w:left="322" w:firstLine="561"/>
        <w:rPr>
          <w:rFonts w:asciiTheme="majorEastAsia" w:hAnsiTheme="majorEastAsia" w:eastAsiaTheme="majorEastAsia"/>
          <w:color w:val="auto"/>
        </w:rPr>
      </w:pPr>
      <w:r>
        <w:rPr>
          <w:rFonts w:hint="eastAsia" w:asciiTheme="majorEastAsia" w:hAnsiTheme="majorEastAsia" w:eastAsiaTheme="majorEastAsia"/>
          <w:color w:val="auto"/>
        </w:rPr>
        <w:t>信息审核管理</w:t>
      </w:r>
    </w:p>
    <w:p w14:paraId="74B0BE5A">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实现突发事件的审核管理功能，系统提供对上报的事件信息进行审核确认的功能，包括对上报的事件信息进行回退、继续上报等操作，并保存当前操作的审批意见。</w:t>
      </w:r>
    </w:p>
    <w:p w14:paraId="2058CC6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·根据突发事件的级别及严重程度等信息，及时将突发事件报送给上级部门及相关领导。</w:t>
      </w:r>
    </w:p>
    <w:p w14:paraId="17DE830C">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1、报送模板管理</w:t>
      </w:r>
    </w:p>
    <w:p w14:paraId="411310A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系统可根据上级政府主管部门、上级交通主管部门制定的突发事件信息报送制度，实现各类报送模板的管理。</w:t>
      </w:r>
    </w:p>
    <w:p w14:paraId="1E81B56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2、报送对象管理</w:t>
      </w:r>
    </w:p>
    <w:p w14:paraId="71733A32">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根据上级政府主管部门制定的突发事件信息报送制度，实现各类突发事件信息的分级、分部门报送，且报送方式由下而上。</w:t>
      </w:r>
    </w:p>
    <w:p w14:paraId="18FE35B0">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3、报送流程定义</w:t>
      </w:r>
    </w:p>
    <w:p w14:paraId="30513DDA">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实现信息报送流程的定义、修改等功能。</w:t>
      </w:r>
    </w:p>
    <w:p w14:paraId="0974A28C">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4、报送信息编辑</w:t>
      </w:r>
    </w:p>
    <w:p w14:paraId="74F7F11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根据报送信息类别、报送级别，选择不同的信息报送模板，实现报送信息的编辑，模板选择标准见“报送模板管理”的“适用报送信息类型、适用报送对象”定义。</w:t>
      </w:r>
    </w:p>
    <w:p w14:paraId="03DFEC3D">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5、报送管理</w:t>
      </w:r>
    </w:p>
    <w:p w14:paraId="185427F3">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根据不同信息的报送对象要求差异和报送渠道建设情况，选择报送方式，包括：电话、传真或数据接口等。</w:t>
      </w:r>
    </w:p>
    <w:p w14:paraId="0006BB38">
      <w:pPr>
        <w:pStyle w:val="8"/>
        <w:numPr>
          <w:ilvl w:val="5"/>
          <w:numId w:val="38"/>
        </w:numPr>
        <w:spacing w:line="240" w:lineRule="auto"/>
        <w:rPr>
          <w:color w:val="auto"/>
        </w:rPr>
      </w:pPr>
      <w:r>
        <w:rPr>
          <w:rFonts w:hint="eastAsia"/>
          <w:color w:val="auto"/>
        </w:rPr>
        <w:t>值守通信调度管理</w:t>
      </w:r>
    </w:p>
    <w:p w14:paraId="28525666">
      <w:pPr>
        <w:pStyle w:val="3"/>
        <w:numPr>
          <w:ilvl w:val="6"/>
          <w:numId w:val="38"/>
        </w:numPr>
        <w:spacing w:line="240" w:lineRule="auto"/>
        <w:ind w:firstLine="560"/>
        <w:rPr>
          <w:rFonts w:asciiTheme="majorEastAsia" w:hAnsiTheme="majorEastAsia" w:eastAsiaTheme="majorEastAsia"/>
          <w:color w:val="auto"/>
        </w:rPr>
      </w:pPr>
      <w:r>
        <w:rPr>
          <w:rFonts w:hint="eastAsia" w:asciiTheme="majorEastAsia" w:hAnsiTheme="majorEastAsia" w:eastAsiaTheme="majorEastAsia"/>
          <w:color w:val="auto"/>
        </w:rPr>
        <w:t>通讯录管理</w:t>
      </w:r>
    </w:p>
    <w:p w14:paraId="4C0CFF8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实现城市各联动部门应急负责领导人员、工作人员信息及各种联系方式管理功能，方便应急事件发生时及时联系。</w:t>
      </w:r>
    </w:p>
    <w:p w14:paraId="4E04316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1、用户组管理</w:t>
      </w:r>
    </w:p>
    <w:p w14:paraId="7350D81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组的维护主要是提供给通讯录管理使用，系统组与通讯录人员是多对多的关系，即一个组可拥有多个通讯录人员，反之也是可行。一般只是市应急办（最高部门单位）才有此功能权限，设置提供给本级和下级部门单位使用。系统组包括以下内容：序号、名称、维护单位、默认通讯方式。</w:t>
      </w:r>
    </w:p>
    <w:p w14:paraId="1713CEE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2、通讯录管理</w:t>
      </w:r>
    </w:p>
    <w:p w14:paraId="0BAA6B0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在通讯录的左侧是通讯录的分组树，用户点击分组树的相应节点可以查找该分组下的联系人，并在右侧显示。另外，在树的上部是三个按钮，用户添加按钮可以实时进行用户组的添加。在选中某个用户组之后点击编辑或者删除按钮可以进行相应的编辑或删除操作，达到管理操作用户组的管理。</w:t>
      </w:r>
    </w:p>
    <w:p w14:paraId="161AAF1E">
      <w:pPr>
        <w:pStyle w:val="3"/>
        <w:numPr>
          <w:ilvl w:val="6"/>
          <w:numId w:val="38"/>
        </w:numPr>
        <w:spacing w:line="240" w:lineRule="auto"/>
        <w:ind w:firstLine="560"/>
        <w:rPr>
          <w:rFonts w:asciiTheme="majorEastAsia" w:hAnsiTheme="majorEastAsia" w:eastAsiaTheme="majorEastAsia"/>
          <w:color w:val="auto"/>
        </w:rPr>
      </w:pPr>
      <w:r>
        <w:rPr>
          <w:rFonts w:hint="eastAsia" w:asciiTheme="majorEastAsia" w:hAnsiTheme="majorEastAsia" w:eastAsiaTheme="majorEastAsia"/>
          <w:color w:val="auto"/>
        </w:rPr>
        <w:t>短信通知管理</w:t>
      </w:r>
    </w:p>
    <w:p w14:paraId="1C7B4A6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实现系统短信发送与通知管理功能，实现管理人员可根据通讯录或联系电话直接发送手机短信通知管理功能，满足政府机关日常信息沟通与相关短消息的及时通知管理需求。</w:t>
      </w:r>
    </w:p>
    <w:p w14:paraId="41771EFF">
      <w:pPr>
        <w:pStyle w:val="3"/>
        <w:numPr>
          <w:ilvl w:val="6"/>
          <w:numId w:val="38"/>
        </w:numPr>
        <w:spacing w:line="240" w:lineRule="auto"/>
        <w:ind w:firstLine="560"/>
        <w:rPr>
          <w:rFonts w:asciiTheme="majorEastAsia" w:hAnsiTheme="majorEastAsia" w:eastAsiaTheme="majorEastAsia"/>
          <w:color w:val="auto"/>
        </w:rPr>
      </w:pPr>
      <w:r>
        <w:rPr>
          <w:rFonts w:hint="eastAsia" w:asciiTheme="majorEastAsia" w:hAnsiTheme="majorEastAsia" w:eastAsiaTheme="majorEastAsia"/>
          <w:color w:val="auto"/>
        </w:rPr>
        <w:t>传真管理</w:t>
      </w:r>
    </w:p>
    <w:p w14:paraId="3AD13A1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各级政府部门日常值班值守及突发处置的传真档案融合调度管理功能，实现应急数据材料包括管辖区域应急整体情况态势、应急信息通知、突发事件过程态势、事件评估及日常值守等信息材料与应急通讯录各联动部门传真的融合调度管理，满足应急业务系统传真信息领导汇报及通知发布的材料电子化档案管理需求。</w:t>
      </w:r>
    </w:p>
    <w:p w14:paraId="2EBB843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1、传真发送及接收</w:t>
      </w:r>
    </w:p>
    <w:p w14:paraId="3F53D452">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系统实现应急业务系统各类应急信息的传真信息发布、日常值守传真接收、传真发送等应用功能。</w:t>
      </w:r>
    </w:p>
    <w:p w14:paraId="05173B13">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2、传真归档及索引</w:t>
      </w:r>
    </w:p>
    <w:p w14:paraId="3B287E29">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系统实现传真文件材料的数据萃取、索引、归档与检索、文档管理、记录管理等功能，支持以可靠的方式处理信息，实现电子文档的精确存储和处理。</w:t>
      </w:r>
    </w:p>
    <w:p w14:paraId="68376F4A">
      <w:pPr>
        <w:pStyle w:val="3"/>
        <w:numPr>
          <w:ilvl w:val="6"/>
          <w:numId w:val="38"/>
        </w:numPr>
        <w:spacing w:line="240" w:lineRule="auto"/>
        <w:ind w:firstLine="560"/>
        <w:rPr>
          <w:rFonts w:asciiTheme="majorEastAsia" w:hAnsiTheme="majorEastAsia" w:eastAsiaTheme="majorEastAsia"/>
          <w:color w:val="auto"/>
        </w:rPr>
      </w:pPr>
      <w:r>
        <w:rPr>
          <w:rFonts w:hint="eastAsia" w:asciiTheme="majorEastAsia" w:hAnsiTheme="majorEastAsia" w:eastAsiaTheme="majorEastAsia"/>
          <w:color w:val="auto"/>
        </w:rPr>
        <w:t>语音调度管理</w:t>
      </w:r>
    </w:p>
    <w:p w14:paraId="5FA1F16A">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系统的语音电话实时调度管理功能，实现用户在WEB系统上根据通讯录或人员联系电话直接拔打相应人员的语音电话管理功能，满足日常沟通及应急指挥调度时的及时语音调度管理功能，系统支持普通电话、IP电话及移动电话的统一WEB调度接入管理。</w:t>
      </w:r>
    </w:p>
    <w:p w14:paraId="2CE9A264">
      <w:pPr>
        <w:pStyle w:val="7"/>
        <w:numPr>
          <w:ilvl w:val="4"/>
          <w:numId w:val="38"/>
        </w:numPr>
        <w:spacing w:line="240" w:lineRule="auto"/>
        <w:rPr>
          <w:color w:val="auto"/>
        </w:rPr>
      </w:pPr>
      <w:bookmarkStart w:id="150" w:name="_Toc471823921"/>
      <w:bookmarkStart w:id="151" w:name="_Toc472071568"/>
      <w:bookmarkStart w:id="152" w:name="_Toc472071036"/>
      <w:r>
        <w:rPr>
          <w:rFonts w:hint="eastAsia"/>
          <w:color w:val="auto"/>
        </w:rPr>
        <w:t>预案数字化</w:t>
      </w:r>
      <w:bookmarkEnd w:id="150"/>
      <w:bookmarkEnd w:id="151"/>
      <w:bookmarkEnd w:id="152"/>
    </w:p>
    <w:p w14:paraId="1F7B5C6D">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市、区县两级各个政府及行业部门的应急预案数据化管理功能。应急预案数字化管理包括应急预案的制作处理、维护、数字预案生成管理及发生突发事件时的预案智能选择等管理功能，为应急指挥决策者提供决策依据。系统根据“事件报告”和各方面的综合情况确定事件是否需要启动相关预案，支持对一般事件提供处警建议，对重大紧急事件提供处置预案支持。</w:t>
      </w:r>
    </w:p>
    <w:p w14:paraId="290C1DE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应急预案由公共安全总体应急预案、各职能部门专项应急预案组成，其中各职能部门专项预案又可分为自然灾害类事件应急预案、事故灾害类事件应急预案、公共卫生类事件应急预案以及社会安全类事件应急预案。</w:t>
      </w:r>
    </w:p>
    <w:p w14:paraId="29082154">
      <w:pPr>
        <w:pStyle w:val="12"/>
        <w:spacing w:line="240" w:lineRule="auto"/>
        <w:ind w:firstLine="480"/>
        <w:rPr>
          <w:rFonts w:asciiTheme="majorEastAsia" w:hAnsiTheme="majorEastAsia" w:eastAsiaTheme="majorEastAsia" w:cstheme="minorBidi"/>
          <w:color w:val="auto"/>
        </w:rPr>
      </w:pPr>
      <w:r>
        <w:rPr>
          <w:rFonts w:asciiTheme="majorEastAsia" w:hAnsiTheme="majorEastAsia" w:eastAsiaTheme="majorEastAsia" w:cstheme="minorBidi"/>
          <w:color w:val="auto"/>
        </w:rPr>
        <w:pict>
          <v:shape id="_x0000_i1027" o:spt="75" type="#_x0000_t75" style="height:276pt;width:414pt;" filled="f" o:preferrelative="t" stroked="f" coordsize="21600,21600">
            <v:path/>
            <v:fill on="f" focussize="0,0"/>
            <v:stroke on="f" joinstyle="miter"/>
            <v:imagedata r:id="rId51" o:title=""/>
            <o:lock v:ext="edit" aspectratio="t"/>
            <w10:wrap type="none"/>
            <w10:anchorlock/>
          </v:shape>
        </w:pict>
      </w:r>
    </w:p>
    <w:p w14:paraId="7D47D9C7">
      <w:pPr>
        <w:ind w:firstLine="420" w:firstLineChars="200"/>
        <w:jc w:val="center"/>
        <w:rPr>
          <w:rFonts w:ascii="Times New Roman" w:hAnsi="Times New Roman" w:eastAsia="宋体" w:cs="Times New Roman"/>
          <w:color w:val="auto"/>
          <w:sz w:val="24"/>
          <w:szCs w:val="21"/>
        </w:rPr>
      </w:pPr>
      <w:r>
        <w:rPr>
          <w:rFonts w:hint="eastAsia"/>
          <w:color w:val="auto"/>
        </w:rPr>
        <w:t xml:space="preserve"> </w:t>
      </w:r>
      <w:bookmarkStart w:id="153" w:name="_Toc22911"/>
      <w:r>
        <w:rPr>
          <w:rFonts w:hint="eastAsia" w:asciiTheme="majorEastAsia" w:hAnsiTheme="majorEastAsia" w:eastAsiaTheme="majorEastAsia"/>
          <w:color w:val="auto"/>
        </w:rPr>
        <w:t>应急预案分类</w:t>
      </w:r>
      <w:bookmarkEnd w:id="153"/>
      <w:r>
        <w:rPr>
          <w:rFonts w:hint="eastAsia" w:cs="Times New Roman" w:asciiTheme="majorEastAsia" w:hAnsiTheme="majorEastAsia" w:eastAsiaTheme="majorEastAsia"/>
          <w:color w:val="auto"/>
          <w:sz w:val="24"/>
          <w:szCs w:val="21"/>
        </w:rPr>
        <w:t>示意</w:t>
      </w:r>
      <w:r>
        <w:rPr>
          <w:rFonts w:hint="eastAsia" w:ascii="Times New Roman" w:hAnsi="Times New Roman" w:eastAsia="宋体" w:cs="Times New Roman"/>
          <w:color w:val="auto"/>
          <w:sz w:val="24"/>
          <w:szCs w:val="21"/>
        </w:rPr>
        <w:t>图</w:t>
      </w:r>
    </w:p>
    <w:p w14:paraId="65D2A05C">
      <w:pPr>
        <w:pStyle w:val="12"/>
        <w:spacing w:line="240" w:lineRule="auto"/>
        <w:ind w:firstLine="480"/>
        <w:rPr>
          <w:rFonts w:asciiTheme="majorEastAsia" w:hAnsiTheme="majorEastAsia" w:eastAsiaTheme="majorEastAsia"/>
          <w:color w:val="auto"/>
        </w:rPr>
      </w:pPr>
    </w:p>
    <w:p w14:paraId="43B9E6A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根据应急的特定需要及应急分析决策需求，结合应急预案关联及响应模型，实现各应急预案的数据加工抽取，使分散的、不一致的操作数据转换成集成的、统一的信息。</w:t>
      </w:r>
    </w:p>
    <w:p w14:paraId="718C47BF">
      <w:pPr>
        <w:pStyle w:val="8"/>
        <w:numPr>
          <w:ilvl w:val="5"/>
          <w:numId w:val="38"/>
        </w:numPr>
        <w:spacing w:line="240" w:lineRule="auto"/>
        <w:rPr>
          <w:color w:val="auto"/>
        </w:rPr>
      </w:pPr>
      <w:bookmarkStart w:id="154" w:name="_Toc157011622"/>
      <w:r>
        <w:rPr>
          <w:rFonts w:hint="eastAsia"/>
          <w:color w:val="auto"/>
        </w:rPr>
        <w:t>预案制作</w:t>
      </w:r>
      <w:bookmarkEnd w:id="154"/>
    </w:p>
    <w:p w14:paraId="6D61651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预案的制作包括预案的分类管理、属性管理、体系目录的管理、预案元素的管理、预案模版的管理、预案的制作、预案的审核等过程。</w:t>
      </w:r>
    </w:p>
    <w:p w14:paraId="72BDA566">
      <w:pPr>
        <w:pStyle w:val="8"/>
        <w:numPr>
          <w:ilvl w:val="5"/>
          <w:numId w:val="38"/>
        </w:numPr>
        <w:spacing w:line="240" w:lineRule="auto"/>
        <w:rPr>
          <w:color w:val="auto"/>
        </w:rPr>
      </w:pPr>
      <w:bookmarkStart w:id="155" w:name="_Toc157011623"/>
      <w:r>
        <w:rPr>
          <w:rFonts w:hint="eastAsia"/>
          <w:color w:val="auto"/>
        </w:rPr>
        <w:t>预案管理</w:t>
      </w:r>
      <w:bookmarkEnd w:id="155"/>
    </w:p>
    <w:p w14:paraId="641EEBF0">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预案管理是实现重大、紧急等事件的预案制订系统，它提供了从预案征订，到预案编辑，到预案分析以及预案维护等预案征集并提出的全过程。</w:t>
      </w:r>
    </w:p>
    <w:p w14:paraId="2608351D">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值班人员通过对新类型事件处理预案的收集和制订，可以帮助在今后处理同类事件时，进一步认识事件的性质和重心，理清处理此类事件的步骤和过程，从而使值班员，尤其是对值班业务尚未熟识的新职员很快掌握业务内容和工作要领，最终高效地、妥善地和全面地处理好每一个事件。</w:t>
      </w:r>
    </w:p>
    <w:p w14:paraId="3A60E929">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预案管理模块由两个子模块组成：预案征订、预案维护。</w:t>
      </w:r>
    </w:p>
    <w:p w14:paraId="62E95F8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预案征订：定期向下属单位和相关委办局等单位发出预案征订通知，提出各级各类预案编写的要求，同时定期进行信息沟通和反馈。</w:t>
      </w:r>
    </w:p>
    <w:p w14:paraId="2DD71B2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预案维护：将各个单位编写的预案进行汇总和分析之后，形成完整的各类预案体系，归入应急资源库，在应急资源库中制定版本信息，发布等，且通过增加、修改、删除、查询，阅览等功能实现对每份预案的维护和管理。</w:t>
      </w:r>
    </w:p>
    <w:p w14:paraId="3D1067CD">
      <w:pPr>
        <w:pStyle w:val="8"/>
        <w:numPr>
          <w:ilvl w:val="5"/>
          <w:numId w:val="38"/>
        </w:numPr>
        <w:spacing w:line="240" w:lineRule="auto"/>
        <w:rPr>
          <w:color w:val="auto"/>
        </w:rPr>
      </w:pPr>
      <w:r>
        <w:rPr>
          <w:rFonts w:hint="eastAsia"/>
          <w:color w:val="auto"/>
        </w:rPr>
        <w:t>数字预案管理</w:t>
      </w:r>
    </w:p>
    <w:p w14:paraId="6CA84B9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数字预案是对文本预案中的程序步骤、措施、职责、协调等方面进行结构化处理后形成的可程序化执行预案。</w:t>
      </w:r>
    </w:p>
    <w:p w14:paraId="064CFDB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预案管理模块主要在文本预案的内容和基础上，采用结构化思想，将预案各个关键部分拆分为主题框架、特征框架，决策框架，在辨识和评估潜在的重大危险、事件类型、发生的可能性及发生过程、事件后果及影响严重程度的基础上，对应急机构与职责、人员、技术、装备、设施（备）、物资、救援行动及指挥与协调等方面预先做出的具体安排，它明确了在突发公共事件发生之前、发生过程中以及刚刚结束之后，谁负责做什么，何时做以及相应的策略和资源准备等。</w:t>
      </w:r>
    </w:p>
    <w:p w14:paraId="3B5F7E84">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主要功能包括：</w:t>
      </w:r>
    </w:p>
    <w:p w14:paraId="46073F30">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1、组织机构管理</w:t>
      </w:r>
    </w:p>
    <w:p w14:paraId="212E9A4C">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主要是对文本预案中指挥体系的管理。</w:t>
      </w:r>
    </w:p>
    <w:p w14:paraId="03043525">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主要功能包括对应急机构、应急人员的管理；具体功能包括增加、修改和删除操作。</w:t>
      </w:r>
    </w:p>
    <w:p w14:paraId="4265A86F">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2、应急流程管理</w:t>
      </w:r>
    </w:p>
    <w:p w14:paraId="4734A582">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主要是对文本预案中应急流程的管理。</w:t>
      </w:r>
    </w:p>
    <w:p w14:paraId="54880A98">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主要功能包括流程增加、流程修改和流程删除操作。</w:t>
      </w:r>
    </w:p>
    <w:p w14:paraId="742CD698">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3、应急任务管理</w:t>
      </w:r>
    </w:p>
    <w:p w14:paraId="6DFE0EAA">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主要是对每个组织所对应任务的管理；任务包括任务目的，任务执行地点，任务时间要求、任务内容、任务负责人和任务对应的相关行动数据等信息等，每个任务可包括子任务。</w:t>
      </w:r>
    </w:p>
    <w:p w14:paraId="3F6AA588">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主要功能包括任务增加、任务修改和任务删除操作。</w:t>
      </w:r>
    </w:p>
    <w:p w14:paraId="6BCC003B">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4、应急资源管理</w:t>
      </w:r>
    </w:p>
    <w:p w14:paraId="495F5935">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主要是对每个组织和任务需要的相关应急资源的管理；资源包括资源名称、资源类型、资源要求、资源数量、资源位置、资源联系方式等；方便在指挥调度的时候，及时准确的对其进行资源部署。</w:t>
      </w:r>
    </w:p>
    <w:p w14:paraId="7C4DC911">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主要功能包括资源增加、资源修改和资源删除操作。</w:t>
      </w:r>
    </w:p>
    <w:p w14:paraId="125905A8">
      <w:pPr>
        <w:pStyle w:val="8"/>
        <w:numPr>
          <w:ilvl w:val="5"/>
          <w:numId w:val="38"/>
        </w:numPr>
        <w:spacing w:line="240" w:lineRule="auto"/>
        <w:rPr>
          <w:color w:val="auto"/>
        </w:rPr>
      </w:pPr>
      <w:r>
        <w:rPr>
          <w:rFonts w:hint="eastAsia"/>
          <w:color w:val="auto"/>
        </w:rPr>
        <w:t>预案调度管理</w:t>
      </w:r>
    </w:p>
    <w:p w14:paraId="130D7A5C">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在突发事件应急过程中，根据突发事件的实时信息及事件发展趋势、影响区域等信息，自动检索及匹配已有的应急预案信息库，提供预案选择功能供决策者选择及使用。应急预案调度管理充分考虑突发事件发生时的相关信息，包括应急资源、应急物资、救援队伍、现场环境、事件地点、空间位置和事发时间等，根据预案将各项应急处置的任务落实到具体单位和人员，应急过程中可按此方案立即执行，同时可通过部门企业预案推动部门之间、企业之间联动、跨界联动实施应急指挥调度管理。</w:t>
      </w:r>
    </w:p>
    <w:p w14:paraId="78F67F5B">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1、预案匹配</w:t>
      </w:r>
    </w:p>
    <w:p w14:paraId="66294E6A">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根据突发事件的实时信息及事件发展趋势、影响区域等信息，系统自动检索及匹配已有的应急预案信息库，提供预案选择功能供决策者选择及使用。</w:t>
      </w:r>
    </w:p>
    <w:p w14:paraId="4EA97178">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2、任务匹配</w:t>
      </w:r>
    </w:p>
    <w:p w14:paraId="4824E942">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根据具体预案的任务分派要求，系统自动检索各个任务的匹配岗位及人员信息，同时提供方便快捷的任务安排管理功能，满足应急指挥决策者任务分派需求。</w:t>
      </w:r>
    </w:p>
    <w:p w14:paraId="5FC2B559">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3、联动调度</w:t>
      </w:r>
    </w:p>
    <w:p w14:paraId="60561B2A">
      <w:pPr>
        <w:ind w:firstLine="480" w:firstLineChars="200"/>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实现政府、部门、企业应急预案的联动调度管理，推动部门之间、企业之间联动、跨界联动。</w:t>
      </w:r>
    </w:p>
    <w:p w14:paraId="2832A1F2">
      <w:pPr>
        <w:pStyle w:val="8"/>
        <w:numPr>
          <w:ilvl w:val="5"/>
          <w:numId w:val="38"/>
        </w:numPr>
        <w:spacing w:line="240" w:lineRule="auto"/>
        <w:rPr>
          <w:color w:val="auto"/>
        </w:rPr>
      </w:pPr>
      <w:bookmarkStart w:id="156" w:name="_Toc157011624"/>
      <w:r>
        <w:rPr>
          <w:rFonts w:hint="eastAsia"/>
          <w:color w:val="auto"/>
        </w:rPr>
        <w:t>预案专家系统</w:t>
      </w:r>
      <w:bookmarkEnd w:id="156"/>
    </w:p>
    <w:p w14:paraId="7479DC0D">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专家系统通过范例推理CBR与规则推理RBR技术上的无缝结合，提供可视化的操作界面，提高预案生成速度。预案的生成与管理合一，既能根据事件的输入参数生成预案，又能在平时对预案库进行有效地管理。例如：删除过时的预案；根据预案执行反馈，修改预案。单个预案生成时间少于5秒。包括从紧急情况的接入到范例库的检索（或者专家系统的推理），再到预案的存储与派发。</w:t>
      </w:r>
    </w:p>
    <w:p w14:paraId="7D5121C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从工作流程上看，预案生成是从值班席记录突发事件的基本参数，然后根据情况查询预案库，看是否存在应急预案，如果有相应解决预案，则把预案以书面或者电子版面形式上报给主管领导。在没有预案的情况下，根据专家系统进行规则推理，得到模拟解决方案。对于成功解决实际问题的预案，在执行之后，给预案添加正面反馈评价；对于在解决实际问题表现较差的预案，根据反馈，及时修正预案。整个预案生成系统的工作流程如下图所示。</w:t>
      </w:r>
    </w:p>
    <w:p w14:paraId="18BDEB91">
      <w:pPr>
        <w:tabs>
          <w:tab w:val="left" w:pos="0"/>
        </w:tabs>
        <w:ind w:left="5" w:hanging="5"/>
        <w:rPr>
          <w:rFonts w:asciiTheme="majorEastAsia" w:hAnsiTheme="majorEastAsia" w:eastAsiaTheme="majorEastAsia"/>
          <w:color w:val="auto"/>
          <w:sz w:val="24"/>
        </w:rPr>
      </w:pPr>
      <w:r>
        <w:rPr>
          <w:rFonts w:hint="eastAsia" w:asciiTheme="majorEastAsia" w:hAnsiTheme="majorEastAsia" w:eastAsiaTheme="majorEastAsia"/>
          <w:color w:val="auto"/>
          <w:sz w:val="24"/>
        </w:rPr>
        <w:object>
          <v:shape id="_x0000_i1028" o:spt="75" type="#_x0000_t75" style="height:234pt;width:396pt;" o:ole="t" filled="f" o:preferrelative="t" stroked="f" coordsize="21600,21600">
            <v:path/>
            <v:fill on="f" focussize="0,0"/>
            <v:stroke on="f" joinstyle="miter"/>
            <v:imagedata r:id="rId53" o:title=""/>
            <o:lock v:ext="edit" aspectratio="t"/>
            <w10:wrap type="none"/>
            <w10:anchorlock/>
          </v:shape>
          <o:OLEObject Type="Embed" ProgID="Visio.Drawing.11" ShapeID="_x0000_i1028" DrawAspect="Content" ObjectID="_1468075725" r:id="rId52">
            <o:LockedField>false</o:LockedField>
          </o:OLEObject>
        </w:object>
      </w:r>
      <w:bookmarkStart w:id="157" w:name="_Toc128817784"/>
    </w:p>
    <w:p w14:paraId="1F15A5EF">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158" w:name="_Toc17596"/>
      <w:r>
        <w:rPr>
          <w:rFonts w:hint="eastAsia" w:cs="Times New Roman" w:asciiTheme="majorEastAsia" w:hAnsiTheme="majorEastAsia" w:eastAsiaTheme="majorEastAsia"/>
          <w:color w:val="auto"/>
          <w:sz w:val="24"/>
          <w:szCs w:val="21"/>
        </w:rPr>
        <w:t>预案生成系统工作流程</w:t>
      </w:r>
      <w:bookmarkEnd w:id="157"/>
      <w:bookmarkEnd w:id="158"/>
      <w:r>
        <w:rPr>
          <w:rFonts w:hint="eastAsia" w:cs="Times New Roman" w:asciiTheme="majorEastAsia" w:hAnsiTheme="majorEastAsia" w:eastAsiaTheme="majorEastAsia"/>
          <w:color w:val="auto"/>
          <w:sz w:val="24"/>
          <w:szCs w:val="21"/>
        </w:rPr>
        <w:t>示意</w:t>
      </w:r>
      <w:r>
        <w:rPr>
          <w:rFonts w:hint="eastAsia" w:ascii="Times New Roman" w:hAnsi="Times New Roman" w:eastAsia="宋体" w:cs="Times New Roman"/>
          <w:color w:val="auto"/>
          <w:sz w:val="24"/>
          <w:szCs w:val="21"/>
        </w:rPr>
        <w:t>图</w:t>
      </w:r>
    </w:p>
    <w:p w14:paraId="79F66B64">
      <w:pPr>
        <w:ind w:firstLine="480" w:firstLineChars="200"/>
        <w:jc w:val="center"/>
        <w:rPr>
          <w:rFonts w:cs="Times New Roman" w:asciiTheme="majorEastAsia" w:hAnsiTheme="majorEastAsia" w:eastAsiaTheme="majorEastAsia"/>
          <w:color w:val="auto"/>
          <w:sz w:val="24"/>
          <w:szCs w:val="21"/>
        </w:rPr>
      </w:pPr>
    </w:p>
    <w:p w14:paraId="309CF62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在工作流程分析的基础上，我们对整个系统细分成三个模块：用户模块、预案生成模块和预案管理模块。它的结构如图5－7所示。用户模块主要负责突发时间的信息显示，以及对CBR的检索/ RBR推理参数的设置。预案生成模块主要由两部分组成：CBR系统CbrSys与RBR系统OKPS。CBR系统根据当前情况的输入，检索数据库，查询是否存在类似案例。如果存在，则调用它的解决方案作为此次紧急情况的辅助决策。如果方案不存在或者存在的案例相似度非常低，则调用RBR系统进行通用规则推理，得到的结果一方面存在数据库中作为预案以备将来使用，另一方面显示给用户作为当前事件的辅助决策。</w:t>
      </w:r>
    </w:p>
    <w:p w14:paraId="71F14201">
      <w:pPr>
        <w:tabs>
          <w:tab w:val="left" w:pos="0"/>
        </w:tabs>
        <w:ind w:left="225" w:hanging="5"/>
        <w:jc w:val="center"/>
        <w:rPr>
          <w:rFonts w:cs="Times New Roman" w:asciiTheme="majorEastAsia" w:hAnsiTheme="majorEastAsia" w:eastAsiaTheme="majorEastAsia"/>
          <w:color w:val="auto"/>
          <w:sz w:val="24"/>
          <w:szCs w:val="21"/>
        </w:rPr>
      </w:pPr>
      <w:r>
        <w:rPr>
          <w:rFonts w:hint="eastAsia" w:asciiTheme="majorEastAsia" w:hAnsiTheme="majorEastAsia" w:eastAsiaTheme="majorEastAsia"/>
          <w:color w:val="auto"/>
          <w:sz w:val="24"/>
        </w:rPr>
        <w:object>
          <v:shape id="_x0000_i1029" o:spt="75" type="#_x0000_t75" style="height:162pt;width:264pt;" o:ole="t" filled="f" o:preferrelative="t" stroked="f" coordsize="21600,21600">
            <v:path/>
            <v:fill on="f" focussize="0,0"/>
            <v:stroke on="f" joinstyle="miter"/>
            <v:imagedata r:id="rId55" o:title=""/>
            <o:lock v:ext="edit" aspectratio="t"/>
            <w10:wrap type="none"/>
            <w10:anchorlock/>
          </v:shape>
          <o:OLEObject Type="Embed" ProgID="Visio.Drawing.11" ShapeID="_x0000_i1029" DrawAspect="Content" ObjectID="_1468075726" r:id="rId54">
            <o:LockedField>false</o:LockedField>
          </o:OLEObject>
        </w:object>
      </w:r>
    </w:p>
    <w:p w14:paraId="4E37418F">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159" w:name="_Toc19115"/>
      <w:r>
        <w:rPr>
          <w:rFonts w:hint="eastAsia" w:cs="Times New Roman" w:asciiTheme="majorEastAsia" w:hAnsiTheme="majorEastAsia" w:eastAsiaTheme="majorEastAsia"/>
          <w:color w:val="auto"/>
          <w:sz w:val="24"/>
          <w:szCs w:val="21"/>
        </w:rPr>
        <w:t>预案生成系统的结构示意</w:t>
      </w:r>
      <w:r>
        <w:rPr>
          <w:rFonts w:hint="eastAsia" w:ascii="Times New Roman" w:hAnsi="Times New Roman" w:eastAsia="宋体" w:cs="Times New Roman"/>
          <w:color w:val="auto"/>
          <w:sz w:val="24"/>
          <w:szCs w:val="21"/>
        </w:rPr>
        <w:t>图</w:t>
      </w:r>
    </w:p>
    <w:bookmarkEnd w:id="159"/>
    <w:p w14:paraId="663B0AED">
      <w:pPr>
        <w:ind w:firstLine="480" w:firstLineChars="200"/>
        <w:jc w:val="center"/>
        <w:rPr>
          <w:rFonts w:cs="Times New Roman" w:asciiTheme="majorEastAsia" w:hAnsiTheme="majorEastAsia" w:eastAsiaTheme="majorEastAsia"/>
          <w:color w:val="auto"/>
          <w:sz w:val="24"/>
          <w:szCs w:val="21"/>
        </w:rPr>
      </w:pPr>
    </w:p>
    <w:p w14:paraId="044AABE3">
      <w:pPr>
        <w:pStyle w:val="7"/>
        <w:numPr>
          <w:ilvl w:val="4"/>
          <w:numId w:val="38"/>
        </w:numPr>
        <w:spacing w:line="240" w:lineRule="auto"/>
        <w:rPr>
          <w:color w:val="auto"/>
        </w:rPr>
      </w:pPr>
      <w:bookmarkStart w:id="160" w:name="_Toc472071569"/>
      <w:bookmarkStart w:id="161" w:name="_Toc471823922"/>
      <w:bookmarkStart w:id="162" w:name="_Toc472071037"/>
      <w:r>
        <w:rPr>
          <w:rFonts w:hint="eastAsia"/>
          <w:color w:val="auto"/>
        </w:rPr>
        <w:t>应急资源一张图系统</w:t>
      </w:r>
      <w:bookmarkEnd w:id="160"/>
      <w:bookmarkEnd w:id="161"/>
      <w:bookmarkEnd w:id="162"/>
    </w:p>
    <w:p w14:paraId="69F97ED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按照《国家应急平台体系信息资源分类与编码》、《国家应急平台体系省级平台数据表结构规范》以及其他规范，通过全市应急信息资源数据库建设，重点对接整合各个联动部门的应急队伍、应急装备、应急物资、救援力量等应急资源信息，形成全市“应急信息一张图”，实现应急资源可视化管理，支持应急指挥决策分析。</w:t>
      </w:r>
    </w:p>
    <w:p w14:paraId="45FEA8E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一张图实现应急资源及数据信息的对接交换服务，解决了应急信息包含的数据类型多、分布于不同职能部门、数据类型与格式千差万别和各种信息不能集成统一的难题。解决了应急所需数据资源分散、没有统一标准、没有对接和难以整合的问题，保证数据的实效性、准确性、可用性。一张图的实现意味着众多与应急指挥相关的单位的数据可以互联互通，依托GIS地理信息技术基础支撑，将多种数据无缝关联起来，为应急决策提供保障。</w:t>
      </w:r>
    </w:p>
    <w:p w14:paraId="72A1FF79">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采集各级联动部门已建的业务系统及数据库中的救援队伍、救援专家、应急物资、救援装备、医疗资源、通信资源、运输资源及避难场所等应急资源，在统一的电子地图上进行汇聚标识、图形化展示、共享服务，实现全市“应急资源一张图”，为突发事件应急处置时查阅应急资源和信息提供支持。</w:t>
      </w:r>
    </w:p>
    <w:p w14:paraId="6FB10B32">
      <w:pPr>
        <w:pStyle w:val="8"/>
        <w:numPr>
          <w:ilvl w:val="5"/>
          <w:numId w:val="38"/>
        </w:numPr>
        <w:spacing w:line="240" w:lineRule="auto"/>
        <w:rPr>
          <w:color w:val="auto"/>
        </w:rPr>
      </w:pPr>
      <w:r>
        <w:rPr>
          <w:rFonts w:hint="eastAsia"/>
          <w:color w:val="auto"/>
        </w:rPr>
        <w:t>应急资源标准规范建设</w:t>
      </w:r>
    </w:p>
    <w:p w14:paraId="6067CA53">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应急资源信息化标准化建设是应急资源信息化成败的关键，也是应急通信保障平台建设的必备条件之一。应急资源信息化建设过程中怎样有效开发和利用信息资源，怎样保障信息化基础设施建设优质高效和信息网络无缝连接，怎样确保各信息系统间互联互通和互操作、信息安全与可靠，怎样实现应急资源信息共享等，是应急资源信息化建设的关键问题，而标准化则是解决上述问题的基本手段。应急信息“一张图”标准体系包括综合应急信息资源标准和应急采集标准技术规范。</w:t>
      </w:r>
    </w:p>
    <w:p w14:paraId="18E3DCC0">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1、应急信息资源标准</w:t>
      </w:r>
    </w:p>
    <w:p w14:paraId="60D3CCB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用于规范应急信息资源的数据采集、更新与服务。包括应急信息分类编码（在《国家应急平台体系信息资源分类与编码规范》（征求意见稿）的基础上，结合福建省及福州市的具体情况细化，统一标准的数据格式以及数据协议，通过统一数据接口进行资源数据采集和转换，建立数据共享及应用标准。</w:t>
      </w:r>
    </w:p>
    <w:p w14:paraId="6E91261A">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1）、应急资源数据格式标准化：对通过通信网络传输到系统中的数据建立统一标准的数据格式，保证了数据的兼容性；</w:t>
      </w:r>
    </w:p>
    <w:p w14:paraId="6AB2DC9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2）、数据协议标准化：通过统一数据接口进行资源数据采集和转换，形成系统的基础数据，有效的解决现有应急系统中数据杂乱无章，数据关联性差，数据整合难的问题；</w:t>
      </w:r>
    </w:p>
    <w:p w14:paraId="78758AB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3）、数据共享标准：使应急指挥系统内部多业务系统数据之间互融互通，共享资源信息，解决了各分系统之间信息孤立的问题，最大化的利用数据资源，最终形成信息联动、资源共享的高效率应急指挥系统。</w:t>
      </w:r>
    </w:p>
    <w:p w14:paraId="5BA82A22">
      <w:pPr>
        <w:pStyle w:val="8"/>
        <w:numPr>
          <w:ilvl w:val="5"/>
          <w:numId w:val="38"/>
        </w:numPr>
        <w:spacing w:line="240" w:lineRule="auto"/>
        <w:rPr>
          <w:color w:val="auto"/>
        </w:rPr>
      </w:pPr>
      <w:r>
        <w:rPr>
          <w:rFonts w:hint="eastAsia"/>
          <w:color w:val="auto"/>
        </w:rPr>
        <w:t>数据采集与数据整合</w:t>
      </w:r>
    </w:p>
    <w:p w14:paraId="534FE32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基于统一数据对接应用支撑服务平台，实现应急资源“一张图”的数据采集及数据交换管理功能。针对不同的数据来源进一步的加工，添加统一标准数据标识，对于应急资源数据进行分类和共享。</w:t>
      </w:r>
    </w:p>
    <w:p w14:paraId="60252BA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1、应急资源数据信息采集</w:t>
      </w:r>
    </w:p>
    <w:p w14:paraId="70053369">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应急资源数据信息库的建库主要包括两种情况，一种是专业应急部门已有的数据通过应急数据交换系统，从其相关的应急信息系统中接入；另外一种专业应急部门没有的数据，或没有实现数据上图的数据支持系统平台进行手工数据上报与管理维护采集建库。</w:t>
      </w:r>
    </w:p>
    <w:p w14:paraId="076B543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2、应急资源数据信息整合</w:t>
      </w:r>
    </w:p>
    <w:p w14:paraId="3631100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将采集的不同格式各类应急资源数据进行格式转换、坐标转换、应急目标点标注转换。</w:t>
      </w:r>
    </w:p>
    <w:p w14:paraId="7F2B433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创建拓扑主要目的是对面状数据需要将采集的连续点构线进行拓扑，检查多边形是否封闭，以便于后面进行面要素的处理。</w:t>
      </w:r>
    </w:p>
    <w:p w14:paraId="02A9DC20">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属性点检查主要目的是为封闭的多边形添加面要素属性标识点，属性点里记录面要素的属性信息。在后面处理时通过多边形同属性点的关联，产生完整的面要素及属性信息。</w:t>
      </w:r>
    </w:p>
    <w:p w14:paraId="32AC077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数据检查主要目的是数据在处理完成后，要进行系统全面的数据检查。检查内容主要包括数据的完整性、正确性及图形、属性的逻辑对应关系等，检查方式采用程序检查与人工检查交叉进行。具体检查过程中可从以下几个方面进行：</w:t>
      </w:r>
    </w:p>
    <w:p w14:paraId="229DB4C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①图面检查：检查的主要内容是数据采集是否完整，是否有遗漏，地物的判别采集是否有误，图面是否美观，要素采集是否在容许误差范围内，定位、接边误差是否超限等。</w:t>
      </w:r>
    </w:p>
    <w:p w14:paraId="22F16EA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②属性检查：检查的主要内容是数据的图层信息是否正确，属性编码是否正确，以及针对于线要素相对应的附属信息是否正确、完整等。</w:t>
      </w:r>
    </w:p>
    <w:p w14:paraId="740CCD5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③全面检查数据的完整性、准确性、逻辑性一致，以及数据分层、文件命名的规范性等。</w:t>
      </w:r>
    </w:p>
    <w:p w14:paraId="64BCAD55">
      <w:pPr>
        <w:pStyle w:val="8"/>
        <w:numPr>
          <w:ilvl w:val="5"/>
          <w:numId w:val="38"/>
        </w:numPr>
        <w:spacing w:line="240" w:lineRule="auto"/>
        <w:rPr>
          <w:color w:val="auto"/>
        </w:rPr>
      </w:pPr>
      <w:bookmarkStart w:id="163" w:name="_Toc417556023"/>
      <w:bookmarkStart w:id="164" w:name="_Toc401695813"/>
      <w:bookmarkStart w:id="165" w:name="_Toc409272316"/>
      <w:r>
        <w:rPr>
          <w:rFonts w:hint="eastAsia"/>
          <w:color w:val="auto"/>
        </w:rPr>
        <w:t>数据服务发布及管理</w:t>
      </w:r>
      <w:bookmarkEnd w:id="163"/>
      <w:bookmarkEnd w:id="164"/>
      <w:bookmarkEnd w:id="165"/>
    </w:p>
    <w:p w14:paraId="249CD9A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对应急资源数据建立统一目录分类体系、统一坐标及统一编码进行管理和服务，确保数据的完整性和服务多样性。按照应急资源目录的分类提供数据服务，可以通过应急资源目录中的项目对于数据进行发布和管理。可以根据地理信息，按照坐标和范围对于数据进行分类和发布。提供可视化的数据服务发布管理，高效、安全地管理数据服务。</w:t>
      </w:r>
    </w:p>
    <w:p w14:paraId="6525758C">
      <w:pPr>
        <w:ind w:firstLine="480" w:firstLineChars="200"/>
        <w:rPr>
          <w:rFonts w:cs="Times New Roman" w:asciiTheme="majorEastAsia" w:hAnsiTheme="majorEastAsia" w:eastAsiaTheme="majorEastAsia"/>
          <w:color w:val="auto"/>
          <w:sz w:val="24"/>
          <w:szCs w:val="21"/>
        </w:rPr>
      </w:pPr>
      <w:bookmarkStart w:id="166" w:name="_Toc401695814"/>
      <w:r>
        <w:rPr>
          <w:rFonts w:hint="eastAsia" w:cs="Times New Roman" w:asciiTheme="majorEastAsia" w:hAnsiTheme="majorEastAsia" w:eastAsiaTheme="majorEastAsia"/>
          <w:color w:val="auto"/>
          <w:sz w:val="24"/>
          <w:szCs w:val="21"/>
        </w:rPr>
        <w:t>1、应急资源数据目录服务</w:t>
      </w:r>
      <w:bookmarkEnd w:id="166"/>
    </w:p>
    <w:p w14:paraId="6F9AE19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应急数据目录服务实现与统一对接服务支撑的对接，以及应急资源目录信息采集、注册、管理、查询和定位全过程管理。应急数据目录服务子系统主要包括目录信息注册、目录信息发布、目录信息查询、目录信息删除、目录信息组织、目录信息统计等功能。</w:t>
      </w:r>
    </w:p>
    <w:p w14:paraId="678ADE1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1)、应急信息资源编目</w:t>
      </w:r>
    </w:p>
    <w:p w14:paraId="6AFCE1C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信息资源编目主要实现信息资源的元数据抽取、资源编码和分类功能。它是基于核心元数据标准开发的目录数据生成系统。提供者使用编目系统从不同形态的应急信息资源中手工或自动抽取数据，并生成目录。编目系统部署于资源提供部门，其不但可以向目录管理中心提供目录数据，还可作为部门内部资源管理工具使用。</w:t>
      </w:r>
    </w:p>
    <w:p w14:paraId="6D8CBAF2">
      <w:pPr>
        <w:spacing w:before="93" w:beforeLines="30"/>
        <w:ind w:left="882"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编目系统主要包括元数据计算机辅助抽取、元数据手工抽取、元数据编辑、资源编码、资源分类、目录数据管理、配置管理等功能。</w:t>
      </w:r>
    </w:p>
    <w:p w14:paraId="58A23D3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2)、目录数据管理</w:t>
      </w:r>
    </w:p>
    <w:p w14:paraId="5396C8D3">
      <w:pPr>
        <w:spacing w:before="93" w:beforeLines="30"/>
        <w:ind w:left="882"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目录数据管理主要实现目录数据管理和维护功能，以及实现目录服务接口，其主要内容包括目录管理、系统管理和接口管理等功能，实现对目录数据服务的集中管理。</w:t>
      </w:r>
    </w:p>
    <w:p w14:paraId="1C348D7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3)、目录数据服务</w:t>
      </w:r>
    </w:p>
    <w:p w14:paraId="61FB669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目录数据服务主要是通过Web页面，实现目录数据的查询和导航，以及元数据信息的浏览功能。</w:t>
      </w:r>
    </w:p>
    <w:p w14:paraId="37C24C78">
      <w:pPr>
        <w:ind w:firstLine="480" w:firstLineChars="200"/>
        <w:rPr>
          <w:rFonts w:cs="Times New Roman" w:asciiTheme="majorEastAsia" w:hAnsiTheme="majorEastAsia" w:eastAsiaTheme="majorEastAsia"/>
          <w:color w:val="auto"/>
          <w:sz w:val="24"/>
          <w:szCs w:val="21"/>
        </w:rPr>
      </w:pPr>
      <w:bookmarkStart w:id="167" w:name="_Toc401695815"/>
      <w:r>
        <w:rPr>
          <w:rFonts w:hint="eastAsia" w:cs="Times New Roman" w:asciiTheme="majorEastAsia" w:hAnsiTheme="majorEastAsia" w:eastAsiaTheme="majorEastAsia"/>
          <w:color w:val="auto"/>
          <w:sz w:val="24"/>
          <w:szCs w:val="21"/>
        </w:rPr>
        <w:t>2、应急资源数据发布服务</w:t>
      </w:r>
      <w:bookmarkEnd w:id="167"/>
    </w:p>
    <w:p w14:paraId="488592DA">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数据服务发布与管理是应急资源数据归档及管理的核心，将根据各种应急数据进行数据服务发布，并对发布的服务进行管理。应急指挥系统可通过调用数据服务查看所需的应急资源信息，大大的提高了数据的使用效率及安全性。</w:t>
      </w:r>
    </w:p>
    <w:p w14:paraId="3EC70FE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各应用用户通过系统发布的共享数据目录及其元数据服务，进行数据项需求的定制；收到用户数据需求后，对需求的数据项进行数据定位、读取并转换成用户需求的格式，最后推送到用户的信息系统或数据库中。分发服务主要实现共享数据发布、元数据服务、数据分发等功能模块。</w:t>
      </w:r>
    </w:p>
    <w:p w14:paraId="4198FB3A">
      <w:pPr>
        <w:pStyle w:val="8"/>
        <w:numPr>
          <w:ilvl w:val="5"/>
          <w:numId w:val="38"/>
        </w:numPr>
        <w:spacing w:line="240" w:lineRule="auto"/>
        <w:rPr>
          <w:color w:val="auto"/>
        </w:rPr>
      </w:pPr>
      <w:bookmarkStart w:id="168" w:name="_Toc417556024"/>
      <w:bookmarkStart w:id="169" w:name="_Toc401695816"/>
      <w:bookmarkStart w:id="170" w:name="_Toc409272317"/>
      <w:r>
        <w:rPr>
          <w:rFonts w:hint="eastAsia"/>
          <w:color w:val="auto"/>
        </w:rPr>
        <w:t>资源数据展示应用</w:t>
      </w:r>
      <w:bookmarkEnd w:id="168"/>
      <w:bookmarkEnd w:id="169"/>
      <w:bookmarkEnd w:id="170"/>
    </w:p>
    <w:p w14:paraId="05C63EEC">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将应急数据按照类别转换为多维显示系统可以接收的数据格式，并且对于数据进行多维、多视角、多层级、多方面的切分，使得多种数据可以在同一个场景下相互关联，更好地体现出数据联动带来的巨大优势。</w:t>
      </w:r>
    </w:p>
    <w:p w14:paraId="73617ABA">
      <w:pPr>
        <w:pStyle w:val="8"/>
        <w:numPr>
          <w:ilvl w:val="5"/>
          <w:numId w:val="38"/>
        </w:numPr>
        <w:spacing w:line="240" w:lineRule="auto"/>
        <w:rPr>
          <w:color w:val="auto"/>
        </w:rPr>
      </w:pPr>
      <w:r>
        <w:rPr>
          <w:rFonts w:hint="eastAsia"/>
          <w:color w:val="auto"/>
        </w:rPr>
        <w:t>应急资源基础信息维护</w:t>
      </w:r>
    </w:p>
    <w:p w14:paraId="472F160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应急资源包括救援队伍、救援专家、应急物资、救援装备、医疗资源、通信资源、运输资源及避难场所等资源信息。实现各类应急资源数据基础信息的统一维护管理。</w:t>
      </w:r>
    </w:p>
    <w:p w14:paraId="639EACDC">
      <w:pPr>
        <w:pStyle w:val="3"/>
        <w:numPr>
          <w:ilvl w:val="6"/>
          <w:numId w:val="38"/>
        </w:numPr>
        <w:spacing w:line="240" w:lineRule="auto"/>
        <w:ind w:firstLine="560"/>
        <w:rPr>
          <w:rFonts w:asciiTheme="majorEastAsia" w:hAnsiTheme="majorEastAsia" w:eastAsiaTheme="majorEastAsia"/>
          <w:color w:val="auto"/>
        </w:rPr>
      </w:pPr>
      <w:r>
        <w:rPr>
          <w:rFonts w:hint="eastAsia" w:asciiTheme="majorEastAsia" w:hAnsiTheme="majorEastAsia" w:eastAsiaTheme="majorEastAsia"/>
          <w:color w:val="auto"/>
        </w:rPr>
        <w:t>应急力量管理</w:t>
      </w:r>
    </w:p>
    <w:p w14:paraId="3C51B4F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完成对人力资源的基础信息维护，工作组织结构的维护，人员队伍模块化，人员分类管理、后备力量管理等多项功能。通过汇总各个部门的人力和警力资源，对可调用人员能力和数量进行管理。依据组织结构，对突发事件中应急处置部门、协助处置部门、应急救援专业部门、保障部门、部队及武警部队等职责予以明确。依据专业分类和技能程度对人力资源进行归类分组，便于整体调度，记录在不同类型突发事件应急上可调动人员能力、参与专业种类和整体分配部署情况。同时对各个时段整体人力资源的工作、调休情况进行管理，确保突发事件发生时的人员调动需求和足够的后备人力补充。实现应急队伍保障。</w:t>
      </w:r>
    </w:p>
    <w:p w14:paraId="7A8D371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对公安、消防、医疗救护、地震救援、海上搜救、矿山救护、森林消防、防洪抢险、核辐射、危险化学品事故救援、铁路事故和民航事故处置，以及水、电、油、气等工程抢险等救援队伍的依据专业分类和技能程度进行分组分类建档；对社会团体、企事业单位以及志愿者等各种社会力量的备案信息进行分类管理；对驻津部队、武警部队和民兵的备案信息进行分类建档。</w:t>
      </w:r>
    </w:p>
    <w:p w14:paraId="70B28C5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2、对以上人力资源信息进行统计分析，以保障突发公共事件人力资源。</w:t>
      </w:r>
    </w:p>
    <w:p w14:paraId="6B67468F">
      <w:pPr>
        <w:pStyle w:val="3"/>
        <w:numPr>
          <w:ilvl w:val="6"/>
          <w:numId w:val="38"/>
        </w:numPr>
        <w:spacing w:line="240" w:lineRule="auto"/>
        <w:ind w:firstLine="560"/>
        <w:rPr>
          <w:rFonts w:asciiTheme="majorEastAsia" w:hAnsiTheme="majorEastAsia" w:eastAsiaTheme="majorEastAsia"/>
          <w:color w:val="auto"/>
        </w:rPr>
      </w:pPr>
      <w:r>
        <w:rPr>
          <w:rFonts w:hint="eastAsia" w:asciiTheme="majorEastAsia" w:hAnsiTheme="majorEastAsia" w:eastAsiaTheme="majorEastAsia"/>
          <w:color w:val="auto"/>
        </w:rPr>
        <w:t>应急储备物资管理</w:t>
      </w:r>
    </w:p>
    <w:p w14:paraId="6901430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物资管理包括对物资管理、分类管理、存放管理几大部分。</w:t>
      </w:r>
    </w:p>
    <w:p w14:paraId="0277628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对应急物资储备的备案信息进行分类建档；对相关部门和各区（县）政府提出的物资需求计划，救灾物资和生活必需品的生产、储存和调拨方案及紧急配送体系等情况的备案信息进行分类建档；对有关应急物资、紧急救援医药用品的生产企业的生产状况，生产能力和储备情况的备案信息进行分类建档。</w:t>
      </w:r>
    </w:p>
    <w:p w14:paraId="2753D81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2、对物资的类型、数量、用途、存放地、购买计划等存货、供应信息进行统计分析，以保障突发公共事件所需物资。</w:t>
      </w:r>
    </w:p>
    <w:p w14:paraId="5E18B75A">
      <w:pPr>
        <w:pStyle w:val="3"/>
        <w:numPr>
          <w:ilvl w:val="6"/>
          <w:numId w:val="38"/>
        </w:numPr>
        <w:spacing w:line="240" w:lineRule="auto"/>
        <w:ind w:firstLine="560"/>
        <w:rPr>
          <w:rFonts w:asciiTheme="majorEastAsia" w:hAnsiTheme="majorEastAsia" w:eastAsiaTheme="majorEastAsia"/>
          <w:color w:val="auto"/>
        </w:rPr>
      </w:pPr>
      <w:r>
        <w:rPr>
          <w:rFonts w:hint="eastAsia" w:asciiTheme="majorEastAsia" w:hAnsiTheme="majorEastAsia" w:eastAsiaTheme="majorEastAsia"/>
          <w:color w:val="auto"/>
        </w:rPr>
        <w:t>医疗急救机构管理功能</w:t>
      </w:r>
    </w:p>
    <w:p w14:paraId="44D1633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1、对医疗、卫生救助和卫生防疫技术队伍以及卫生执法监督人员队伍的保障的备案信息进行分类建档，对各区（县）的医疗救治网络等备案信息进行分类建档。</w:t>
      </w:r>
    </w:p>
    <w:p w14:paraId="17F2F71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2、通过以上建档信息的统计分析，判定突发事件医疗保障的合理性。</w:t>
      </w:r>
    </w:p>
    <w:p w14:paraId="1AD5E359">
      <w:pPr>
        <w:pStyle w:val="3"/>
        <w:numPr>
          <w:ilvl w:val="6"/>
          <w:numId w:val="38"/>
        </w:numPr>
        <w:spacing w:line="240" w:lineRule="auto"/>
        <w:ind w:firstLine="560"/>
        <w:rPr>
          <w:rFonts w:asciiTheme="majorEastAsia" w:hAnsiTheme="majorEastAsia" w:eastAsiaTheme="majorEastAsia"/>
          <w:color w:val="auto"/>
        </w:rPr>
      </w:pPr>
      <w:r>
        <w:rPr>
          <w:rFonts w:hint="eastAsia" w:asciiTheme="majorEastAsia" w:hAnsiTheme="majorEastAsia" w:eastAsiaTheme="majorEastAsia"/>
          <w:color w:val="auto"/>
        </w:rPr>
        <w:t>交通运输资源管理功能</w:t>
      </w:r>
    </w:p>
    <w:p w14:paraId="72B8F79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对交通、铁路、民航、港口等有关部门的交通工具针对突发公共事件的调度安排等备案信息进行建档；对交通运输专业保障队伍、保障方案、运输工具、交通运输单位和运输工具数量、分布、功能和使用状态等备案信息进行分类建档。</w:t>
      </w:r>
    </w:p>
    <w:p w14:paraId="68C136C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2、对交通运输保障的建档信息进行分析、统计。</w:t>
      </w:r>
    </w:p>
    <w:p w14:paraId="31C2C3B7">
      <w:pPr>
        <w:pStyle w:val="3"/>
        <w:numPr>
          <w:ilvl w:val="6"/>
          <w:numId w:val="38"/>
        </w:numPr>
        <w:spacing w:line="240" w:lineRule="auto"/>
        <w:ind w:firstLine="560"/>
        <w:rPr>
          <w:rFonts w:asciiTheme="majorEastAsia" w:hAnsiTheme="majorEastAsia" w:eastAsiaTheme="majorEastAsia"/>
          <w:color w:val="auto"/>
        </w:rPr>
      </w:pPr>
      <w:r>
        <w:rPr>
          <w:rFonts w:hint="eastAsia" w:asciiTheme="majorEastAsia" w:hAnsiTheme="majorEastAsia" w:eastAsiaTheme="majorEastAsia"/>
          <w:color w:val="auto"/>
        </w:rPr>
        <w:t>紧急避难场所管理功能</w:t>
      </w:r>
    </w:p>
    <w:p w14:paraId="39EB1DA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1、对各地市（县）政府紧急避难场所及其使用情况等备案信息进行分类建档。</w:t>
      </w:r>
    </w:p>
    <w:p w14:paraId="2FFDE912">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2、对紧急避难场所信息进行查询、分析。</w:t>
      </w:r>
    </w:p>
    <w:p w14:paraId="7AD2CC7B">
      <w:pPr>
        <w:pStyle w:val="3"/>
        <w:numPr>
          <w:ilvl w:val="6"/>
          <w:numId w:val="38"/>
        </w:numPr>
        <w:spacing w:line="240" w:lineRule="auto"/>
        <w:ind w:firstLine="560"/>
        <w:rPr>
          <w:rFonts w:asciiTheme="majorEastAsia" w:hAnsiTheme="majorEastAsia" w:eastAsiaTheme="majorEastAsia"/>
          <w:color w:val="auto"/>
        </w:rPr>
      </w:pPr>
      <w:r>
        <w:rPr>
          <w:rFonts w:hint="eastAsia" w:asciiTheme="majorEastAsia" w:hAnsiTheme="majorEastAsia" w:eastAsiaTheme="majorEastAsia"/>
          <w:color w:val="auto"/>
        </w:rPr>
        <w:t>应急通讯资源管理功能</w:t>
      </w:r>
    </w:p>
    <w:p w14:paraId="3030EDFD">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1、对突发公共事件的有关通讯保障、通讯录等备案信息进行分类管理。</w:t>
      </w:r>
    </w:p>
    <w:p w14:paraId="6423B5E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2、对通讯保障信息进行查询分析。</w:t>
      </w:r>
    </w:p>
    <w:p w14:paraId="32E49029">
      <w:pPr>
        <w:pStyle w:val="3"/>
        <w:numPr>
          <w:ilvl w:val="6"/>
          <w:numId w:val="38"/>
        </w:numPr>
        <w:spacing w:line="240" w:lineRule="auto"/>
        <w:ind w:firstLine="560"/>
        <w:rPr>
          <w:rFonts w:asciiTheme="majorEastAsia" w:hAnsiTheme="majorEastAsia" w:eastAsiaTheme="majorEastAsia"/>
          <w:color w:val="auto"/>
        </w:rPr>
      </w:pPr>
      <w:r>
        <w:rPr>
          <w:rFonts w:hint="eastAsia" w:asciiTheme="majorEastAsia" w:hAnsiTheme="majorEastAsia" w:eastAsiaTheme="majorEastAsia"/>
          <w:color w:val="auto"/>
        </w:rPr>
        <w:t>救援设备管理功能</w:t>
      </w:r>
    </w:p>
    <w:p w14:paraId="22F5013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完成对救援设备的基础信息维护，设备分类管理、设备监控、设备维护保养等多项功能。通过汇总各个联动部门的设备资源，对可调用设备能力和数量进行管理。</w:t>
      </w:r>
    </w:p>
    <w:p w14:paraId="3200777E">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不同突发事件发生时对不同类设备的需求不尽相同，依据性能和用途对设备资源进行归类分组，便于整体调度。</w:t>
      </w:r>
    </w:p>
    <w:p w14:paraId="771FA0F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对基本信息的维护，跟踪掌握各类设备的可利用效能、数量和当前工作状态。保障突发事件发生时的设备调动需求。</w:t>
      </w:r>
    </w:p>
    <w:p w14:paraId="3E323FEF">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1、对各相关单位配备的救援装备、器材的存货信息，以及相应的维护、保养和调用制度等备案信息进行分类建档。</w:t>
      </w:r>
    </w:p>
    <w:p w14:paraId="4156C75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2、通过对工程抢险装备的品种、数量、维护、保养信息的分析统计，判定其合理性，以保障突发公共事件所需工程抢险装备。</w:t>
      </w:r>
    </w:p>
    <w:p w14:paraId="12521C10">
      <w:pPr>
        <w:pStyle w:val="3"/>
        <w:numPr>
          <w:ilvl w:val="6"/>
          <w:numId w:val="38"/>
        </w:numPr>
        <w:spacing w:line="240" w:lineRule="auto"/>
        <w:ind w:firstLine="560"/>
        <w:rPr>
          <w:rFonts w:asciiTheme="majorEastAsia" w:hAnsiTheme="majorEastAsia" w:eastAsiaTheme="majorEastAsia"/>
          <w:color w:val="auto"/>
        </w:rPr>
      </w:pPr>
      <w:r>
        <w:rPr>
          <w:rFonts w:hint="eastAsia" w:asciiTheme="majorEastAsia" w:hAnsiTheme="majorEastAsia" w:eastAsiaTheme="majorEastAsia"/>
          <w:color w:val="auto"/>
        </w:rPr>
        <w:t>其它资源管理功能</w:t>
      </w:r>
    </w:p>
    <w:p w14:paraId="2687BC90">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建立有地震、公安、消防、交通、交管、房管、人防、气象、电信、化工、市政、建筑设计、给排水、市容、电力、燃气、医学、环保、社会科学等各学科专家组成的突发公共事件应急专家组，建立个人技术档案资料，实行动态管理。</w:t>
      </w:r>
    </w:p>
    <w:p w14:paraId="0D80253A">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2、对技术专家档案进行统计分析。</w:t>
      </w:r>
    </w:p>
    <w:p w14:paraId="2AA3111C">
      <w:pPr>
        <w:ind w:firstLine="480" w:firstLineChars="200"/>
        <w:rPr>
          <w:rFonts w:cs="Times New Roman" w:asciiTheme="majorEastAsia" w:hAnsiTheme="majorEastAsia" w:eastAsiaTheme="majorEastAsia"/>
          <w:color w:val="auto"/>
          <w:sz w:val="24"/>
          <w:szCs w:val="21"/>
        </w:rPr>
      </w:pPr>
      <w:bookmarkStart w:id="171" w:name="_Toc94005669"/>
      <w:bookmarkStart w:id="172" w:name="_Toc114021748"/>
      <w:bookmarkStart w:id="173" w:name="_Toc100731479"/>
      <w:bookmarkStart w:id="174" w:name="_Toc100731484"/>
      <w:bookmarkStart w:id="175" w:name="_Toc110306697"/>
      <w:bookmarkStart w:id="176" w:name="_Toc114021750"/>
      <w:bookmarkStart w:id="177" w:name="_Toc110306704"/>
      <w:bookmarkStart w:id="178" w:name="_Toc93922801"/>
      <w:bookmarkStart w:id="179" w:name="_Toc110306702"/>
      <w:bookmarkStart w:id="180" w:name="_Toc100731486"/>
      <w:r>
        <w:rPr>
          <w:rFonts w:hint="eastAsia" w:cs="Times New Roman" w:asciiTheme="majorEastAsia" w:hAnsiTheme="majorEastAsia" w:eastAsiaTheme="majorEastAsia"/>
          <w:color w:val="auto"/>
          <w:sz w:val="24"/>
          <w:szCs w:val="21"/>
        </w:rPr>
        <w:t>3、对</w:t>
      </w:r>
      <w:r>
        <w:rPr>
          <w:rFonts w:hint="eastAsia" w:cs="Times New Roman" w:asciiTheme="majorEastAsia" w:hAnsiTheme="majorEastAsia" w:eastAsiaTheme="majorEastAsia"/>
          <w:color w:val="auto"/>
          <w:sz w:val="24"/>
          <w:szCs w:val="21"/>
          <w:lang w:eastAsia="zh-CN"/>
        </w:rPr>
        <w:t>省民政厅</w:t>
      </w:r>
      <w:r>
        <w:rPr>
          <w:rFonts w:hint="eastAsia" w:cs="Times New Roman" w:asciiTheme="majorEastAsia" w:hAnsiTheme="majorEastAsia" w:eastAsiaTheme="majorEastAsia"/>
          <w:color w:val="auto"/>
          <w:sz w:val="24"/>
          <w:szCs w:val="21"/>
        </w:rPr>
        <w:t>、各区（县）等有关部门对群众基本生活保障物资、基本生活用品及重要生活必需品的储备备案信息进行分类建档。</w:t>
      </w:r>
      <w:bookmarkEnd w:id="171"/>
      <w:bookmarkEnd w:id="172"/>
      <w:bookmarkEnd w:id="173"/>
      <w:bookmarkEnd w:id="174"/>
      <w:bookmarkEnd w:id="175"/>
      <w:bookmarkEnd w:id="176"/>
      <w:bookmarkEnd w:id="177"/>
      <w:bookmarkEnd w:id="178"/>
      <w:bookmarkEnd w:id="179"/>
      <w:bookmarkEnd w:id="180"/>
    </w:p>
    <w:p w14:paraId="796CE455">
      <w:pPr>
        <w:pStyle w:val="8"/>
        <w:numPr>
          <w:ilvl w:val="5"/>
          <w:numId w:val="38"/>
        </w:numPr>
        <w:spacing w:line="240" w:lineRule="auto"/>
        <w:rPr>
          <w:color w:val="auto"/>
        </w:rPr>
      </w:pPr>
      <w:r>
        <w:rPr>
          <w:rFonts w:hint="eastAsia"/>
          <w:color w:val="auto"/>
        </w:rPr>
        <w:t>应急资源展示检索服务</w:t>
      </w:r>
    </w:p>
    <w:p w14:paraId="641D8C27">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1、应急资源信息分布汇聚</w:t>
      </w:r>
    </w:p>
    <w:p w14:paraId="29483E80">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基于电子地图的各类应急资源综合检索及分布聚合展示管理，包括救援队伍、救援专家、应急物资、救援装备、医疗资源、通信资源、运输资源及避难场所等应急资源，在全省统一的电子地图上进行汇聚标识、图形化展示，为省领导应急处置时查阅应急资源和信息提供支持。系统以电子地图聚合数量的方式展示全省各个区域应急资源的分布情况，当地图放大到一定比例，则直接显示各个应急资源的具体位置信息，点击相应应急资源的图标，可以查看该应急资源的详细信息。</w:t>
      </w:r>
    </w:p>
    <w:p w14:paraId="325F6859">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2、“一键式”搜索管理</w:t>
      </w:r>
    </w:p>
    <w:p w14:paraId="6446A2B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提供应急资源的“一键式”搜索功能，输入搜索关键字，系统自动检索匹配所有应急资源中包含该关键字的所有资源信息，并在地图上进行分布展示，包括应急资源名称匹配、地址匹配、区域匹配、管理单位匹配及关键字匹配等。</w:t>
      </w:r>
    </w:p>
    <w:p w14:paraId="31F08390">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3、区域范围检索管理</w:t>
      </w:r>
    </w:p>
    <w:p w14:paraId="5532E2FB">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系统提供周边指定范围的区域检索功能，如以突发事件发生地为中心，搜索事发周边半径多少公里的应急资源信息，系统自动检索展示周边该公里范围内的所有应急资源相关信息。</w:t>
      </w:r>
    </w:p>
    <w:p w14:paraId="5ED27E82">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系统同时还提供了在电子地图上手动矩形拉框或多边形区域拉框等选择搜索功能，系统自动检索展示相应范围内的应急资源相关信息。</w:t>
      </w:r>
    </w:p>
    <w:p w14:paraId="340E0CC3">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4、应急资源调度路径规划</w:t>
      </w:r>
    </w:p>
    <w:p w14:paraId="73D99551">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实现应急资源的调度路径规划及导航管理功能。支持根据检索的应急资源所在具体位置信息，在电子地图上实现到达该应急资源所在具体位置或该应急资源调度去事发现场的最佳路径规划管理，实现路径规划导航及预计到达最短时间的路径选择管理等功能。</w:t>
      </w:r>
    </w:p>
    <w:p w14:paraId="2612ABB3">
      <w:pPr>
        <w:pStyle w:val="7"/>
        <w:numPr>
          <w:ilvl w:val="4"/>
          <w:numId w:val="38"/>
        </w:numPr>
        <w:spacing w:line="240" w:lineRule="auto"/>
        <w:rPr>
          <w:color w:val="auto"/>
        </w:rPr>
      </w:pPr>
      <w:r>
        <w:rPr>
          <w:rFonts w:hint="eastAsia"/>
          <w:color w:val="auto"/>
        </w:rPr>
        <w:t>应急处置</w:t>
      </w:r>
    </w:p>
    <w:p w14:paraId="332DD29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融合市政公用、市容环卫、园林绿化、城市管理执法、城市管理物联感知、城市治理态势、城市突发事件、社会治安、公共安全等方面的预报预警信息，辅助管理者对生成的预警事件开展进行指挥调度工作，跟踪处置过程和处置结果，督办重点任务。</w:t>
      </w:r>
    </w:p>
    <w:p w14:paraId="2DA3A7D2">
      <w:pPr>
        <w:keepNext/>
        <w:keepLines/>
        <w:numPr>
          <w:ilvl w:val="5"/>
          <w:numId w:val="41"/>
        </w:numPr>
        <w:ind w:left="-931" w:firstLine="200"/>
        <w:outlineLvl w:val="5"/>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预防准备</w:t>
      </w:r>
    </w:p>
    <w:p w14:paraId="36C5B691">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现代化的城市管理工作，需要科学有效地应对城市治理过程中的突发事件，改变传统应急工作中存在的“重处置、轻预防”的工作模式，把应对重大疫情、道路严重积水、供水管网破裂等城市突发事件的重心转移到城市突发事件发生前的预防准备工作上，强化危机意识，强化忧患意识和责任意识，抓好日常管理，将城市突发事件遏制在萌芽状态；不断完善应急预防预案，用确定性的充分准备来应对不确定性的突发状况。</w:t>
      </w:r>
    </w:p>
    <w:p w14:paraId="2BC1ED6D">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通过建立预防准备系统，来提高城市突发事件的应对能力，通过建立预防预案体系，能够在突发事件发生前做到未雨绸缪，谋划在前，应对在前，通过预防训练演练强化城市突发事件的防范处置能力。本系统主要提供包括风险预警、值守管理、预防预案、预防演练等功能。</w:t>
      </w:r>
    </w:p>
    <w:p w14:paraId="71174096">
      <w:pPr>
        <w:keepNext/>
        <w:keepLines/>
        <w:numPr>
          <w:ilvl w:val="6"/>
          <w:numId w:val="41"/>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风险预警</w:t>
      </w:r>
    </w:p>
    <w:p w14:paraId="48190760">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强化风险预警管理能够促进应急模式的转换，最大限度地让我们摒弃以往事件突发发生，然后再加以处置的落后的应对模式，而代之于通过风险评估实现危机预判，尽早加以解决的现代应对模式。风险管理在科学应对突发事件中具有先导性和前瞻性，是贯彻执行预防为主、增强应急管理预见性，赢得主动性的关键一环，是从更基础更科学的层面提髙应急管理能力的重要抓手。</w:t>
      </w:r>
    </w:p>
    <w:p w14:paraId="4420A137">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对于预防城市突发事件发生，应重视事件发生风险评估预警。通过对接气象、水利、海洋等部门预警数据，分析研判城市可能发生的突发性事件风险。比如，特大暴雨预警可能导致城市道路严重积水、道路交通堵塞等情况发生，系统应及时产生告警，启动相关预案，自动派发相关预防任务至责任单位、责任人，限期处置。</w:t>
      </w:r>
    </w:p>
    <w:p w14:paraId="16F0619D">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风险预警系统实现各类监测业务预警信息的统一汇集与发布管理，根据预警信息危机程度及可能危害范围的不同，选取适宜的预警程序和方式，实现预警信息及时、准确地上传下达，实施科学指挥、决策、调度，从而使得城市突发事件能够根据预防预案，及时采取预防措施，最大限度地减少人员伤亡和财产损失。</w:t>
      </w:r>
      <w:r>
        <w:rPr>
          <w:rFonts w:asciiTheme="majorEastAsia" w:hAnsiTheme="majorEastAsia" w:eastAsiaTheme="majorEastAsia"/>
          <w:color w:val="auto"/>
          <w:sz w:val="24"/>
        </w:rPr>
        <w:t xml:space="preserve"> </w:t>
      </w:r>
      <w:r>
        <w:rPr>
          <w:rFonts w:hint="eastAsia" w:asciiTheme="majorEastAsia" w:hAnsiTheme="majorEastAsia" w:eastAsiaTheme="majorEastAsia"/>
          <w:color w:val="auto"/>
          <w:sz w:val="24"/>
        </w:rPr>
        <w:t>系统主要包括数据汇集、预警设置、预警发布和防范响应等功能。</w:t>
      </w:r>
    </w:p>
    <w:p w14:paraId="5311E294">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预警数据汇聚</w:t>
      </w:r>
    </w:p>
    <w:p w14:paraId="628D8D72">
      <w:pPr>
        <w:snapToGri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实现对城市突发事件各类监测监控系统预警信息的统一对接与汇聚，结合业务监测预警配置模型，进行统一的管理及展示。</w:t>
      </w:r>
    </w:p>
    <w:p w14:paraId="7A0BEC76">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风险预警设置</w:t>
      </w:r>
    </w:p>
    <w:p w14:paraId="6623B198">
      <w:pPr>
        <w:snapToGri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系统为各类监测业务提供自动预警和手动预警两种方式，支持预警中心的短信和电话预警通知管理功能。</w:t>
      </w:r>
      <w:r>
        <w:rPr>
          <w:rFonts w:asciiTheme="majorEastAsia" w:hAnsiTheme="majorEastAsia" w:eastAsiaTheme="majorEastAsia"/>
          <w:color w:val="auto"/>
          <w:sz w:val="24"/>
        </w:rPr>
        <w:t xml:space="preserve">   </w:t>
      </w:r>
    </w:p>
    <w:p w14:paraId="7EFCF7BA">
      <w:pPr>
        <w:numPr>
          <w:ilvl w:val="0"/>
          <w:numId w:val="42"/>
        </w:numPr>
        <w:adjustRightInd w:val="0"/>
        <w:snapToGrid w:val="0"/>
        <w:rPr>
          <w:rFonts w:asciiTheme="majorEastAsia" w:hAnsiTheme="majorEastAsia" w:eastAsiaTheme="majorEastAsia"/>
          <w:color w:val="auto"/>
          <w:sz w:val="24"/>
        </w:rPr>
      </w:pPr>
      <w:r>
        <w:rPr>
          <w:rFonts w:hint="eastAsia" w:asciiTheme="majorEastAsia" w:hAnsiTheme="majorEastAsia" w:eastAsiaTheme="majorEastAsia"/>
          <w:color w:val="auto"/>
          <w:sz w:val="24"/>
        </w:rPr>
        <w:t>自动预警</w:t>
      </w:r>
    </w:p>
    <w:p w14:paraId="03E1D63E">
      <w:pPr>
        <w:adjustRightInd w:val="0"/>
        <w:snapToGrid w:val="0"/>
        <w:rPr>
          <w:rFonts w:asciiTheme="majorEastAsia" w:hAnsiTheme="majorEastAsia" w:eastAsiaTheme="majorEastAsia"/>
          <w:color w:val="auto"/>
          <w:sz w:val="24"/>
        </w:rPr>
      </w:pPr>
      <w:r>
        <w:rPr>
          <w:rFonts w:hint="eastAsia" w:asciiTheme="majorEastAsia" w:hAnsiTheme="majorEastAsia" w:eastAsiaTheme="majorEastAsia"/>
          <w:color w:val="auto"/>
          <w:sz w:val="24"/>
        </w:rPr>
        <w:t>各站点可按照参数标准自定义设置预警参数，对达到预警标准的站点执行自动预警操作。</w:t>
      </w:r>
    </w:p>
    <w:p w14:paraId="6D553964">
      <w:pPr>
        <w:numPr>
          <w:ilvl w:val="0"/>
          <w:numId w:val="42"/>
        </w:numPr>
        <w:adjustRightInd w:val="0"/>
        <w:snapToGrid w:val="0"/>
        <w:rPr>
          <w:rFonts w:asciiTheme="majorEastAsia" w:hAnsiTheme="majorEastAsia" w:eastAsiaTheme="majorEastAsia"/>
          <w:color w:val="auto"/>
          <w:sz w:val="24"/>
        </w:rPr>
      </w:pPr>
      <w:r>
        <w:rPr>
          <w:rFonts w:hint="eastAsia" w:asciiTheme="majorEastAsia" w:hAnsiTheme="majorEastAsia" w:eastAsiaTheme="majorEastAsia"/>
          <w:color w:val="auto"/>
          <w:sz w:val="24"/>
        </w:rPr>
        <w:t>手动预警</w:t>
      </w:r>
    </w:p>
    <w:p w14:paraId="1911257D">
      <w:pPr>
        <w:adjustRightInd w:val="0"/>
        <w:snapToGrid w:val="0"/>
        <w:rPr>
          <w:rFonts w:asciiTheme="majorEastAsia" w:hAnsiTheme="majorEastAsia" w:eastAsiaTheme="majorEastAsia"/>
          <w:color w:val="auto"/>
          <w:sz w:val="24"/>
        </w:rPr>
      </w:pPr>
      <w:r>
        <w:rPr>
          <w:rFonts w:hint="eastAsia" w:asciiTheme="majorEastAsia" w:hAnsiTheme="majorEastAsia" w:eastAsiaTheme="majorEastAsia"/>
          <w:color w:val="auto"/>
          <w:sz w:val="24"/>
        </w:rPr>
        <w:t>管理人员可以按照操作步骤手动操作预警流程，发布预警信息。</w:t>
      </w:r>
      <w:r>
        <w:rPr>
          <w:rFonts w:asciiTheme="majorEastAsia" w:hAnsiTheme="majorEastAsia" w:eastAsiaTheme="majorEastAsia"/>
          <w:color w:val="auto"/>
          <w:sz w:val="24"/>
        </w:rPr>
        <w:t xml:space="preserve"> </w:t>
      </w:r>
    </w:p>
    <w:p w14:paraId="08C24C75">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风险预警发布</w:t>
      </w:r>
    </w:p>
    <w:p w14:paraId="360B22D9">
      <w:pPr>
        <w:snapToGri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根据各类监测预警指标和等级划分，实现预警信息的发布管理，支持根据预警分析结果，在地图上以不同颜色闪烁的方式展示各区域的预警类别、预警级别等信息。</w:t>
      </w:r>
    </w:p>
    <w:p w14:paraId="64DDF080">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预警防范响应</w:t>
      </w:r>
    </w:p>
    <w:p w14:paraId="1107ADB5">
      <w:pPr>
        <w:snapToGri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根据预警结果及信息发布情况，实现城市各监管部门的应急防范响应管理功能。风险防范响应管理主要包括以下功能：</w:t>
      </w:r>
    </w:p>
    <w:p w14:paraId="3CDA994E">
      <w:pPr>
        <w:numPr>
          <w:ilvl w:val="0"/>
          <w:numId w:val="43"/>
        </w:numPr>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响应工作流程</w:t>
      </w:r>
    </w:p>
    <w:p w14:paraId="7E5ED5DA">
      <w:pPr>
        <w:rPr>
          <w:rFonts w:asciiTheme="majorEastAsia" w:hAnsiTheme="majorEastAsia" w:eastAsiaTheme="majorEastAsia"/>
          <w:color w:val="auto"/>
          <w:sz w:val="24"/>
        </w:rPr>
      </w:pPr>
      <w:r>
        <w:rPr>
          <w:rFonts w:hint="eastAsia" w:asciiTheme="majorEastAsia" w:hAnsiTheme="majorEastAsia" w:eastAsiaTheme="majorEastAsia"/>
          <w:color w:val="auto"/>
          <w:sz w:val="24"/>
        </w:rPr>
        <w:t>以图形方式显示工作流程，供使用人员参考。</w:t>
      </w:r>
    </w:p>
    <w:p w14:paraId="3933947A">
      <w:pPr>
        <w:numPr>
          <w:ilvl w:val="0"/>
          <w:numId w:val="43"/>
        </w:numPr>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响应地图</w:t>
      </w:r>
    </w:p>
    <w:p w14:paraId="5CDB1AD4">
      <w:pPr>
        <w:rPr>
          <w:rFonts w:asciiTheme="majorEastAsia" w:hAnsiTheme="majorEastAsia" w:eastAsiaTheme="majorEastAsia"/>
          <w:color w:val="auto"/>
          <w:sz w:val="24"/>
        </w:rPr>
      </w:pPr>
      <w:r>
        <w:rPr>
          <w:rFonts w:hint="eastAsia" w:asciiTheme="majorEastAsia" w:hAnsiTheme="majorEastAsia" w:eastAsiaTheme="majorEastAsia"/>
          <w:color w:val="auto"/>
          <w:sz w:val="24"/>
        </w:rPr>
        <w:t>在地图上显示响应启动图示，并提供响应相关操作用户接口。</w:t>
      </w:r>
    </w:p>
    <w:p w14:paraId="266334E6">
      <w:pPr>
        <w:numPr>
          <w:ilvl w:val="0"/>
          <w:numId w:val="43"/>
        </w:numPr>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响应列表</w:t>
      </w:r>
    </w:p>
    <w:p w14:paraId="62BD5D4C">
      <w:pPr>
        <w:rPr>
          <w:rFonts w:asciiTheme="majorEastAsia" w:hAnsiTheme="majorEastAsia" w:eastAsiaTheme="majorEastAsia"/>
          <w:color w:val="auto"/>
          <w:sz w:val="24"/>
        </w:rPr>
      </w:pPr>
      <w:r>
        <w:rPr>
          <w:rFonts w:hint="eastAsia" w:asciiTheme="majorEastAsia" w:hAnsiTheme="majorEastAsia" w:eastAsiaTheme="majorEastAsia"/>
          <w:color w:val="auto"/>
          <w:sz w:val="24"/>
        </w:rPr>
        <w:t>显示各区域所有关联内部预警和外部预警的应急响应状态信息列表，包括“预警级别、预警时间、预警发布级别、预警发布时间、响应级别、响应启动时间、响应结束时间”等信息，并可以根据预警启动、修改和结束响应，提供历史响应的查询功能。</w:t>
      </w:r>
    </w:p>
    <w:p w14:paraId="5E2B1478">
      <w:pPr>
        <w:numPr>
          <w:ilvl w:val="0"/>
          <w:numId w:val="43"/>
        </w:numPr>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响应措施</w:t>
      </w:r>
    </w:p>
    <w:p w14:paraId="63992CEC">
      <w:pPr>
        <w:rPr>
          <w:rFonts w:asciiTheme="majorEastAsia" w:hAnsiTheme="majorEastAsia" w:eastAsiaTheme="majorEastAsia"/>
          <w:color w:val="auto"/>
          <w:sz w:val="24"/>
        </w:rPr>
      </w:pPr>
      <w:r>
        <w:rPr>
          <w:rFonts w:hint="eastAsia" w:asciiTheme="majorEastAsia" w:hAnsiTheme="majorEastAsia" w:eastAsiaTheme="majorEastAsia"/>
          <w:color w:val="auto"/>
          <w:sz w:val="24"/>
        </w:rPr>
        <w:t>以图表的方式显示响应措施的种类，可查看各个级别的响应措施。</w:t>
      </w:r>
    </w:p>
    <w:p w14:paraId="1C27BF53">
      <w:pPr>
        <w:numPr>
          <w:ilvl w:val="0"/>
          <w:numId w:val="43"/>
        </w:numPr>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响应反馈</w:t>
      </w:r>
    </w:p>
    <w:p w14:paraId="51C28F67">
      <w:pPr>
        <w:rPr>
          <w:rFonts w:asciiTheme="majorEastAsia" w:hAnsiTheme="majorEastAsia" w:eastAsiaTheme="majorEastAsia"/>
          <w:color w:val="auto"/>
          <w:sz w:val="24"/>
        </w:rPr>
      </w:pPr>
      <w:r>
        <w:rPr>
          <w:rFonts w:hint="eastAsia" w:asciiTheme="majorEastAsia" w:hAnsiTheme="majorEastAsia" w:eastAsiaTheme="majorEastAsia"/>
          <w:color w:val="auto"/>
          <w:sz w:val="24"/>
        </w:rPr>
        <w:t>在列表中显示各个响应反馈信息，包括“预警时间、下派工作组、投入人员”等信息，并提供实时录入功能，以便实时跟踪进展情况。</w:t>
      </w:r>
    </w:p>
    <w:p w14:paraId="052B0C25">
      <w:pPr>
        <w:keepNext/>
        <w:keepLines/>
        <w:numPr>
          <w:ilvl w:val="6"/>
          <w:numId w:val="41"/>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值守管理</w:t>
      </w:r>
    </w:p>
    <w:p w14:paraId="19259E8B">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值守管理系统旨在实现各政府部门的综合值班值守管理，同时落实值班表及</w:t>
      </w:r>
      <w:r>
        <w:rPr>
          <w:rFonts w:cs="Times New Roman" w:asciiTheme="majorEastAsia" w:hAnsiTheme="majorEastAsia" w:eastAsiaTheme="majorEastAsia"/>
          <w:color w:val="auto"/>
          <w:sz w:val="24"/>
          <w:szCs w:val="21"/>
        </w:rPr>
        <w:t>24</w:t>
      </w:r>
      <w:r>
        <w:rPr>
          <w:rFonts w:hint="eastAsia" w:cs="Times New Roman" w:asciiTheme="majorEastAsia" w:hAnsiTheme="majorEastAsia" w:eastAsiaTheme="majorEastAsia"/>
          <w:color w:val="auto"/>
          <w:sz w:val="24"/>
          <w:szCs w:val="21"/>
        </w:rPr>
        <w:t>小时值班制度，通过密切关注预测预警信息及突发事件的情况并及时上报、果断处置，保证信息联络及时、畅通。</w:t>
      </w:r>
    </w:p>
    <w:p w14:paraId="39B5DD68">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值守管理系统提供政府部门日常值班所需的功能，主要包括事件接报、值班日志、值班表等，满足城市综合管理日常值班业务的需要，将提高日常值班工作效率、降低日常值班工作复杂度作为主要目标。</w:t>
      </w:r>
    </w:p>
    <w:p w14:paraId="2D232157">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值班排班管理</w:t>
      </w:r>
    </w:p>
    <w:p w14:paraId="3430A510">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实现各级政府部门及单位值班日志信息的记录、办理、查询等功能；提供：</w:t>
      </w:r>
    </w:p>
    <w:p w14:paraId="392B6DA8">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各部门及单位日常值班信息、值班日志信息查询、打印等功能。</w:t>
      </w:r>
    </w:p>
    <w:p w14:paraId="57C59CC2">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系统提供手动排班及自动排班功能：</w:t>
      </w:r>
    </w:p>
    <w:p w14:paraId="70FD7EDA">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1</w:t>
      </w:r>
      <w:r>
        <w:rPr>
          <w:rFonts w:hint="eastAsia" w:cs="Times New Roman" w:asciiTheme="majorEastAsia" w:hAnsiTheme="majorEastAsia" w:eastAsiaTheme="majorEastAsia"/>
          <w:color w:val="auto"/>
          <w:sz w:val="24"/>
          <w:szCs w:val="21"/>
        </w:rPr>
        <w:t>）手动排班</w:t>
      </w:r>
    </w:p>
    <w:p w14:paraId="4ED52844">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通过手动来进行排班管理，以及调班管理。</w:t>
      </w:r>
    </w:p>
    <w:p w14:paraId="6A7E973C">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2</w:t>
      </w:r>
      <w:r>
        <w:rPr>
          <w:rFonts w:hint="eastAsia" w:cs="Times New Roman" w:asciiTheme="majorEastAsia" w:hAnsiTheme="majorEastAsia" w:eastAsiaTheme="majorEastAsia"/>
          <w:color w:val="auto"/>
          <w:sz w:val="24"/>
          <w:szCs w:val="21"/>
        </w:rPr>
        <w:t>）自动排班</w:t>
      </w:r>
    </w:p>
    <w:p w14:paraId="38BEEDBF">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平台提供自动排班功能，管理人员只需录入一些配置信息，便能实现系统的自动排班功能。</w:t>
      </w:r>
    </w:p>
    <w:p w14:paraId="29540482">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值班日志管理</w:t>
      </w:r>
    </w:p>
    <w:p w14:paraId="36E619CE">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实现政府部门及单位值班日志信息的记录、办理、查询等功能；提供日常值班信息特别提醒的功能。主要包括值班日志、值班报告及日常快报等管理功能。</w:t>
      </w:r>
    </w:p>
    <w:p w14:paraId="30AB40CF">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1</w:t>
      </w:r>
      <w:r>
        <w:rPr>
          <w:rFonts w:hint="eastAsia" w:cs="Times New Roman" w:asciiTheme="majorEastAsia" w:hAnsiTheme="majorEastAsia" w:eastAsiaTheme="majorEastAsia"/>
          <w:color w:val="auto"/>
          <w:sz w:val="24"/>
          <w:szCs w:val="21"/>
        </w:rPr>
        <w:t>）值班日志</w:t>
      </w:r>
    </w:p>
    <w:p w14:paraId="473392FB">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各部门及单位值班日志信息的记录、办理、查询等功能。系统实现自动生成值班摘要的情况的汇总，每位值班员记录各自的日志，说明当前值班的情况。系统提供日常值班信息特别提醒的功能。主要包括待办事项办理、特别提醒、值班日志信息查询、打印等功能。</w:t>
      </w:r>
    </w:p>
    <w:p w14:paraId="0899ADD5">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2</w:t>
      </w:r>
      <w:r>
        <w:rPr>
          <w:rFonts w:hint="eastAsia" w:cs="Times New Roman" w:asciiTheme="majorEastAsia" w:hAnsiTheme="majorEastAsia" w:eastAsiaTheme="majorEastAsia"/>
          <w:color w:val="auto"/>
          <w:sz w:val="24"/>
          <w:szCs w:val="21"/>
        </w:rPr>
        <w:t>）值班报告</w:t>
      </w:r>
    </w:p>
    <w:p w14:paraId="01F94702">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实现各级政府、各个区域、各有关职能部门的日常值班报告编制及维护管理功能。实现各个单位各政府部门日常值班报告的上报管理功能。</w:t>
      </w:r>
    </w:p>
    <w:p w14:paraId="6A117F4D">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3</w:t>
      </w:r>
      <w:r>
        <w:rPr>
          <w:rFonts w:hint="eastAsia" w:cs="Times New Roman" w:asciiTheme="majorEastAsia" w:hAnsiTheme="majorEastAsia" w:eastAsiaTheme="majorEastAsia"/>
          <w:color w:val="auto"/>
          <w:sz w:val="24"/>
          <w:szCs w:val="21"/>
        </w:rPr>
        <w:t>）日常快报</w:t>
      </w:r>
    </w:p>
    <w:p w14:paraId="03F0F2F4">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实现气象、防汛、交通等各级各个政府部门的日常快报编制、维护及上报管理功能。实现各类日常快报的上报及查阅管理。</w:t>
      </w:r>
    </w:p>
    <w:p w14:paraId="16E7027B">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待办事项管理</w:t>
      </w:r>
    </w:p>
    <w:p w14:paraId="621E75D4">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待办事项实现值班人员或管理人员的待办事项管理提醒及办理管理，支持待办事项在个人操作桌面的列表提醒，支持待办事项查询及办理具体的事项。</w:t>
      </w:r>
    </w:p>
    <w:p w14:paraId="7543C675">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提醒事项实现当天值班人员事项的提醒。特别提醒事项有三种显示方式包括周、月、列表，用户可根据自己的习惯进行选择。系统提供创建特别提醒事项或者批量生成周期性特别提醒事项管理功能。另外特别提醒事项还提供了日历视图和列表视图两种视图展示方式，用户可以根据需求随时转变展示方式。特别提醒事项实现各个部门及单位对本部门的值班人员安排值班时要处理的特别提醒事项，包括对特别提醒事项的新增、删除、修改和查询功能。特别提醒事项包括以下内容：标题、内容、等级和提醒时间和值班类型，当新增特别提醒事项时，如果开始和结束时间有时间跨度，则按天为周期重复生成。</w:t>
      </w:r>
    </w:p>
    <w:p w14:paraId="5F03E579">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在线值班管理</w:t>
      </w:r>
    </w:p>
    <w:p w14:paraId="4D49A22D">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实现政府部门及单位在线值班人员实时查阅管理功能，支持值班人员语音电话通讯调度及短信消息通知等管理功能，满足日常值班查阅及沟通的需求。</w:t>
      </w:r>
    </w:p>
    <w:p w14:paraId="158AE5C9">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文档材料管理</w:t>
      </w:r>
    </w:p>
    <w:p w14:paraId="27C750FB">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实现各个职能部门相关城市综合管理信息和相关数据文档资料的维护、查询及调用管理功能。</w:t>
      </w:r>
    </w:p>
    <w:p w14:paraId="53A93359">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值班统计管理</w:t>
      </w:r>
    </w:p>
    <w:p w14:paraId="03A09B24">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实现排班人员在排班管理界面可以通过选择起始日期条件，值班人员、值班类别生成值班统计表功能，实现统计报告导出功能。</w:t>
      </w:r>
    </w:p>
    <w:p w14:paraId="5733C65C">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通知公告管理</w:t>
      </w:r>
    </w:p>
    <w:p w14:paraId="19F5128F">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实现城市各协同部门内部的通知公告管理功能，包括公告发布、删除等维护操作。</w:t>
      </w:r>
    </w:p>
    <w:p w14:paraId="7B64D9FB">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系统支持通知公告的短信发送与通知管理功能，实现管理人员可根据通讯录或联系电话直接发送手机短信通知管理功能，满足政府机关日常信息沟通与相关短消息的及时通知管理需求。</w:t>
      </w:r>
    </w:p>
    <w:p w14:paraId="70E78EAE">
      <w:pPr>
        <w:keepNext/>
        <w:keepLines/>
        <w:numPr>
          <w:ilvl w:val="6"/>
          <w:numId w:val="41"/>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预防预案</w:t>
      </w:r>
    </w:p>
    <w:p w14:paraId="157AC3A3">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城市突发事件预防预案就是用确定性的充分准备来应对不确定性的突发状况，能够在突发事件发生前做到未雨绸缪，谋划在前，应对在前，是变应急管理为日常管理的有效手段，在突发事件的应对过程中起着重要的作用。</w:t>
      </w:r>
    </w:p>
    <w:p w14:paraId="3F0A0F9D">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对于预防城市突发事件，应急建立相应的应急预案体系，不断完善应急预案首要的是充分认识应急预案的重要性和必要性。同时做到编制预案目的明确，原则正确，符合实际，着重操作。城市突发事件应对工作实行预防为主、预防与应急相结合的原则，把应急预防纳人到应急预案之中，不断完善预案强调应急预案管理的动态性，针对应急预案存在的问题给予持续性关注。</w:t>
      </w:r>
    </w:p>
    <w:p w14:paraId="3B0EB869">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城市突发事件预防预案系统主要包括预案编制、预案管理、预案审核、预案备案、预案共享等功能。</w:t>
      </w:r>
    </w:p>
    <w:p w14:paraId="5C157C12">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预案编制</w:t>
      </w:r>
    </w:p>
    <w:p w14:paraId="29DBFAA2">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预案编制服务具备预案模板管理、预案参考材料管理、预案线上编制、预案内容对比分析等功能。其中，预案内容对比分析基于预案数字化功能，比对预案指挥体系和部门职责等内容。预案编制服务旨在提供预案编制参考依据和预案的线上编制功能，有利于提高预案科学性、合理性，实现预案编制的标准化。</w:t>
      </w:r>
    </w:p>
    <w:p w14:paraId="206BBF4C">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预案管理</w:t>
      </w:r>
    </w:p>
    <w:p w14:paraId="0154300B">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预案管理包括预案文档导入、预案分类管理、预案体系图、预案链管理、预案统计展示、预案内容检索等功能。实现了按照预案级别、类别（总体、专项、部门、中央企业等）、类型（城市内涝、管网漏水等）、编制单位等，对预案进行维护管理。</w:t>
      </w:r>
    </w:p>
    <w:p w14:paraId="170632C8">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预案审核</w:t>
      </w:r>
    </w:p>
    <w:p w14:paraId="13B009E8">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预案审核包括预案审核管理、预案审核人员管理、预案审核流程管理、预案审核结果统计和审核智能提醒等功能，为预案线上审核工作提供信息化的支撑。</w:t>
      </w:r>
    </w:p>
    <w:p w14:paraId="2EBF75B8">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预案备案</w:t>
      </w:r>
    </w:p>
    <w:p w14:paraId="6AD2EAF8">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预案备案包括预案备案管理、预案备案单位管理、预案备案进度跟踪、预案修订周期管理和备案智能提醒等功能，为预案线上备案工作提供信息化的支撑。</w:t>
      </w:r>
    </w:p>
    <w:p w14:paraId="299518F2">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预案共享</w:t>
      </w:r>
    </w:p>
    <w:p w14:paraId="3A321F35">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预案交流共享通过开放访问权限的方式，为各个行业部门提供预案材料以供参考和学习。同时，用户可对共享的预案材料进行意见反馈，提出建议或需求。</w:t>
      </w:r>
    </w:p>
    <w:p w14:paraId="33F55DB7">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预案结构化</w:t>
      </w:r>
    </w:p>
    <w:p w14:paraId="54DEAA6A">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主要完成预案结构化，包括预案的结构化要素以及预案与其涉及的指标体系、专家信息、救援力量、应急响应、应急保障、信息发布、恢复重建等信息的关联。提供数字预案的查询检索、浏览和输出等功能。</w:t>
      </w:r>
    </w:p>
    <w:p w14:paraId="5BE84785">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结构化后的数字预案与文本预案相比，内容更加丰富，便于计算机的自动化处理，大大扩展了预案的应用能力。</w:t>
      </w:r>
    </w:p>
    <w:p w14:paraId="497BAA58">
      <w:pPr>
        <w:keepNext/>
        <w:keepLines/>
        <w:numPr>
          <w:ilvl w:val="6"/>
          <w:numId w:val="41"/>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预防演练</w:t>
      </w:r>
    </w:p>
    <w:p w14:paraId="694C4BE9">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预防演练的作用，主要是强化指挥人员和参与人员有针对性的培训，明确各自职责，熟悉城市突发事件应对流程、学习装备的使用方法等等。预防演练可以检验应急预案的实用性、有效性，发现问题，修正错误，为预防预案的修改完善提供可靠的依据，同时，通过预防演练可以从总体上评估预防准备工作，总结经验，提高预防处置体系的反应能力，以及指挥系统的协调作战能力。</w:t>
      </w:r>
    </w:p>
    <w:p w14:paraId="50E5E278">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要做好预防演练，首先要提高认识，充分认识做好预防训练演练的必要性，真训真学真练。明确责任，做好应急演练方案的策划、编制和执行工作，积极为演练成功落实必要的物资和经费保障，做好演练评估、分析、总结，并不断对演练方案及应急预案进行修订改进。</w:t>
      </w:r>
    </w:p>
    <w:p w14:paraId="5FC0D782">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预防演练系统主要包括演练计划管理、演练场景构建、演练总结评估、演练统计分析、演练材料管理、演练共享交流等功能。</w:t>
      </w:r>
    </w:p>
    <w:p w14:paraId="661A2517">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演练计划管理</w:t>
      </w:r>
    </w:p>
    <w:p w14:paraId="06BBBFE8">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在计划阶段需要进行演练的需求分析，明确演练的目标和任务，制定演练计划，确定演练参演人员队伍、演练工作经费以及其他需要决定的重要事项，并审核演练工作方案、编制演练脚本。系统支持演练计划和演练脚本的维护、审核以及演练计划发布等相关管理功能。</w:t>
      </w:r>
    </w:p>
    <w:p w14:paraId="4466066C">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模拟演练场景</w:t>
      </w:r>
    </w:p>
    <w:p w14:paraId="2C97E93D">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系统可依托“城市管理一张图”功能，结合预防预案系统，在线构建模拟演练场景，支持根据多种城市突发事件类型构建涉及多队伍，跨区域的在线演练场景，能够检验预防预案的操作性、科学性和队伍的应急响应能力。同时系统可根据队伍在演练中的实际表现进行评分，综合考评队伍培训演练的实际效果。</w:t>
      </w:r>
    </w:p>
    <w:p w14:paraId="68C7CFE3">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协同会商演练</w:t>
      </w:r>
    </w:p>
    <w:p w14:paraId="2EBCE261">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会商包括定期会商、应急会商和重大情况会商，以事件以驱动，以预案为主线，建设本项目协同会商功能，包括防汛会商、防风会商、防旱会商。</w:t>
      </w:r>
    </w:p>
    <w:p w14:paraId="3442B200">
      <w:pPr>
        <w:autoSpaceDE w:val="0"/>
        <w:autoSpaceDN w:val="0"/>
        <w:adjustRightInd w:val="0"/>
        <w:ind w:firstLine="480" w:firstLineChars="200"/>
        <w:rPr>
          <w:rFonts w:cs="Times New Roman" w:asciiTheme="majorEastAsia" w:hAnsiTheme="majorEastAsia" w:eastAsiaTheme="majorEastAsia"/>
          <w:color w:val="auto"/>
          <w:sz w:val="24"/>
          <w:szCs w:val="21"/>
        </w:rPr>
      </w:pPr>
      <w:r>
        <w:rPr>
          <w:rFonts w:hint="eastAsia" w:asciiTheme="majorEastAsia" w:hAnsiTheme="majorEastAsia" w:eastAsiaTheme="majorEastAsia"/>
          <w:color w:val="auto"/>
          <w:sz w:val="24"/>
        </w:rPr>
        <w:t>灾害事件的处理流程包括：事件发生、监视预报、协同会商、协同指挥、抢险救灾、灾后重建、统计上报等步骤</w:t>
      </w:r>
      <w:r>
        <w:rPr>
          <w:rFonts w:hint="eastAsia" w:cs="Times New Roman" w:asciiTheme="majorEastAsia" w:hAnsiTheme="majorEastAsia" w:eastAsiaTheme="majorEastAsia"/>
          <w:color w:val="auto"/>
          <w:sz w:val="24"/>
          <w:szCs w:val="21"/>
        </w:rPr>
        <w:t>。</w:t>
      </w:r>
    </w:p>
    <w:p w14:paraId="7BCF8E02">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演练总结评估</w:t>
      </w:r>
    </w:p>
    <w:p w14:paraId="4BFA5F43">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对参演队伍及人员的表现、演练中暴露的问题、解决问题的办法进行总结，内容包括：演练目的、时间和地点、参演单位和人员、演练方案概要、演练的执行情况、预案的合理性与可操作性、应急力量的响应时间、参演人员的处置能力、演练目标的实现情况、发现的问题与原因、经验和教训以及改进建议等。</w:t>
      </w:r>
    </w:p>
    <w:p w14:paraId="2C315F66">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演练统计分析</w:t>
      </w:r>
    </w:p>
    <w:p w14:paraId="0AED684F">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可按照演练类型、参演单位、演练次数、行政区划等方式对演练进行统计分析，以柱状图、饼状图、统计表等形式展现统计结果，支持对统计结果的导出。通过对预防演练进行统计分析，能够反映出哪些单位或哪种预防演练存在欠缺和不足，需要加强，为预防演练工作优化提升提供数据依据。</w:t>
      </w:r>
    </w:p>
    <w:p w14:paraId="6CD09811">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演练材料管理</w:t>
      </w:r>
    </w:p>
    <w:p w14:paraId="58191607">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演练材料管理对演练计划、演练脚本、演练总结报告等文字资料以及记录演练实施过程中的相关图片、视频、音频等资料进行分类管理，并支持通过关键字、演练主题、参演单位、演练时间等条件进行检索查询。</w:t>
      </w:r>
    </w:p>
    <w:p w14:paraId="2B4B1A9A">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演练交流共享</w:t>
      </w:r>
    </w:p>
    <w:p w14:paraId="677922E2">
      <w:pPr>
        <w:autoSpaceDE w:val="0"/>
        <w:autoSpaceDN w:val="0"/>
        <w:adjustRightInd w:val="0"/>
        <w:ind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演练交流共享通过开放访问权限的方式，为各级应急管理部门以及相关企业提供演练材料以供参考和学习。同时，用户可对共享的演练材料进行意见反馈，提出建议或需求，旨在提高预防演练效果，防止演练流于形式。</w:t>
      </w:r>
    </w:p>
    <w:p w14:paraId="3DA164D5">
      <w:pPr>
        <w:pStyle w:val="8"/>
        <w:numPr>
          <w:ilvl w:val="5"/>
          <w:numId w:val="38"/>
        </w:numPr>
        <w:spacing w:line="240" w:lineRule="auto"/>
        <w:rPr>
          <w:color w:val="auto"/>
        </w:rPr>
      </w:pPr>
      <w:r>
        <w:rPr>
          <w:rFonts w:hint="eastAsia"/>
          <w:color w:val="auto"/>
        </w:rPr>
        <w:t>风险评估</w:t>
      </w:r>
    </w:p>
    <w:p w14:paraId="22C2A35C">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城市管理突发事件的风险评估是城市管理应急处置工作的重要内容。通过科学的监测手段获得的详实数据，经过风险评估系统的加工与处理，为决策者提供辅助决策依据。</w:t>
      </w:r>
    </w:p>
    <w:p w14:paraId="6B50D62F">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本系统提供包括监控目标管理、信息查询、风险研判分析、风险评估模型、风险报告管理等功能。</w:t>
      </w:r>
    </w:p>
    <w:p w14:paraId="54BC627F">
      <w:pPr>
        <w:keepNext/>
        <w:keepLines/>
        <w:numPr>
          <w:ilvl w:val="6"/>
          <w:numId w:val="41"/>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监控目标管理</w:t>
      </w:r>
    </w:p>
    <w:p w14:paraId="7D8B109F">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防护目标管理</w:t>
      </w:r>
    </w:p>
    <w:p w14:paraId="26D1E226">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依据城市综合管理信息资源分类编码标准，按分级分类的原则将重点防护目标等信息进行集中管理，平台提供重点防护目标信息的检索、查看、定位等功能。</w:t>
      </w:r>
    </w:p>
    <w:p w14:paraId="16562B23">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（1）重点防护目标信息管理</w:t>
      </w:r>
    </w:p>
    <w:p w14:paraId="1C4BEB27">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提供重点防护目标的信息管理功能。重点防护目标的信息包括属性信息和地理位置信息、扩展信息等部分。</w:t>
      </w:r>
    </w:p>
    <w:p w14:paraId="2A8BE2BD">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属性信息主要指名称、类型、所属行政区划、所属单位、详细地址、等级、负责人、联系方式等基本信息；</w:t>
      </w:r>
    </w:p>
    <w:p w14:paraId="4A4030ED">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地理位置信息主要指重点防护目标所在地的具体经、纬度，一般以地理信息图层形式存储。</w:t>
      </w:r>
    </w:p>
    <w:p w14:paraId="4ADA57C9">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重点防护目标扩展信息指不同类型的重点防护目标特有的信息。</w:t>
      </w:r>
    </w:p>
    <w:p w14:paraId="1874516D">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（2）重点防护目标查询</w:t>
      </w:r>
    </w:p>
    <w:p w14:paraId="59DCB2E7">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提供对重点防护目标查询的功能。重点防护目标查询通过重点防护目标属性信息查询和地理信息查询两种方式实现。属性信息查询：通过重点防护目标名称、类型、所属部门、所属行政区划进行复合查询；地理信息查询：在二维、三维地图上，通过缓冲区查询特定范围内的重点防护目标，并进行查看。</w:t>
      </w:r>
    </w:p>
    <w:p w14:paraId="425D36BB">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（3）重点防护目标地图定位</w:t>
      </w:r>
    </w:p>
    <w:p w14:paraId="6A9950E0">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针对特定重点防护目标，可迅速进行精确定位。</w:t>
      </w:r>
    </w:p>
    <w:p w14:paraId="3957C621">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危险源管理</w:t>
      </w:r>
    </w:p>
    <w:p w14:paraId="42E33A54">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对涉及城市安全危险源（含风险隐患）进行管理。主要包括重大灾害风险区、运输危险源（石油、危化品等）、生产安全危险源、社会安全隐患等。</w:t>
      </w:r>
    </w:p>
    <w:p w14:paraId="699AC5AE">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危险源信息的更新和维护均由重大危险源主管部门定期进行；各单位之间重大危险源信息的共享由系统统一进行资源授权。</w:t>
      </w:r>
    </w:p>
    <w:p w14:paraId="31202294">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（1）重大危险源信息管理</w:t>
      </w:r>
    </w:p>
    <w:p w14:paraId="1BCE6AE1">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提供重大危险源的信息管理功能。重大危险源的信息包括属性信息和地理位置信息、扩展信息等部分。</w:t>
      </w:r>
    </w:p>
    <w:p w14:paraId="26F31B4C">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属性信息主要指名称、类型、所属行政区划、所属单位、详细地址、等级、负责人、联系方式等基本信息；</w:t>
      </w:r>
    </w:p>
    <w:p w14:paraId="09D9485E">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地理位置信息主要指重大危险源所在地的具体经、纬度，一般以地理图层形式存储。</w:t>
      </w:r>
    </w:p>
    <w:p w14:paraId="0C3405CF">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重大危险源扩展信息指不同类型的重大危险源特有的信息。</w:t>
      </w:r>
    </w:p>
    <w:p w14:paraId="7B5087C0">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（2）重大危险源查询</w:t>
      </w:r>
    </w:p>
    <w:p w14:paraId="6130BFC4">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提供对重大危险源查询的功能。重大危险源查询通过重大危险源属性信息查询和地理信息查询两种方式实现。属性信息查询：通过重大危险源名称、类型、所属部门、所属行政区划进行复合查询；地理信息查询：在二维、三维地图上，通过缓冲区查询特定范围内的重大危险源，并进行查看。</w:t>
      </w:r>
    </w:p>
    <w:p w14:paraId="78A55E09">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（3）重大危险源地图定位</w:t>
      </w:r>
    </w:p>
    <w:p w14:paraId="2B206B0C">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针对特定重大危险源，可迅速进行精确定位。</w:t>
      </w:r>
    </w:p>
    <w:p w14:paraId="70B30909">
      <w:pPr>
        <w:keepNext/>
        <w:keepLines/>
        <w:numPr>
          <w:ilvl w:val="6"/>
          <w:numId w:val="41"/>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风险信息查询</w:t>
      </w:r>
    </w:p>
    <w:p w14:paraId="3BD30234">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风险区划查询</w:t>
      </w:r>
    </w:p>
    <w:p w14:paraId="13B45667">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实现现有的风险区划成果数字化处理，实现本地各类城市突发事件风险区划信息化展示，接入气象、应急、水利等部门数据信息，实现GIS动态跟踪及预警提示。</w:t>
      </w:r>
    </w:p>
    <w:p w14:paraId="33FC5F6B">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展示不同需求背景下的风险空间分布情况，并针对每类风险给出防御措施与针对性的建议，规避隐患风险。城市内涝风险评估：在GIS地图上标注易积涝区（点），直观展示当前最新积涝分布图，以热力图形式展现主干道积水范围与积水深度，达到阈值时进行报警提醒。</w:t>
      </w:r>
    </w:p>
    <w:p w14:paraId="1D2DF6D1">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避灾点查询</w:t>
      </w:r>
    </w:p>
    <w:p w14:paraId="7CA19416">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利用关键字、周边搜索、方搜、圆搜等多种查询、搜索和空间分析方式对避灾点进行查询和空间定位，可查看避灾点的面积、容纳人数以及配套的应急救助设施、储备应急物资等。</w:t>
      </w:r>
    </w:p>
    <w:p w14:paraId="660D13CE">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撤离路线分析</w:t>
      </w:r>
    </w:p>
    <w:p w14:paraId="7A3E1A13">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系统提供撤离路线分析功能，即在灾害的应急状态下，可通过该分析功能得到最佳撤离路线。将分析的结果标绘在地图上，并配以路线行走的文字描述，如，哪里转弯、沿某条路行走多长距离。若灾害比较严重，发生道路淹没、阻断等情况，系统提供相应的设置功能，则系统根据堵塞情况自动更新撤离路线。该功能的后台路径数据库基于导航路径，数据精度、时效性有保障。</w:t>
      </w:r>
    </w:p>
    <w:p w14:paraId="2A184553">
      <w:pPr>
        <w:keepNext/>
        <w:keepLines/>
        <w:numPr>
          <w:ilvl w:val="6"/>
          <w:numId w:val="41"/>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风险研判分析</w:t>
      </w:r>
    </w:p>
    <w:p w14:paraId="7A600553">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建立集收集、直报、汇总、分析等功能的风险研判分析，实现城市突发事件风险的视频、图片以及文字收集。</w:t>
      </w:r>
    </w:p>
    <w:p w14:paraId="36FE1E70">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风险信息录入</w:t>
      </w:r>
    </w:p>
    <w:p w14:paraId="552F12F4">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系统提供后台风险信息录入功能，包括易发区信息、事故隐患点信息、危险源风险信息等内容。可支持对录入的风险信息进行编辑、删除等操作。</w:t>
      </w:r>
    </w:p>
    <w:p w14:paraId="4FD25252">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风险态势标绘</w:t>
      </w:r>
    </w:p>
    <w:p w14:paraId="43D79E06">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调用通用地理信息相关软件标绘工具，对风险分析结果进行可视化展示，通过二维或三维符号化功能，动态数据展现等技术，直观生动地表达风险分析结果。</w:t>
      </w:r>
    </w:p>
    <w:p w14:paraId="1817CB64">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风险研判</w:t>
      </w:r>
    </w:p>
    <w:p w14:paraId="37A01A47">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系统提供为各级授权用户共享基于行政地图、卫星影像、地形图等多种形式，对地理信息、灾害易发区信息、灾害隐患点信息、危险源风险信息、基础设施信息、社会经济基础信息以及共享的监测信息、预报预警信息数据的叠加显示和查询功能。</w:t>
      </w:r>
    </w:p>
    <w:p w14:paraId="204660D8">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风险分析统计</w:t>
      </w:r>
    </w:p>
    <w:p w14:paraId="44C5C6D8">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系统提供为各市县级授权用户提供突发公共事件风险落区内共享信息的查询统计及汇总分析功能，实现根据用户筛选数据种类包括风险类型、风险等级、发布区域、信息来源等进行查询、统计汇总以及生成查询统计报表并提供导出、打印功能。</w:t>
      </w:r>
    </w:p>
    <w:p w14:paraId="6678AB87">
      <w:pPr>
        <w:keepNext/>
        <w:keepLines/>
        <w:numPr>
          <w:ilvl w:val="6"/>
          <w:numId w:val="41"/>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风险评估模型</w:t>
      </w:r>
    </w:p>
    <w:p w14:paraId="685EA758">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建立城市突发事件风险隐患评估模型，从城市突发事件危险性和脆弱性两个维度构建城市突发事件风险评估指标体系。实现对高风险区域、高风险隐患点原生风险可能造成的次生衍生风险及其造成影响的分析。测算发生次生衍生风险，造成的影响范围、持续事件、未来发展态势等信息。针对城市突发事件高风险隐患点周边情况可进行快速分析，依托系统内置模型，运用次生衍生事件链技术，依据多灾种和高风险点周边及高风险区域内的基础资源、突发事件次生多因素的耦合规律、承载体的脆弱性，分析事故灾害可能引发的次生衍生灾害。并制作成次生衍生事件风险服务信息，为相关部门应对城市突发事件风险防御提供信息支撑服务。</w:t>
      </w:r>
    </w:p>
    <w:p w14:paraId="1A0B663F">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突发事件风险评估指标</w:t>
      </w:r>
    </w:p>
    <w:p w14:paraId="185A40A4">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以城市各类突发事件的历史资料和现有的相关数据为依据，运用科学预测和统计分析等技术和方法，对城市各类突发事件发生的可能性和突发事件发生后承灾体可能遭受的损失进行的科学估算。为有效的预防和积极的应对突发事件提供辅助参考。城市突发事件风险评估由城市突发事件危险性评估和承灾体脆弱性评估两部分构成，因此，评估指标体系也围绕这两部分进行构建。</w:t>
      </w:r>
    </w:p>
    <w:p w14:paraId="58E54C37">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（1）危险性评估指标</w:t>
      </w:r>
    </w:p>
    <w:p w14:paraId="54F23886">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突发事件危险性指的是一个地区因其特殊的自然环境、人文环境以及以往突发事件发生状况所决定的各种突发事件发生的可能性。自然灾害类突发事件的发生可能性由孕灾环境稳定性和突发事件历史灾情两部分构成，而其他三类突发事件的发生可能性主要由突发事件历史灾情决定</w:t>
      </w:r>
    </w:p>
    <w:p w14:paraId="229627BF">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孕灾环境稳定性评估指标包括地形、地貌、水文、气候、植被、土壤、动植物等内容。</w:t>
      </w:r>
    </w:p>
    <w:p w14:paraId="6DDE4C25">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突发事件历史灾情是指各类突发事件的历史发生状况。包括事件强度和发生频次。</w:t>
      </w:r>
    </w:p>
    <w:p w14:paraId="5D19F987">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（2）承灾体脆弱性评估指标</w:t>
      </w:r>
    </w:p>
    <w:p w14:paraId="641E9294">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 xml:space="preserve"> 包括承灾体物理暴露性和承灾体区域防抗突发事件风险的基础应灾能力两方面设计承灾体的脆弱性评估指标体系。</w:t>
      </w:r>
    </w:p>
    <w:p w14:paraId="0A95992E">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承灾体物理暴露性评估指标包括人口密度、经济密度、建筑密度、矿藏种类、森林覆盖率、人均供应煤气总量、人均供水总量和人均城市道路面积等。</w:t>
      </w:r>
    </w:p>
    <w:p w14:paraId="403589EB">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承灾体区域基础应灾能力评估指标包括人力资源、财力资源、物资基础。</w:t>
      </w:r>
    </w:p>
    <w:p w14:paraId="0ACDC240">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其中人力资源具体指的是人口年龄指数、各类专业技术人员数、每千人医生数；财力资源具体指的是人均可支配收入；物资基础具体指的是城市区域内应急抢险能力或灾害信息预警发布能力，包括每千人病床数、每百户居民移动电话数、警力密度。</w:t>
      </w:r>
    </w:p>
    <w:p w14:paraId="581ED389">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评估指标管理</w:t>
      </w:r>
    </w:p>
    <w:p w14:paraId="39F1D85C">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1</w:t>
      </w:r>
      <w:r>
        <w:rPr>
          <w:rFonts w:hint="eastAsia" w:cs="Times New Roman" w:asciiTheme="majorEastAsia" w:hAnsiTheme="majorEastAsia" w:eastAsiaTheme="majorEastAsia"/>
          <w:color w:val="auto"/>
          <w:sz w:val="24"/>
          <w:szCs w:val="21"/>
        </w:rPr>
        <w:t>）指标修改</w:t>
      </w:r>
    </w:p>
    <w:p w14:paraId="062F16E0">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可以对导入到系统中的评估指标，按照条件查询出，然后进行相应的指标修改，并保存回系统中。</w:t>
      </w:r>
    </w:p>
    <w:p w14:paraId="19B38B3B">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2</w:t>
      </w:r>
      <w:r>
        <w:rPr>
          <w:rFonts w:hint="eastAsia" w:cs="Times New Roman" w:asciiTheme="majorEastAsia" w:hAnsiTheme="majorEastAsia" w:eastAsiaTheme="majorEastAsia"/>
          <w:color w:val="auto"/>
          <w:sz w:val="24"/>
          <w:szCs w:val="21"/>
        </w:rPr>
        <w:t>）指标删除</w:t>
      </w:r>
    </w:p>
    <w:p w14:paraId="1F377FB2">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可以对导入到系统中的评估指标，按照条件查询出，然后进行相应的指标删除操作。</w:t>
      </w:r>
    </w:p>
    <w:p w14:paraId="7175A9E6">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3</w:t>
      </w:r>
      <w:r>
        <w:rPr>
          <w:rFonts w:hint="eastAsia" w:cs="Times New Roman" w:asciiTheme="majorEastAsia" w:hAnsiTheme="majorEastAsia" w:eastAsiaTheme="majorEastAsia"/>
          <w:color w:val="auto"/>
          <w:sz w:val="24"/>
          <w:szCs w:val="21"/>
        </w:rPr>
        <w:t>）指标恢复</w:t>
      </w:r>
    </w:p>
    <w:p w14:paraId="78F9AF7C">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可以对删除的指标进行回收，以便于日后恢复。</w:t>
      </w:r>
    </w:p>
    <w:p w14:paraId="202D678C">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w:t>
      </w:r>
      <w:r>
        <w:rPr>
          <w:rFonts w:cs="Times New Roman" w:asciiTheme="majorEastAsia" w:hAnsiTheme="majorEastAsia" w:eastAsiaTheme="majorEastAsia"/>
          <w:color w:val="auto"/>
          <w:sz w:val="24"/>
          <w:szCs w:val="21"/>
        </w:rPr>
        <w:t>4</w:t>
      </w:r>
      <w:r>
        <w:rPr>
          <w:rFonts w:hint="eastAsia" w:cs="Times New Roman" w:asciiTheme="majorEastAsia" w:hAnsiTheme="majorEastAsia" w:eastAsiaTheme="majorEastAsia"/>
          <w:color w:val="auto"/>
          <w:sz w:val="24"/>
          <w:szCs w:val="21"/>
        </w:rPr>
        <w:t>）指标导出</w:t>
      </w:r>
    </w:p>
    <w:p w14:paraId="33D6F355">
      <w:pPr>
        <w:spacing w:before="159" w:after="159"/>
        <w:ind w:firstLine="480" w:firstLineChars="200"/>
        <w:rPr>
          <w:rFonts w:cs="Times New Roman" w:asciiTheme="majorEastAsia" w:hAnsiTheme="majorEastAsia" w:eastAsiaTheme="majorEastAsia"/>
          <w:color w:val="auto"/>
          <w:sz w:val="24"/>
          <w:szCs w:val="21"/>
        </w:rPr>
      </w:pPr>
      <w:r>
        <w:rPr>
          <w:rFonts w:cs="Times New Roman" w:asciiTheme="majorEastAsia" w:hAnsiTheme="majorEastAsia" w:eastAsiaTheme="majorEastAsia"/>
          <w:color w:val="auto"/>
          <w:sz w:val="24"/>
          <w:szCs w:val="21"/>
        </w:rPr>
        <w:t xml:space="preserve"> </w:t>
      </w:r>
      <w:r>
        <w:rPr>
          <w:rFonts w:hint="eastAsia" w:cs="Times New Roman" w:asciiTheme="majorEastAsia" w:hAnsiTheme="majorEastAsia" w:eastAsiaTheme="majorEastAsia"/>
          <w:color w:val="auto"/>
          <w:sz w:val="24"/>
          <w:szCs w:val="21"/>
        </w:rPr>
        <w:t>可以对导入到系统中的指标，按照条件查询出，然后进行相应的指标导出操作。</w:t>
      </w:r>
    </w:p>
    <w:p w14:paraId="1071459E">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评估公式管理</w:t>
      </w:r>
    </w:p>
    <w:p w14:paraId="6EA15628">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通过公式编辑器实现对公式新建、删除、查询、修改的灵活编辑。公式包括基础算术公式、高级运算公式、逻辑运算公式以及对这些公式的多重组合。</w:t>
      </w:r>
    </w:p>
    <w:p w14:paraId="4F9D3049">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评估方法管理</w:t>
      </w:r>
    </w:p>
    <w:p w14:paraId="54EED24E">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通过评估方法定制界面实现评价方法的灵活定制，包括评价方法的新建、删除、查询、修改。</w:t>
      </w:r>
    </w:p>
    <w:p w14:paraId="30EED6A8">
      <w:pPr>
        <w:pStyle w:val="3"/>
        <w:numPr>
          <w:ilvl w:val="6"/>
          <w:numId w:val="38"/>
        </w:numPr>
        <w:spacing w:line="240" w:lineRule="auto"/>
        <w:rPr>
          <w:color w:val="auto"/>
        </w:rPr>
      </w:pPr>
      <w:r>
        <w:rPr>
          <w:rFonts w:hint="eastAsia"/>
          <w:color w:val="auto"/>
        </w:rPr>
        <w:t>风险报告管理</w:t>
      </w:r>
    </w:p>
    <w:p w14:paraId="5E43240A">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风险报告管理包含局属单位上报的风险报告和风险隐患监测防控系统产生的风险报告，进行编辑和输出。</w:t>
      </w:r>
    </w:p>
    <w:p w14:paraId="634AE18B">
      <w:pPr>
        <w:pStyle w:val="8"/>
        <w:numPr>
          <w:ilvl w:val="5"/>
          <w:numId w:val="38"/>
        </w:numPr>
        <w:spacing w:line="240" w:lineRule="auto"/>
        <w:rPr>
          <w:color w:val="auto"/>
        </w:rPr>
      </w:pPr>
      <w:r>
        <w:rPr>
          <w:rFonts w:hint="eastAsia"/>
          <w:color w:val="auto"/>
        </w:rPr>
        <w:t>指挥联动</w:t>
      </w:r>
    </w:p>
    <w:p w14:paraId="71A46472">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在现有</w:t>
      </w:r>
      <w:r>
        <w:rPr>
          <w:rFonts w:cs="Times New Roman" w:asciiTheme="majorEastAsia" w:hAnsiTheme="majorEastAsia" w:eastAsiaTheme="majorEastAsia"/>
          <w:color w:val="auto"/>
          <w:sz w:val="24"/>
          <w:szCs w:val="21"/>
        </w:rPr>
        <w:t>e</w:t>
      </w:r>
      <w:r>
        <w:rPr>
          <w:rFonts w:hint="eastAsia" w:cs="Times New Roman" w:asciiTheme="majorEastAsia" w:hAnsiTheme="majorEastAsia" w:eastAsiaTheme="majorEastAsia"/>
          <w:color w:val="auto"/>
          <w:sz w:val="24"/>
          <w:szCs w:val="21"/>
        </w:rPr>
        <w:t>福州综合指挥平台的基础上拓展提升，完善横向联动“市政、园林、环卫、城管”等多部门、纵向贯穿“市、区县、街镇、社区、网格”五级的事件处置体系，完成城市管理事件的统一预防准备与指挥联动处置。</w:t>
      </w:r>
    </w:p>
    <w:p w14:paraId="0A920770">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系统主要实现指挥体系联动、资源调度联动、指挥处置联动、督查督办联动等方面的提升建设，切实推进共建共治共享的城市治理体系，提升城市突发事件部门联动反应能力，确保先期处置快速高效。</w:t>
      </w:r>
    </w:p>
    <w:p w14:paraId="5BA3C2A9">
      <w:pPr>
        <w:pStyle w:val="3"/>
        <w:numPr>
          <w:ilvl w:val="6"/>
          <w:numId w:val="38"/>
        </w:numPr>
        <w:spacing w:line="240" w:lineRule="auto"/>
        <w:rPr>
          <w:color w:val="auto"/>
        </w:rPr>
      </w:pPr>
      <w:r>
        <w:rPr>
          <w:rFonts w:hint="eastAsia"/>
          <w:color w:val="auto"/>
        </w:rPr>
        <w:t>指挥体系联动</w:t>
      </w:r>
    </w:p>
    <w:p w14:paraId="1CC605F2">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在现有</w:t>
      </w:r>
      <w:r>
        <w:rPr>
          <w:rFonts w:cs="Times New Roman" w:asciiTheme="majorEastAsia" w:hAnsiTheme="majorEastAsia" w:eastAsiaTheme="majorEastAsia"/>
          <w:color w:val="auto"/>
          <w:sz w:val="24"/>
          <w:szCs w:val="21"/>
        </w:rPr>
        <w:t>e</w:t>
      </w:r>
      <w:r>
        <w:rPr>
          <w:rFonts w:hint="eastAsia" w:cs="Times New Roman" w:asciiTheme="majorEastAsia" w:hAnsiTheme="majorEastAsia" w:eastAsiaTheme="majorEastAsia"/>
          <w:color w:val="auto"/>
          <w:sz w:val="24"/>
          <w:szCs w:val="21"/>
        </w:rPr>
        <w:t>福州综合指挥平台基础上，升级建立指挥联动体系。全面整合社会各种服务资源，将公安交管、城乡建设、交通运输、自然资源、生态环境等众多政府管理部门全面纳入统一的城市应急指挥调度系统当中，为民众应急求助和应急管理提高服务，形成集公安、消防、交通、医疗卫生、公共事业等多个部门为一体的社会紧急救助保障系统。城市应急联动指挥体系的建立能够切实加强各政府职能部门之间的协调合作和协同作战，能够形成纵向指挥得当、横向相互配合的应急管理格局，能够对城市突发事件和紧急事态做出有序、快速高效的应对措施。</w:t>
      </w:r>
    </w:p>
    <w:p w14:paraId="5985E95A">
      <w:pPr>
        <w:spacing w:before="159" w:after="159"/>
        <w:ind w:firstLine="480" w:firstLineChars="200"/>
        <w:rPr>
          <w:rFonts w:cs="Arial"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城市突发事件指挥联动需要规范指挥体系和指挥调度联动，形成横向沟通、上下一体的指挥关系，将尽可能多的救援与保障单元纳入同一个信息层次，缩短信息流程，实现信息共享，以满足救援实时决策、实时指挥、实时反馈的要求。</w:t>
      </w:r>
      <w:r>
        <w:rPr>
          <w:rFonts w:hint="eastAsia" w:cs="Arial" w:asciiTheme="majorEastAsia" w:hAnsiTheme="majorEastAsia" w:eastAsiaTheme="majorEastAsia"/>
          <w:color w:val="auto"/>
          <w:sz w:val="24"/>
          <w:szCs w:val="21"/>
        </w:rPr>
        <w:t>建设现代化的</w:t>
      </w:r>
      <w:r>
        <w:rPr>
          <w:rFonts w:hint="eastAsia" w:cs="Times New Roman" w:asciiTheme="majorEastAsia" w:hAnsiTheme="majorEastAsia" w:eastAsiaTheme="majorEastAsia"/>
          <w:color w:val="auto"/>
          <w:sz w:val="24"/>
          <w:szCs w:val="21"/>
        </w:rPr>
        <w:t>突发事件</w:t>
      </w:r>
      <w:r>
        <w:rPr>
          <w:rFonts w:hint="eastAsia" w:cs="Arial" w:asciiTheme="majorEastAsia" w:hAnsiTheme="majorEastAsia" w:eastAsiaTheme="majorEastAsia"/>
          <w:color w:val="auto"/>
          <w:sz w:val="24"/>
          <w:szCs w:val="21"/>
        </w:rPr>
        <w:t>指挥联动体系，有利于实现应急预案的科学性、应急物资的准确性、应急通信的便捷性、应急队伍的合理性、应急专家的全面性和应急信息的权威性。</w:t>
      </w:r>
    </w:p>
    <w:p w14:paraId="5F092BDA">
      <w:pPr>
        <w:spacing w:before="159" w:after="159"/>
        <w:ind w:firstLine="480" w:firstLineChars="200"/>
        <w:rPr>
          <w:rFonts w:cs="Arial" w:asciiTheme="majorEastAsia" w:hAnsiTheme="majorEastAsia" w:eastAsiaTheme="majorEastAsia"/>
          <w:color w:val="auto"/>
          <w:sz w:val="24"/>
          <w:szCs w:val="21"/>
        </w:rPr>
      </w:pPr>
      <w:r>
        <w:rPr>
          <w:rFonts w:hint="eastAsia" w:cs="Arial" w:asciiTheme="majorEastAsia" w:hAnsiTheme="majorEastAsia" w:eastAsiaTheme="majorEastAsia"/>
          <w:color w:val="auto"/>
          <w:sz w:val="24"/>
          <w:szCs w:val="21"/>
        </w:rPr>
        <w:t>城市突发事件指挥联动体系包括组织体系管理、信息自动关联、信息快速检索、指挥保障体系和指挥管理体系。</w:t>
      </w:r>
    </w:p>
    <w:p w14:paraId="34441231">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组织体系管理</w:t>
      </w:r>
    </w:p>
    <w:p w14:paraId="2D3AF019">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各联动单位要建立指挥联动组织体系，明确组织机构、指挥力量、救援力量、调度流程等信息。实现根据各级各类应急预案抽取应急处置及应急指挥的相关人员、所属机构、联系方式等信息。需明确指挥城市突发事件管理工作的领导机构，在领导的指挥下，由相关的行业部门指挥力量参与城市突发的事件的指挥联动工作。包括机构名称、机构人员、机构编码、机构职责等信息。</w:t>
      </w:r>
    </w:p>
    <w:p w14:paraId="223925AB">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信息自动关联</w:t>
      </w:r>
    </w:p>
    <w:p w14:paraId="6BD936A5">
      <w:pPr>
        <w:spacing w:before="240" w:after="156"/>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能依据预案和响应级别自动关联城市内涝、井盖缺失、树木倒伏等不同类型突发事件的所需应急处置专业人员及指挥人员信息。</w:t>
      </w:r>
    </w:p>
    <w:p w14:paraId="66F218F7">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信息快速检索</w:t>
      </w:r>
    </w:p>
    <w:p w14:paraId="40C9269C">
      <w:pPr>
        <w:spacing w:before="240" w:after="156"/>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能够实现按人员姓名、机构名称、事件类型、级别、事发地等检索条件进行查询。</w:t>
      </w:r>
    </w:p>
    <w:p w14:paraId="57060B55">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指挥保障体系</w:t>
      </w:r>
    </w:p>
    <w:p w14:paraId="5C17368E">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构建指挥体联动系专有通讯录。包含成员的职位信息、电话信息等信息。同时可实现息的添加、编辑、删除等操作，辅助全市指挥体系的快速构建。</w:t>
      </w:r>
    </w:p>
    <w:p w14:paraId="7B3EBBF6">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指挥管理体系</w:t>
      </w:r>
    </w:p>
    <w:p w14:paraId="5EA603B8">
      <w:pPr>
        <w:numPr>
          <w:ilvl w:val="0"/>
          <w:numId w:val="44"/>
        </w:numPr>
        <w:snapToGrid w:val="0"/>
        <w:ind w:left="0"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系培训教育管理</w:t>
      </w:r>
    </w:p>
    <w:p w14:paraId="2758892F">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培训教育管理功能主要提供各行业部门进行应急法律法规和预防、避险等常识的培训，增强员工的忧患意识、社会责任意识和自救、互救能力。对应急救援和管理人员进行专业培训，提高其应急专业技能。包括培训计划、培训内容、培训记录、统计分析等功能。</w:t>
      </w:r>
    </w:p>
    <w:p w14:paraId="17F13C94">
      <w:pPr>
        <w:numPr>
          <w:ilvl w:val="0"/>
          <w:numId w:val="44"/>
        </w:numPr>
        <w:snapToGrid w:val="0"/>
        <w:ind w:left="0"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责任奖惩管理</w:t>
      </w:r>
    </w:p>
    <w:p w14:paraId="205A3BB1">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责任与奖惩管理功能主要是对城市突发事件处置工作实行责任追究制。对城市突发事件管理工作中做出突出贡献的先进集体和个人要给予表彰和奖励，对迟报、谎报和瞒报突发事故重要情况或者应急管理工作中有其他失职、渎职行为而丧失应急的最佳机会造成人员伤亡或重大经济损失的，对有关责任人给予处罚或行政处分。包括责任奖惩制度、责任奖惩周期、责任奖惩综合查询、责任奖惩统计分析等功能。</w:t>
      </w:r>
    </w:p>
    <w:p w14:paraId="7743D857">
      <w:pPr>
        <w:keepNext/>
        <w:keepLines/>
        <w:numPr>
          <w:ilvl w:val="6"/>
          <w:numId w:val="41"/>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资源调度联动</w:t>
      </w:r>
    </w:p>
    <w:p w14:paraId="3AA275DC">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资源调度联动主要实现包括视频资源调度、应急力量调度、物资资源调度、交通运输调度、人员防护管理、医疗保障管理和通讯资源调度等内容。</w:t>
      </w:r>
    </w:p>
    <w:p w14:paraId="3CA17E47">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视频资源调度</w:t>
      </w:r>
    </w:p>
    <w:p w14:paraId="226E3A55">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视频资源调度主要实现对视频资源的调取、查看、云台控制等功能。在城市突发事件应急处置过程中，通过对视频资源的调度，为指挥中心的指挥决策的有效支撑。视频监控作为案件的内容来源，也是案件处置过程中指挥中心的眼睛，是可视化指挥的基础，贯穿整个案件处理过程。因此如何在指挥中用好视频监控，对提高案件处置效率和手段都是极大的帮助。</w:t>
      </w:r>
    </w:p>
    <w:p w14:paraId="0179EC71">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在实际指挥中心业务中视频监控资源主是直击现场的重要手段，在多级会商决策或者指挥中，监控、视频会议从协议层融合，可以直接实现在会议中调用现场视频。共享到各级单位，实现协同指挥。指挥中心情况考虑多来源分析，在指挥中心独立构建智能分析平台，用于各种来源监控视频线索分析，辅助决策。</w:t>
      </w:r>
    </w:p>
    <w:p w14:paraId="7701280E">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应急力量调度</w:t>
      </w:r>
    </w:p>
    <w:p w14:paraId="05974CF4">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完成对应急人力资源的基础信息维护，工作组织结构的维护，人员队伍模块化，人员分类管理、后备力量管理等多项功能。通过汇总各个部门的人力，对可调用人员能力和数量进行管理。依据组织结构，对城市管理突发事件中应急处置部门、协助处置部门、应急救援专业部门、保障部门等职责予以明确。同时对各个时段整体人力资源的工作、调休情况进行管理，确保突发事件发生时的人员调动需求和足够的后备人力补充，实现应急队伍保障。</w:t>
      </w:r>
    </w:p>
    <w:p w14:paraId="5A062153">
      <w:pPr>
        <w:spacing w:before="159" w:after="159"/>
        <w:ind w:firstLine="512" w:firstLineChars="200"/>
        <w:rPr>
          <w:rFonts w:cs="宋体"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将城市突发事件应对人力资源力量建设信息进行集中管理，提供人力资源力量建设信息的检索、查看、定位、导入、导出及审核等功能。主要包括人力资源力量数据登记、人力资源力量信息审核、人力资源力量分类管理、多维统计、空间分析等功能。</w:t>
      </w:r>
      <w:r>
        <w:rPr>
          <w:rFonts w:hint="eastAsia" w:cs="宋体" w:asciiTheme="majorEastAsia" w:hAnsiTheme="majorEastAsia" w:eastAsiaTheme="majorEastAsia"/>
          <w:color w:val="auto"/>
          <w:spacing w:val="8"/>
          <w:sz w:val="24"/>
          <w:szCs w:val="21"/>
        </w:rPr>
        <w:t>建立联动协调机制，提高装备水平，动员全员有组织的参与应急救援工作。</w:t>
      </w:r>
    </w:p>
    <w:p w14:paraId="3D9773CB">
      <w:pPr>
        <w:numPr>
          <w:ilvl w:val="0"/>
          <w:numId w:val="45"/>
        </w:numPr>
        <w:adjustRightInd w:val="0"/>
        <w:snapToGrid w:val="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人力资源力量登记</w:t>
      </w:r>
    </w:p>
    <w:p w14:paraId="54E13553">
      <w:pPr>
        <w:adjustRightInd w:val="0"/>
        <w:snapToGrid w:val="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依据指挥联动体系人力信息资源标准配置要求，可按照城市突发事件人力资源力量信息填报模版对市突发事件人力资源力量进行内容添加，并在地图上进行定位，支持EXCEL数据批量导入。</w:t>
      </w:r>
    </w:p>
    <w:p w14:paraId="39F8CBC5">
      <w:pPr>
        <w:numPr>
          <w:ilvl w:val="0"/>
          <w:numId w:val="45"/>
        </w:numPr>
        <w:adjustRightInd w:val="0"/>
        <w:snapToGrid w:val="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人力资源力量备案</w:t>
      </w:r>
    </w:p>
    <w:p w14:paraId="40B24206">
      <w:pPr>
        <w:adjustRightInd w:val="0"/>
        <w:snapToGrid w:val="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可根据城市突发事件业务需求对下级政府和单位报送的人力资源力量信息进行备案。可批量审核做出通过与不通过的不同操作，并给予不通过原因批示。下级政府和有关部门可对审核不通过的人力资源力量数据进行修改，系统对更新操作提供提醒和二次审核功能。</w:t>
      </w:r>
    </w:p>
    <w:p w14:paraId="2FCB86CF">
      <w:pPr>
        <w:numPr>
          <w:ilvl w:val="0"/>
          <w:numId w:val="45"/>
        </w:numPr>
        <w:adjustRightInd w:val="0"/>
        <w:snapToGrid w:val="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人力资源力量综合查询</w:t>
      </w:r>
    </w:p>
    <w:p w14:paraId="010540F9">
      <w:pPr>
        <w:adjustRightInd w:val="0"/>
        <w:snapToGrid w:val="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以信息列表形式对地方及社会应急救援力量的不同分类、管辖单位等进行维护管理，支持数据批量更新；对地方及社会应急救援力量信息按名称、地址、更新时间进行过滤检索，并支持模糊查询。</w:t>
      </w:r>
    </w:p>
    <w:p w14:paraId="0017945D">
      <w:pPr>
        <w:numPr>
          <w:ilvl w:val="0"/>
          <w:numId w:val="45"/>
        </w:numPr>
        <w:adjustRightInd w:val="0"/>
        <w:snapToGrid w:val="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人力资源力量统计分析</w:t>
      </w:r>
    </w:p>
    <w:p w14:paraId="7DD1A43F">
      <w:pPr>
        <w:adjustRightInd w:val="0"/>
        <w:snapToGrid w:val="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按照人力资源力量类型、行政区划等方式对人力资源力量根据人力资源力量数量、人力资源力量人数等进行统计分析，以柱状图、饼状图、统计表等多种形式展现统计结果，支持对统计结果的导出。</w:t>
      </w:r>
    </w:p>
    <w:p w14:paraId="0DC6E6DC">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通讯资源调度</w:t>
      </w:r>
    </w:p>
    <w:p w14:paraId="70598F56">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对城市突发公共事件的有关通讯保障、通讯录等备案信息进行分类管理。实现多语音网络、多终端的语音、多视频系统的全联接，实现固定电话、移动电话、各种集群终端、智真会议等不同通信设备之间的互联互通，通过多种网络融合的语音通信，实现对城市突发事件应急处置的统一指挥调度和应急决策信息的快速传达。包括</w:t>
      </w:r>
      <w:r>
        <w:rPr>
          <w:rFonts w:hint="eastAsia" w:cs="Times New Roman" w:asciiTheme="majorEastAsia" w:hAnsiTheme="majorEastAsia" w:eastAsiaTheme="majorEastAsia"/>
          <w:color w:val="auto"/>
          <w:spacing w:val="8"/>
          <w:sz w:val="24"/>
        </w:rPr>
        <w:t>通讯资源登记、通讯资源分类、通讯资源多维统计、通讯资源一张图等功能。</w:t>
      </w:r>
    </w:p>
    <w:p w14:paraId="12984188">
      <w:pPr>
        <w:numPr>
          <w:ilvl w:val="0"/>
          <w:numId w:val="46"/>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通讯资源登记</w:t>
      </w:r>
    </w:p>
    <w:p w14:paraId="49792891">
      <w:pPr>
        <w:spacing w:before="159" w:after="159"/>
        <w:ind w:firstLine="480"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z w:val="24"/>
          <w:szCs w:val="21"/>
        </w:rPr>
        <w:t>支持对接已有系统获取通讯保障数据和数据导入等方式获得通讯保障数据。并在地图上进行定位，支持</w:t>
      </w:r>
      <w:r>
        <w:rPr>
          <w:rFonts w:cs="Times New Roman" w:asciiTheme="majorEastAsia" w:hAnsiTheme="majorEastAsia" w:eastAsiaTheme="majorEastAsia"/>
          <w:color w:val="auto"/>
          <w:sz w:val="24"/>
          <w:szCs w:val="21"/>
        </w:rPr>
        <w:t>EXCEL</w:t>
      </w:r>
      <w:r>
        <w:rPr>
          <w:rFonts w:hint="eastAsia" w:cs="Times New Roman" w:asciiTheme="majorEastAsia" w:hAnsiTheme="majorEastAsia" w:eastAsiaTheme="majorEastAsia"/>
          <w:color w:val="auto"/>
          <w:sz w:val="24"/>
          <w:szCs w:val="21"/>
        </w:rPr>
        <w:t>数据批量导入。</w:t>
      </w:r>
    </w:p>
    <w:p w14:paraId="6521E221">
      <w:pPr>
        <w:numPr>
          <w:ilvl w:val="0"/>
          <w:numId w:val="46"/>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通讯资源分类</w:t>
      </w:r>
    </w:p>
    <w:p w14:paraId="277FA518">
      <w:pPr>
        <w:spacing w:before="159" w:after="159"/>
        <w:ind w:firstLine="480"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z w:val="24"/>
          <w:szCs w:val="21"/>
        </w:rPr>
        <w:t>以信息列表形式对应急通信保障机构数据、各级基础电信运营商数据和行业专用通信保障机构数据等进行维护管理，支持数据批量更新；对通讯保障信息按名称、地址、更新时间进行过滤检索，并支持模糊查询。</w:t>
      </w:r>
    </w:p>
    <w:p w14:paraId="7310BDA4">
      <w:pPr>
        <w:numPr>
          <w:ilvl w:val="0"/>
          <w:numId w:val="46"/>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通讯资源多维统计</w:t>
      </w:r>
    </w:p>
    <w:p w14:paraId="665E93CF">
      <w:pPr>
        <w:spacing w:before="159" w:after="159"/>
        <w:ind w:firstLine="480"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z w:val="24"/>
          <w:szCs w:val="21"/>
        </w:rPr>
        <w:t>按照通讯保障类型、行政区划等方式对通讯保障进行统计分析，以柱状图、饼状图、统计表等形式展现统计结果，支持对统计结果的导出。</w:t>
      </w:r>
    </w:p>
    <w:p w14:paraId="6497EAD2">
      <w:pPr>
        <w:numPr>
          <w:ilvl w:val="0"/>
          <w:numId w:val="46"/>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通讯资源一张图</w:t>
      </w:r>
    </w:p>
    <w:p w14:paraId="09139BF1">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按照通讯保障类型、行政区划、主管单位等多种方式查询通讯保障基于地图的空间分布，及可显示详细信息，并支持地图输出。</w:t>
      </w:r>
    </w:p>
    <w:p w14:paraId="29696A04">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物资资源调度</w:t>
      </w:r>
    </w:p>
    <w:p w14:paraId="725CEC17">
      <w:pPr>
        <w:spacing w:before="159" w:after="159"/>
        <w:ind w:firstLine="512" w:firstLineChars="200"/>
        <w:rPr>
          <w:rFonts w:cs="宋体" w:asciiTheme="majorEastAsia" w:hAnsiTheme="majorEastAsia" w:eastAsiaTheme="majorEastAsia"/>
          <w:color w:val="auto"/>
          <w:spacing w:val="8"/>
          <w:sz w:val="24"/>
          <w:szCs w:val="21"/>
        </w:rPr>
      </w:pPr>
      <w:r>
        <w:rPr>
          <w:rFonts w:hint="eastAsia" w:cs="宋体" w:asciiTheme="majorEastAsia" w:hAnsiTheme="majorEastAsia" w:eastAsiaTheme="majorEastAsia"/>
          <w:color w:val="auto"/>
          <w:spacing w:val="8"/>
          <w:sz w:val="24"/>
          <w:szCs w:val="21"/>
        </w:rPr>
        <w:t>物资保障管理功能主要是要建立健全应急物资监测网络、预警体系和应急物资生产、储备、调拨及紧急配送体系，完善应急工作程序，确保应急所需物资和生活用品的及时供应，并加强对物资储备的监督管理，及时予以补充和更新。主要包括物资登记、物资多维度统计、物资管控一张图等功能。</w:t>
      </w:r>
    </w:p>
    <w:p w14:paraId="2DE44E7A">
      <w:pPr>
        <w:numPr>
          <w:ilvl w:val="0"/>
          <w:numId w:val="47"/>
        </w:numPr>
        <w:spacing w:before="159" w:after="159"/>
        <w:ind w:left="0" w:firstLine="512" w:firstLineChars="200"/>
        <w:rPr>
          <w:rFonts w:cs="宋体" w:asciiTheme="majorEastAsia" w:hAnsiTheme="majorEastAsia" w:eastAsiaTheme="majorEastAsia"/>
          <w:color w:val="auto"/>
          <w:spacing w:val="8"/>
          <w:sz w:val="24"/>
          <w:szCs w:val="21"/>
        </w:rPr>
      </w:pPr>
      <w:r>
        <w:rPr>
          <w:rFonts w:hint="eastAsia" w:cs="宋体" w:asciiTheme="majorEastAsia" w:hAnsiTheme="majorEastAsia" w:eastAsiaTheme="majorEastAsia"/>
          <w:color w:val="auto"/>
          <w:spacing w:val="8"/>
          <w:sz w:val="24"/>
          <w:szCs w:val="21"/>
        </w:rPr>
        <w:t>物资登记</w:t>
      </w:r>
    </w:p>
    <w:p w14:paraId="45330AB4">
      <w:pPr>
        <w:spacing w:before="159" w:after="159"/>
        <w:ind w:firstLine="512" w:firstLineChars="200"/>
        <w:rPr>
          <w:rFonts w:cs="宋体" w:asciiTheme="majorEastAsia" w:hAnsiTheme="majorEastAsia" w:eastAsiaTheme="majorEastAsia"/>
          <w:color w:val="auto"/>
          <w:spacing w:val="8"/>
          <w:sz w:val="24"/>
          <w:szCs w:val="21"/>
        </w:rPr>
      </w:pPr>
      <w:r>
        <w:rPr>
          <w:rFonts w:hint="eastAsia" w:cs="宋体" w:asciiTheme="majorEastAsia" w:hAnsiTheme="majorEastAsia" w:eastAsiaTheme="majorEastAsia"/>
          <w:color w:val="auto"/>
          <w:spacing w:val="8"/>
          <w:sz w:val="24"/>
          <w:szCs w:val="21"/>
        </w:rPr>
        <w:t>以在线填报的方式依据信息资源分类编码标准配置指挥物资填报模版，按照应物资信息填报模版对物资进行添加，并在地图上进行定位；支持</w:t>
      </w:r>
      <w:r>
        <w:rPr>
          <w:rFonts w:cs="宋体" w:asciiTheme="majorEastAsia" w:hAnsiTheme="majorEastAsia" w:eastAsiaTheme="majorEastAsia"/>
          <w:color w:val="auto"/>
          <w:spacing w:val="8"/>
          <w:sz w:val="24"/>
          <w:szCs w:val="21"/>
        </w:rPr>
        <w:t>EXCEL</w:t>
      </w:r>
      <w:r>
        <w:rPr>
          <w:rFonts w:hint="eastAsia" w:cs="宋体" w:asciiTheme="majorEastAsia" w:hAnsiTheme="majorEastAsia" w:eastAsiaTheme="majorEastAsia"/>
          <w:color w:val="auto"/>
          <w:spacing w:val="8"/>
          <w:sz w:val="24"/>
          <w:szCs w:val="21"/>
        </w:rPr>
        <w:t>数据批量导入。</w:t>
      </w:r>
    </w:p>
    <w:p w14:paraId="302B7E94">
      <w:pPr>
        <w:numPr>
          <w:ilvl w:val="0"/>
          <w:numId w:val="47"/>
        </w:numPr>
        <w:spacing w:before="159" w:after="159"/>
        <w:ind w:left="0" w:firstLine="512" w:firstLineChars="200"/>
        <w:rPr>
          <w:rFonts w:cs="宋体" w:asciiTheme="majorEastAsia" w:hAnsiTheme="majorEastAsia" w:eastAsiaTheme="majorEastAsia"/>
          <w:color w:val="auto"/>
          <w:spacing w:val="8"/>
          <w:sz w:val="24"/>
          <w:szCs w:val="21"/>
        </w:rPr>
      </w:pPr>
      <w:r>
        <w:rPr>
          <w:rFonts w:hint="eastAsia" w:cs="宋体" w:asciiTheme="majorEastAsia" w:hAnsiTheme="majorEastAsia" w:eastAsiaTheme="majorEastAsia"/>
          <w:color w:val="auto"/>
          <w:spacing w:val="8"/>
          <w:sz w:val="24"/>
          <w:szCs w:val="21"/>
        </w:rPr>
        <w:t>物资多维度统计</w:t>
      </w:r>
    </w:p>
    <w:p w14:paraId="77D100BC">
      <w:pPr>
        <w:spacing w:before="159" w:after="159"/>
        <w:ind w:firstLine="512" w:firstLineChars="200"/>
        <w:rPr>
          <w:rFonts w:cs="宋体" w:asciiTheme="majorEastAsia" w:hAnsiTheme="majorEastAsia" w:eastAsiaTheme="majorEastAsia"/>
          <w:color w:val="auto"/>
          <w:spacing w:val="8"/>
          <w:sz w:val="24"/>
          <w:szCs w:val="21"/>
        </w:rPr>
      </w:pPr>
      <w:r>
        <w:rPr>
          <w:rFonts w:hint="eastAsia" w:cs="宋体" w:asciiTheme="majorEastAsia" w:hAnsiTheme="majorEastAsia" w:eastAsiaTheme="majorEastAsia"/>
          <w:color w:val="auto"/>
          <w:spacing w:val="8"/>
          <w:sz w:val="24"/>
          <w:szCs w:val="21"/>
        </w:rPr>
        <w:t>按照物资类型、数量、分布情况、储备场所等对物资进行统计分析，以柱状图、饼状图、统计表等多种形式展现统计结果，支持对统计结果的导出。</w:t>
      </w:r>
    </w:p>
    <w:p w14:paraId="51DB4FFE">
      <w:pPr>
        <w:numPr>
          <w:ilvl w:val="0"/>
          <w:numId w:val="47"/>
        </w:numPr>
        <w:spacing w:before="159" w:after="159"/>
        <w:ind w:left="0" w:firstLine="512" w:firstLineChars="200"/>
        <w:rPr>
          <w:rFonts w:cs="宋体" w:asciiTheme="majorEastAsia" w:hAnsiTheme="majorEastAsia" w:eastAsiaTheme="majorEastAsia"/>
          <w:color w:val="auto"/>
          <w:spacing w:val="8"/>
          <w:sz w:val="24"/>
          <w:szCs w:val="21"/>
        </w:rPr>
      </w:pPr>
      <w:r>
        <w:rPr>
          <w:rFonts w:hint="eastAsia" w:cs="宋体" w:asciiTheme="majorEastAsia" w:hAnsiTheme="majorEastAsia" w:eastAsiaTheme="majorEastAsia"/>
          <w:color w:val="auto"/>
          <w:spacing w:val="8"/>
          <w:sz w:val="24"/>
          <w:szCs w:val="21"/>
        </w:rPr>
        <w:t>物资管控一张图</w:t>
      </w:r>
    </w:p>
    <w:p w14:paraId="32B8AF8A">
      <w:pPr>
        <w:spacing w:before="159" w:after="159"/>
        <w:ind w:firstLine="512" w:firstLineChars="200"/>
        <w:rPr>
          <w:rFonts w:cs="宋体" w:asciiTheme="majorEastAsia" w:hAnsiTheme="majorEastAsia" w:eastAsiaTheme="majorEastAsia"/>
          <w:color w:val="auto"/>
          <w:spacing w:val="8"/>
          <w:sz w:val="24"/>
          <w:szCs w:val="21"/>
        </w:rPr>
      </w:pPr>
      <w:r>
        <w:rPr>
          <w:rFonts w:hint="eastAsia" w:cs="宋体" w:asciiTheme="majorEastAsia" w:hAnsiTheme="majorEastAsia" w:eastAsiaTheme="majorEastAsia"/>
          <w:color w:val="auto"/>
          <w:spacing w:val="8"/>
          <w:sz w:val="24"/>
          <w:szCs w:val="21"/>
        </w:rPr>
        <w:t>实现物资类型、数量、储备点等多种方式查询及物资基于地图的空间分布，以及物资的数量、主管单位、物资分布情况等详细信息，系统提供整体查看和单个类型查看功能，根据物资类型、数量、分布情况、储备场所等不同维度划分，物资资源分布一张图物资储备场所一张图等，并支持地图输出。</w:t>
      </w:r>
    </w:p>
    <w:p w14:paraId="6C948720">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交通运输调度</w:t>
      </w:r>
    </w:p>
    <w:p w14:paraId="19A131B6">
      <w:pPr>
        <w:spacing w:before="159" w:after="159"/>
        <w:ind w:firstLine="512" w:firstLineChars="200"/>
        <w:rPr>
          <w:rFonts w:cs="Times New Roman" w:asciiTheme="majorEastAsia" w:hAnsiTheme="majorEastAsia" w:eastAsiaTheme="majorEastAsia"/>
          <w:color w:val="auto"/>
          <w:spacing w:val="8"/>
          <w:sz w:val="24"/>
          <w:szCs w:val="21"/>
        </w:rPr>
      </w:pPr>
      <w:r>
        <w:rPr>
          <w:rFonts w:hint="eastAsia" w:cs="宋体" w:asciiTheme="majorEastAsia" w:hAnsiTheme="majorEastAsia" w:eastAsiaTheme="majorEastAsia"/>
          <w:color w:val="auto"/>
          <w:spacing w:val="8"/>
          <w:sz w:val="24"/>
          <w:szCs w:val="21"/>
        </w:rPr>
        <w:t>交通运输保障管理功能是要保证紧急情况下应急交通工具的优先安排、优先调度，确保运输安全畅通；要建立紧急情况交通运输工具的调用程序，确保抢险救灾物资和人员能够及时、安全送达。</w:t>
      </w:r>
      <w:r>
        <w:rPr>
          <w:rFonts w:hint="eastAsia" w:cs="Times New Roman" w:asciiTheme="majorEastAsia" w:hAnsiTheme="majorEastAsia" w:eastAsiaTheme="majorEastAsia"/>
          <w:color w:val="auto"/>
          <w:spacing w:val="8"/>
          <w:sz w:val="24"/>
          <w:szCs w:val="21"/>
        </w:rPr>
        <w:t>提供运输资源信息的检索、查看、定位、导入、导出等功能。运输资源信息的更新和维护均由运输资源主管部门定期进行。主要包括运输资源数据登记、运输资源分类管理、多维统计、空间分析等功能。</w:t>
      </w:r>
    </w:p>
    <w:p w14:paraId="773C60F8">
      <w:pPr>
        <w:numPr>
          <w:ilvl w:val="0"/>
          <w:numId w:val="48"/>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运输资源登记</w:t>
      </w:r>
    </w:p>
    <w:p w14:paraId="5D30D328">
      <w:pPr>
        <w:spacing w:before="159" w:after="159"/>
        <w:ind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支持对接已有系统获取运输资源数据和数据导入等方式获得运输资源数据。并在地图上进行定位，支持</w:t>
      </w:r>
      <w:r>
        <w:rPr>
          <w:rFonts w:cs="Times New Roman" w:asciiTheme="majorEastAsia" w:hAnsiTheme="majorEastAsia" w:eastAsiaTheme="majorEastAsia"/>
          <w:color w:val="auto"/>
          <w:spacing w:val="8"/>
          <w:sz w:val="24"/>
          <w:szCs w:val="21"/>
        </w:rPr>
        <w:t>EXCEL</w:t>
      </w:r>
      <w:r>
        <w:rPr>
          <w:rFonts w:hint="eastAsia" w:cs="Times New Roman" w:asciiTheme="majorEastAsia" w:hAnsiTheme="majorEastAsia" w:eastAsiaTheme="majorEastAsia"/>
          <w:color w:val="auto"/>
          <w:spacing w:val="8"/>
          <w:sz w:val="24"/>
          <w:szCs w:val="21"/>
        </w:rPr>
        <w:t>数据批量导入。</w:t>
      </w:r>
    </w:p>
    <w:p w14:paraId="4A37CA0D">
      <w:pPr>
        <w:numPr>
          <w:ilvl w:val="0"/>
          <w:numId w:val="48"/>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运输资源分类</w:t>
      </w:r>
    </w:p>
    <w:p w14:paraId="787F9D07">
      <w:pPr>
        <w:spacing w:before="159" w:after="159"/>
        <w:ind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以信息列表形式对运输保障服务的航空企业、航运企业、铁路运输企业、汽车运输企业进行维护管理，支持数据批量更新；对运输资源按名称、类型、更新时间进行过滤检索，并支持模糊查询。</w:t>
      </w:r>
    </w:p>
    <w:p w14:paraId="62574266">
      <w:pPr>
        <w:numPr>
          <w:ilvl w:val="0"/>
          <w:numId w:val="48"/>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运输资源多维度统计</w:t>
      </w:r>
    </w:p>
    <w:p w14:paraId="4754C3D3">
      <w:pPr>
        <w:spacing w:before="159" w:after="159"/>
        <w:ind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按照运输资源类型、行政区划、携带物资等方式对运输资源进行统计分析，以柱状图、饼状图、统计表等形式展现统计结果，支持对统计结果的导出。</w:t>
      </w:r>
    </w:p>
    <w:p w14:paraId="56C7CB78">
      <w:pPr>
        <w:numPr>
          <w:ilvl w:val="0"/>
          <w:numId w:val="48"/>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运输资源一张图</w:t>
      </w:r>
    </w:p>
    <w:p w14:paraId="68DE22CE">
      <w:pPr>
        <w:spacing w:before="159" w:after="159"/>
        <w:ind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按照运输资源类型、行政区划、主管单位等多种方式查询运输资源基于地图的空间分布，及可显示详细信息，并支持地图输出。</w:t>
      </w:r>
    </w:p>
    <w:p w14:paraId="060D3E32">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人员防护管理</w:t>
      </w:r>
    </w:p>
    <w:p w14:paraId="686F51D6">
      <w:pPr>
        <w:spacing w:before="159" w:after="159"/>
        <w:ind w:firstLine="512" w:firstLineChars="200"/>
        <w:rPr>
          <w:rFonts w:cs="Times New Roman" w:asciiTheme="majorEastAsia" w:hAnsiTheme="majorEastAsia" w:eastAsiaTheme="majorEastAsia"/>
          <w:color w:val="auto"/>
          <w:spacing w:val="8"/>
          <w:sz w:val="24"/>
          <w:szCs w:val="21"/>
        </w:rPr>
      </w:pPr>
      <w:r>
        <w:rPr>
          <w:rFonts w:hint="eastAsia" w:cs="宋体" w:asciiTheme="majorEastAsia" w:hAnsiTheme="majorEastAsia" w:eastAsiaTheme="majorEastAsia"/>
          <w:color w:val="auto"/>
          <w:spacing w:val="8"/>
          <w:sz w:val="24"/>
          <w:szCs w:val="21"/>
        </w:rPr>
        <w:t>人员防护保障管理功能是要指定或建立与人员相适应的应急避险场所，完善紧急疏散管理办法，明确各级责任人，确保在紧急情况下员工安全、有序的疏散。要采取必要的防护措施，严格按照程序开展应急救援工作，确保作业人员和应急救援人员的安全。提供人员防护信息的</w:t>
      </w:r>
      <w:r>
        <w:rPr>
          <w:rFonts w:hint="eastAsia" w:cs="Times New Roman" w:asciiTheme="majorEastAsia" w:hAnsiTheme="majorEastAsia" w:eastAsiaTheme="majorEastAsia"/>
          <w:color w:val="auto"/>
          <w:spacing w:val="8"/>
          <w:sz w:val="24"/>
          <w:szCs w:val="21"/>
        </w:rPr>
        <w:t>检索、查看、导入、导出等功能。</w:t>
      </w:r>
    </w:p>
    <w:p w14:paraId="7DF0105C">
      <w:pPr>
        <w:numPr>
          <w:ilvl w:val="0"/>
          <w:numId w:val="49"/>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人员防护信息检索</w:t>
      </w:r>
    </w:p>
    <w:p w14:paraId="70B1C89E">
      <w:pPr>
        <w:spacing w:before="159" w:after="159"/>
        <w:ind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实现对人员防护信息的多维度、级联模糊查询检索。</w:t>
      </w:r>
    </w:p>
    <w:p w14:paraId="2D9C2D4F">
      <w:pPr>
        <w:numPr>
          <w:ilvl w:val="0"/>
          <w:numId w:val="49"/>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人员防护信息查看</w:t>
      </w:r>
    </w:p>
    <w:p w14:paraId="761DF497">
      <w:pPr>
        <w:spacing w:before="159" w:after="159"/>
        <w:ind w:firstLine="512" w:firstLineChars="200"/>
        <w:rPr>
          <w:rFonts w:cs="Times New Roman" w:asciiTheme="majorEastAsia" w:hAnsiTheme="majorEastAsia" w:eastAsiaTheme="majorEastAsia"/>
          <w:color w:val="auto"/>
          <w:spacing w:val="8"/>
          <w:sz w:val="24"/>
          <w:szCs w:val="21"/>
        </w:rPr>
      </w:pPr>
      <w:r>
        <w:rPr>
          <w:rFonts w:cs="Times New Roman" w:asciiTheme="majorEastAsia" w:hAnsiTheme="majorEastAsia" w:eastAsiaTheme="majorEastAsia"/>
          <w:color w:val="auto"/>
          <w:spacing w:val="8"/>
          <w:sz w:val="24"/>
          <w:szCs w:val="21"/>
        </w:rPr>
        <w:t xml:space="preserve">  </w:t>
      </w:r>
      <w:r>
        <w:rPr>
          <w:rFonts w:hint="eastAsia" w:cs="Times New Roman" w:asciiTheme="majorEastAsia" w:hAnsiTheme="majorEastAsia" w:eastAsiaTheme="majorEastAsia"/>
          <w:color w:val="auto"/>
          <w:spacing w:val="8"/>
          <w:sz w:val="24"/>
          <w:szCs w:val="21"/>
        </w:rPr>
        <w:t>实现人员防护信息的详情页面查看功能。</w:t>
      </w:r>
    </w:p>
    <w:p w14:paraId="0876A5B6">
      <w:pPr>
        <w:numPr>
          <w:ilvl w:val="0"/>
          <w:numId w:val="49"/>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人员防护信息导入</w:t>
      </w:r>
    </w:p>
    <w:p w14:paraId="22538F5C">
      <w:pPr>
        <w:spacing w:before="159" w:after="159"/>
        <w:ind w:firstLine="512" w:firstLineChars="200"/>
        <w:rPr>
          <w:rFonts w:cs="Times New Roman" w:asciiTheme="majorEastAsia" w:hAnsiTheme="majorEastAsia" w:eastAsiaTheme="majorEastAsia"/>
          <w:color w:val="auto"/>
          <w:spacing w:val="8"/>
          <w:sz w:val="24"/>
          <w:szCs w:val="21"/>
        </w:rPr>
      </w:pPr>
      <w:r>
        <w:rPr>
          <w:rFonts w:cs="Times New Roman" w:asciiTheme="majorEastAsia" w:hAnsiTheme="majorEastAsia" w:eastAsiaTheme="majorEastAsia"/>
          <w:color w:val="auto"/>
          <w:spacing w:val="8"/>
          <w:sz w:val="24"/>
          <w:szCs w:val="21"/>
        </w:rPr>
        <w:t xml:space="preserve">  </w:t>
      </w:r>
      <w:r>
        <w:rPr>
          <w:rFonts w:hint="eastAsia" w:cs="Times New Roman" w:asciiTheme="majorEastAsia" w:hAnsiTheme="majorEastAsia" w:eastAsiaTheme="majorEastAsia"/>
          <w:color w:val="auto"/>
          <w:spacing w:val="8"/>
          <w:sz w:val="24"/>
          <w:szCs w:val="21"/>
        </w:rPr>
        <w:t>提供人员防护信息导入模板，实现人员防护信息一键导入功能。</w:t>
      </w:r>
    </w:p>
    <w:p w14:paraId="0DC6AC6C">
      <w:pPr>
        <w:numPr>
          <w:ilvl w:val="0"/>
          <w:numId w:val="49"/>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人员防护信息导出</w:t>
      </w:r>
    </w:p>
    <w:p w14:paraId="067036F2">
      <w:pPr>
        <w:spacing w:before="159" w:after="159"/>
        <w:ind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支持人员防护信息</w:t>
      </w:r>
      <w:r>
        <w:rPr>
          <w:rFonts w:cs="Times New Roman" w:asciiTheme="majorEastAsia" w:hAnsiTheme="majorEastAsia" w:eastAsiaTheme="majorEastAsia"/>
          <w:color w:val="auto"/>
          <w:spacing w:val="8"/>
          <w:sz w:val="24"/>
          <w:szCs w:val="21"/>
        </w:rPr>
        <w:t>Excel</w:t>
      </w:r>
      <w:r>
        <w:rPr>
          <w:rFonts w:hint="eastAsia" w:cs="Times New Roman" w:asciiTheme="majorEastAsia" w:hAnsiTheme="majorEastAsia" w:eastAsiaTheme="majorEastAsia"/>
          <w:color w:val="auto"/>
          <w:spacing w:val="8"/>
          <w:sz w:val="24"/>
          <w:szCs w:val="21"/>
        </w:rPr>
        <w:t>一键导出。</w:t>
      </w:r>
    </w:p>
    <w:p w14:paraId="7FF200FC">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医疗保障管理</w:t>
      </w:r>
    </w:p>
    <w:p w14:paraId="7672E656">
      <w:pPr>
        <w:spacing w:before="159" w:after="159"/>
        <w:ind w:firstLine="512" w:firstLineChars="200"/>
        <w:rPr>
          <w:rFonts w:cs="Times New Roman" w:asciiTheme="majorEastAsia" w:hAnsiTheme="majorEastAsia" w:eastAsiaTheme="majorEastAsia"/>
          <w:color w:val="auto"/>
          <w:spacing w:val="8"/>
          <w:sz w:val="24"/>
          <w:szCs w:val="21"/>
        </w:rPr>
      </w:pPr>
      <w:r>
        <w:rPr>
          <w:rFonts w:hint="eastAsia" w:cs="宋体" w:asciiTheme="majorEastAsia" w:hAnsiTheme="majorEastAsia" w:eastAsiaTheme="majorEastAsia"/>
          <w:color w:val="auto"/>
          <w:spacing w:val="8"/>
          <w:sz w:val="24"/>
          <w:szCs w:val="21"/>
        </w:rPr>
        <w:t>医疗保障管理功能实现</w:t>
      </w:r>
      <w:r>
        <w:rPr>
          <w:rFonts w:hint="eastAsia" w:cs="Times New Roman" w:asciiTheme="majorEastAsia" w:hAnsiTheme="majorEastAsia" w:eastAsiaTheme="majorEastAsia"/>
          <w:color w:val="auto"/>
          <w:spacing w:val="8"/>
          <w:sz w:val="24"/>
          <w:szCs w:val="21"/>
        </w:rPr>
        <w:t>医疗卫生信息进行集中管理，提供医疗卫生信息的检索、查看、定位、导入、导出等功能。医疗卫生信息的更新和维护均由医疗卫生主管部门定期进行。主要包括医疗卫生数据登记、医疗卫生分类管理、多维统计和空间分析等功能。</w:t>
      </w:r>
    </w:p>
    <w:p w14:paraId="725B8F7C">
      <w:pPr>
        <w:numPr>
          <w:ilvl w:val="0"/>
          <w:numId w:val="50"/>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医疗卫生数据登记</w:t>
      </w:r>
    </w:p>
    <w:p w14:paraId="7820151C">
      <w:pPr>
        <w:spacing w:before="159" w:after="159"/>
        <w:ind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支持对接已有系统获取医疗卫生数据和数据导入等方式获得医疗卫生数据。并在地图上进行定位，支持</w:t>
      </w:r>
      <w:r>
        <w:rPr>
          <w:rFonts w:cs="Times New Roman" w:asciiTheme="majorEastAsia" w:hAnsiTheme="majorEastAsia" w:eastAsiaTheme="majorEastAsia"/>
          <w:color w:val="auto"/>
          <w:spacing w:val="8"/>
          <w:sz w:val="24"/>
          <w:szCs w:val="21"/>
        </w:rPr>
        <w:t>EXCEL</w:t>
      </w:r>
      <w:r>
        <w:rPr>
          <w:rFonts w:hint="eastAsia" w:cs="Times New Roman" w:asciiTheme="majorEastAsia" w:hAnsiTheme="majorEastAsia" w:eastAsiaTheme="majorEastAsia"/>
          <w:color w:val="auto"/>
          <w:spacing w:val="8"/>
          <w:sz w:val="24"/>
          <w:szCs w:val="21"/>
        </w:rPr>
        <w:t>数据批量导入。</w:t>
      </w:r>
    </w:p>
    <w:p w14:paraId="3A08FA41">
      <w:pPr>
        <w:numPr>
          <w:ilvl w:val="0"/>
          <w:numId w:val="50"/>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医疗卫生分类管理</w:t>
      </w:r>
    </w:p>
    <w:p w14:paraId="684E7BA8">
      <w:pPr>
        <w:spacing w:before="159" w:after="159"/>
        <w:ind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以信息列表形式对医疗机构、疾病预防控制中心、卫生监督所（局）、医学科学研究机构数据进行维护管理，支持数据批量更新；对医疗卫生信息按名称、地址、更新时间进行过滤检索，并支持模糊查询。</w:t>
      </w:r>
    </w:p>
    <w:p w14:paraId="3952D405">
      <w:pPr>
        <w:numPr>
          <w:ilvl w:val="0"/>
          <w:numId w:val="50"/>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医疗卫生多维统计</w:t>
      </w:r>
    </w:p>
    <w:p w14:paraId="186D6BE0">
      <w:pPr>
        <w:spacing w:before="159" w:after="159"/>
        <w:ind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按照医疗卫生信息类型、行政区划、主管单位、更新状态等方式对医疗卫生进行统计分析，以柱状图、饼状图、统计表等形式展现统计结果，支持对统计结果的导出。</w:t>
      </w:r>
    </w:p>
    <w:p w14:paraId="5EC83BC3">
      <w:pPr>
        <w:numPr>
          <w:ilvl w:val="0"/>
          <w:numId w:val="50"/>
        </w:numPr>
        <w:spacing w:before="159" w:after="159"/>
        <w:ind w:left="0"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医疗卫生一张图</w:t>
      </w:r>
    </w:p>
    <w:p w14:paraId="0B59FB61">
      <w:pPr>
        <w:spacing w:before="159" w:after="159"/>
        <w:ind w:firstLine="512" w:firstLineChars="200"/>
        <w:rPr>
          <w:rFonts w:cs="Times New Roman" w:asciiTheme="majorEastAsia" w:hAnsiTheme="majorEastAsia" w:eastAsiaTheme="majorEastAsia"/>
          <w:color w:val="auto"/>
          <w:spacing w:val="8"/>
          <w:sz w:val="24"/>
          <w:szCs w:val="21"/>
        </w:rPr>
      </w:pPr>
      <w:r>
        <w:rPr>
          <w:rFonts w:hint="eastAsia" w:cs="Times New Roman" w:asciiTheme="majorEastAsia" w:hAnsiTheme="majorEastAsia" w:eastAsiaTheme="majorEastAsia"/>
          <w:color w:val="auto"/>
          <w:spacing w:val="8"/>
          <w:sz w:val="24"/>
          <w:szCs w:val="21"/>
        </w:rPr>
        <w:t>按照医疗卫生资源类型、行政区划、主管单位等多种方式查询医疗卫生资源基于地图的空间分布，及可显示详细信息，并支持地图输出。</w:t>
      </w:r>
    </w:p>
    <w:p w14:paraId="6475815E">
      <w:pPr>
        <w:keepNext/>
        <w:keepLines/>
        <w:numPr>
          <w:ilvl w:val="6"/>
          <w:numId w:val="41"/>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消息服务联动</w:t>
      </w:r>
    </w:p>
    <w:p w14:paraId="726C4BFE">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建立消息服务联动管理系统，实现指挥中心与各个行业部门的消息通知联动管理，实现指挥中心与各个行业部门的消息通知联动管理，包括通知公告、指令下达、短信服务及文件管理等。</w:t>
      </w:r>
    </w:p>
    <w:p w14:paraId="319E0D55">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通知公告</w:t>
      </w:r>
    </w:p>
    <w:p w14:paraId="6736D883">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通知公告信息发布管理系统，实现信息的填报发布。支持发布信息内容及调度命令的模板化管理，支持根据信息发布的类别、细类和所属单位自动配置对应信息的发布策略，选择信息发布的流程和信息发布的不同对象和手段；结合系统给出的辅助方案和应急资源的调度情况，向应急体系内部联动部门发布信息和相关调度命令，满足应急事件信息和相关调度命令的快速、准确地填报发布管理需求。信息发布包括信息标题、信息类型、信息细类、影响范围、预发生时间、发布单位、发布人、接收单位、发布单位联系方式、发布内容、附件、发布手段、发布信息内容。</w:t>
      </w:r>
    </w:p>
    <w:p w14:paraId="3EAEB86D">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指令下达</w:t>
      </w:r>
    </w:p>
    <w:p w14:paraId="3B1EC679">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任务、消息两种方式实现指令下达、现场反馈、时效限制、定时提醒等功能。指令下达后，系统可以自动提醒相关用户检查完成情况，或其他需提醒的内容。系统用户能够根据重大事件信息优先级别处理信息。</w:t>
      </w:r>
    </w:p>
    <w:p w14:paraId="779C4508">
      <w:pPr>
        <w:numPr>
          <w:ilvl w:val="0"/>
          <w:numId w:val="51"/>
        </w:num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每件信息都有特定的信息编号，同时用户可根据信息状态、编号等实现信息即时检索；</w:t>
      </w:r>
    </w:p>
    <w:p w14:paraId="20A55D6A">
      <w:pPr>
        <w:numPr>
          <w:ilvl w:val="0"/>
          <w:numId w:val="51"/>
        </w:num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授权用户应该可以及时更新信息状态，并且直接根据所得信息派发相应任务；</w:t>
      </w:r>
    </w:p>
    <w:p w14:paraId="009FFDFE">
      <w:pPr>
        <w:numPr>
          <w:ilvl w:val="0"/>
          <w:numId w:val="51"/>
        </w:num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满足信息交互的同时，用户能够通过系统平台实现即时通讯。</w:t>
      </w:r>
    </w:p>
    <w:p w14:paraId="608D1395">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短信服务</w:t>
      </w:r>
    </w:p>
    <w:p w14:paraId="64B0DED6">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统一通讯服务提供短信服务，用于接收使用手机发送短信信息，同时提供发送短信消息服务。短信是值班员向各领导通知请示的常用即时通讯手段，短信管理实现短信的接收、发送、发送状态监控等功能。同时提供短信发送审核、校验、发送的审批流程，并详细记录审批各环节的工作日志，规范约束短信处理流程。</w:t>
      </w:r>
    </w:p>
    <w:p w14:paraId="765F179E">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文件管理</w:t>
      </w:r>
    </w:p>
    <w:p w14:paraId="06F0A7D2">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文</w:t>
      </w:r>
      <w:r>
        <w:rPr>
          <w:rFonts w:hint="eastAsia" w:asciiTheme="majorEastAsia" w:hAnsiTheme="majorEastAsia" w:eastAsiaTheme="majorEastAsia"/>
          <w:color w:val="auto"/>
          <w:sz w:val="24"/>
        </w:rPr>
        <w:t>件管理主要具</w:t>
      </w:r>
      <w:r>
        <w:rPr>
          <w:rFonts w:hint="eastAsia" w:cs="Times New Roman" w:asciiTheme="majorEastAsia" w:hAnsiTheme="majorEastAsia" w:eastAsiaTheme="majorEastAsia"/>
          <w:color w:val="auto"/>
          <w:sz w:val="24"/>
          <w:szCs w:val="21"/>
        </w:rPr>
        <w:t>有统一文件入口、文件预览及处理、传真黑名单管理、文件报送模板管理、文件处理跟踪提醒等功能。</w:t>
      </w:r>
    </w:p>
    <w:p w14:paraId="7ACD2D10">
      <w:pPr>
        <w:numPr>
          <w:ilvl w:val="0"/>
          <w:numId w:val="52"/>
        </w:numPr>
        <w:snapToGrid w:val="0"/>
        <w:ind w:left="0"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统一文件入口</w:t>
      </w:r>
    </w:p>
    <w:p w14:paraId="2B55E709">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统一传真文件与网络文件的入口，解决一份文件在多个系统之间的频繁操作问题，统一在文件管理模块内实现文件的创建、上报、拟办、审批、分发等文件处理的所有环节。系统内部统一采用网络文件，与外部单位统一采用传真文件。</w:t>
      </w:r>
    </w:p>
    <w:p w14:paraId="393C4924">
      <w:pPr>
        <w:numPr>
          <w:ilvl w:val="0"/>
          <w:numId w:val="52"/>
        </w:numPr>
        <w:snapToGrid w:val="0"/>
        <w:ind w:left="0"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文件预览及处理</w:t>
      </w:r>
    </w:p>
    <w:p w14:paraId="7140F8B7">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文件预览及处理主要实现传真文字提取、文件关联信息、文件审批处理和文件分发等。</w:t>
      </w:r>
    </w:p>
    <w:p w14:paraId="6A931630">
      <w:pPr>
        <w:numPr>
          <w:ilvl w:val="0"/>
          <w:numId w:val="52"/>
        </w:numPr>
        <w:snapToGrid w:val="0"/>
        <w:ind w:left="0"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传真黑名单管理</w:t>
      </w:r>
    </w:p>
    <w:p w14:paraId="28363F83">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对于传真接收到的广告等来源的传真号码，可一键将号码加入到黑名单，此后传真模块将屏蔽此类传真文件。同时支持对传真黑名单号码的添加、移除等灵活管理功能。</w:t>
      </w:r>
    </w:p>
    <w:p w14:paraId="7B80E99D">
      <w:pPr>
        <w:numPr>
          <w:ilvl w:val="0"/>
          <w:numId w:val="52"/>
        </w:numPr>
        <w:snapToGrid w:val="0"/>
        <w:ind w:left="0"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文件报送模板管理</w:t>
      </w:r>
    </w:p>
    <w:p w14:paraId="0CCFD4B5">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文件报送模板管理模块规范了信息报送内容，各单位信息上报时，只需选择信息类型，将呈现此类信息所要录入的所有数据项。系统对录入内容严格校验，确保信息上报内容规范性、有效性及完整性。文件报送模板管理支持用户定制文件上报的模板格式。</w:t>
      </w:r>
    </w:p>
    <w:p w14:paraId="76371907">
      <w:pPr>
        <w:numPr>
          <w:ilvl w:val="0"/>
          <w:numId w:val="52"/>
        </w:numPr>
        <w:snapToGrid w:val="0"/>
        <w:ind w:left="0" w:firstLine="480" w:firstLineChars="200"/>
        <w:rPr>
          <w:rFonts w:asciiTheme="majorEastAsia" w:hAnsiTheme="majorEastAsia" w:eastAsiaTheme="majorEastAsia"/>
          <w:color w:val="auto"/>
          <w:sz w:val="24"/>
        </w:rPr>
      </w:pPr>
      <w:r>
        <w:rPr>
          <w:rFonts w:hint="eastAsia" w:asciiTheme="majorEastAsia" w:hAnsiTheme="majorEastAsia" w:eastAsiaTheme="majorEastAsia"/>
          <w:color w:val="auto"/>
          <w:sz w:val="24"/>
        </w:rPr>
        <w:t>文件处理跟踪提醒</w:t>
      </w:r>
    </w:p>
    <w:p w14:paraId="43C942C1">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文件处理跟踪提醒模块提供文件处理的跟踪督办机制，具有文件签收、核实反馈、审批等重要处理环节的督办提供功能。</w:t>
      </w:r>
    </w:p>
    <w:p w14:paraId="6F8C458D">
      <w:pPr>
        <w:keepNext/>
        <w:keepLines/>
        <w:numPr>
          <w:ilvl w:val="6"/>
          <w:numId w:val="41"/>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指挥处置联动</w:t>
      </w:r>
    </w:p>
    <w:p w14:paraId="3F848222">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实现城市管理各类事件派发到行业部门后事件处置反馈管理，包括事件接收、事件回退、事件办理反馈等管理功能。</w:t>
      </w:r>
    </w:p>
    <w:p w14:paraId="2A631C50">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融合受理</w:t>
      </w:r>
    </w:p>
    <w:p w14:paraId="1BBCA049">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提供融合受理功能，受理完各种途经上报的事件后（包括网格员采集、市民上报、监控视频分析等），由系统采用统一表单的方式进行事件问题登记，通过自动分拨调度系统根据事件的调拨规则将事件派发给相应的行业处置部门系统，在行业部门处置系统就会生成一条任务待办单，由行业部门处置系统进行接收处理。包括统一受理门户、统一表单管理、事件标识管理等功能。</w:t>
      </w:r>
    </w:p>
    <w:p w14:paraId="15A8BB1F">
      <w:pPr>
        <w:numPr>
          <w:ilvl w:val="0"/>
          <w:numId w:val="53"/>
        </w:numPr>
        <w:spacing w:before="159" w:after="159"/>
        <w:ind w:left="0"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统一受理门户</w:t>
      </w:r>
    </w:p>
    <w:p w14:paraId="35D03DFE">
      <w:pPr>
        <w:ind w:firstLine="480" w:firstLineChars="200"/>
        <w:rPr>
          <w:rFonts w:asciiTheme="majorEastAsia" w:hAnsiTheme="majorEastAsia" w:eastAsiaTheme="majorEastAsia" w:cstheme="minorEastAsia"/>
          <w:color w:val="auto"/>
          <w:sz w:val="24"/>
          <w:szCs w:val="21"/>
        </w:rPr>
      </w:pPr>
      <w:r>
        <w:rPr>
          <w:rFonts w:hint="eastAsia" w:asciiTheme="majorEastAsia" w:hAnsiTheme="majorEastAsia" w:eastAsiaTheme="majorEastAsia" w:cstheme="minorEastAsia"/>
          <w:color w:val="auto"/>
          <w:sz w:val="24"/>
          <w:szCs w:val="21"/>
        </w:rPr>
        <w:t>通过对事件的规整，制定事件分类清单，提供统一的事件受理门户实现对事件的统一受理功能。通过各个事件接收渠道获取到事件后，在界面上进行展示，显示收到的事件信息，并进行自动拍单，分拨给各分拨部门，分拨部门可对事件进行统一的处理。对已生成工单，受理中等信息的提示。</w:t>
      </w:r>
    </w:p>
    <w:p w14:paraId="5A8B5CA7">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通过统一受理门户，实现对整个城市范围内所有信息的统一受理，实现信息报送、案件建立、任务预派遣等功能。</w:t>
      </w:r>
    </w:p>
    <w:p w14:paraId="26C7954F">
      <w:pPr>
        <w:numPr>
          <w:ilvl w:val="0"/>
          <w:numId w:val="53"/>
        </w:numPr>
        <w:spacing w:before="159" w:after="159"/>
        <w:ind w:left="0"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统一表单管理</w:t>
      </w:r>
    </w:p>
    <w:p w14:paraId="04BC8D57">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建立统一的表单规范，统一多渠道来源事件表单，从全渠道受理上来的待办件，进行统一的数据规范。自定义事件属性字段和扩展表单，设定不同角色对不同字段的查看、编辑权限。自定义事件模板，规范事件填写和提升流转效率。提供统一的标准事件接口，供第三方系统调用，生成符合规范的工单数据。</w:t>
      </w:r>
    </w:p>
    <w:p w14:paraId="4765A393">
      <w:pPr>
        <w:numPr>
          <w:ilvl w:val="0"/>
          <w:numId w:val="53"/>
        </w:numPr>
        <w:spacing w:before="159" w:after="159"/>
        <w:ind w:left="0"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事件标识管理</w:t>
      </w:r>
    </w:p>
    <w:p w14:paraId="4B2EBD28">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提供事件自定义标识功能，派遣员可对受理事件进行级别标识，默认事件为普通级别，支持自定义标识，对影响范围大的进行紧急事件标识或重要事件标识，被标识事件会自动推送到主管人员进行处理。主管人员可以对被标识为同一事件指定固定的人员进行受理，提高受理效率。</w:t>
      </w:r>
    </w:p>
    <w:p w14:paraId="1AAEA0EB">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实现对标识的统一管理。管理员可以删除多余的标识，支持对同类标识的自动识别，管理员可以依据识别结果进行标识合并管理。</w:t>
      </w:r>
    </w:p>
    <w:p w14:paraId="3F53E42D">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指挥调度</w:t>
      </w:r>
    </w:p>
    <w:p w14:paraId="1683CB10">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系统提供指挥调度功能，实现对城市突发事件的指挥协同调度，在指挥调度一张图基础上可以进行战略标会、协同会商。包括预案响应、一键调度、现场指挥调度、任务跟踪与反馈等功能。</w:t>
      </w:r>
    </w:p>
    <w:p w14:paraId="0244B1F5">
      <w:pPr>
        <w:numPr>
          <w:ilvl w:val="0"/>
          <w:numId w:val="54"/>
        </w:numPr>
        <w:spacing w:before="159" w:after="159"/>
        <w:ind w:left="0"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预案响应</w:t>
      </w:r>
    </w:p>
    <w:p w14:paraId="436F1117">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启动响应后对突发事件预案的结构化应用。通过对各类突发事件不同响应级别对应基本信息、总指挥部、现场指挥部等内容的配置和预案要求，基于事件情况，快速成立突发事件处置的总指挥部和现场指挥部，可根据情况建立突发事件群组人员。</w:t>
      </w:r>
    </w:p>
    <w:p w14:paraId="01D1AC01">
      <w:pPr>
        <w:numPr>
          <w:ilvl w:val="0"/>
          <w:numId w:val="54"/>
        </w:numPr>
        <w:spacing w:before="159" w:after="159"/>
        <w:ind w:left="0"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一键调度</w:t>
      </w:r>
    </w:p>
    <w:p w14:paraId="32C5ABF0">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可根据情况建立突发事件应急群组并确定群组人员，根据事故基本信息及相关研判分析结果，通过应急通信调度手段、信息交互手段为指挥人员提供指挥调度、任务分配的手段。实现一键拨打电话、电话会议，一键短信（支持群发）、一键传真（支持群发），并管理通信记录。实现突发事件处置情况的汇总，通过一键调度通知相关单位和人员进行处置。</w:t>
      </w:r>
    </w:p>
    <w:p w14:paraId="5D968F9C">
      <w:pPr>
        <w:numPr>
          <w:ilvl w:val="0"/>
          <w:numId w:val="54"/>
        </w:numPr>
        <w:spacing w:before="159" w:after="159"/>
        <w:ind w:left="0"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现场指挥调度</w:t>
      </w:r>
    </w:p>
    <w:p w14:paraId="69B5BA10">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提供现场任务接收与反馈、现场战术图和标绘、联网检索、现场处置、实战资料、通信联络、现场资源配置和调度、现场救援队伍报到管理、救援情况管理等功能，为监督指挥中心协调现场指挥，协助和指导现场工作提供支撑。</w:t>
      </w:r>
    </w:p>
    <w:p w14:paraId="0554925F">
      <w:pPr>
        <w:numPr>
          <w:ilvl w:val="0"/>
          <w:numId w:val="54"/>
        </w:numPr>
        <w:spacing w:before="159" w:after="159"/>
        <w:ind w:left="0"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任务跟踪与反馈</w:t>
      </w:r>
    </w:p>
    <w:p w14:paraId="047B869C">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支持按照不同部门、不同阶段管理任务信息，实现任务的快速部署，跟踪任务执行、反馈情况，动态掌握资源的需求、供给、部署及到位情况。主要包括资源协调与跟踪、任务管理域跟踪。</w:t>
      </w:r>
    </w:p>
    <w:p w14:paraId="0FC8C5CF">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联动处置</w:t>
      </w:r>
    </w:p>
    <w:p w14:paraId="1FC625E6">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提供联动处置功能，任务下发到行业处置部门后，由相关部门对问题进行处理。需要多部门联动处置时，由指挥中心统一协调处理，行业处置部门任务处理完成，并核查通过后，将处理结果反馈至指挥中心进行结案操作。包括联动任务退回、联动处置反馈、任务审核结案等功能。</w:t>
      </w:r>
    </w:p>
    <w:p w14:paraId="2E407C28">
      <w:pPr>
        <w:numPr>
          <w:ilvl w:val="0"/>
          <w:numId w:val="55"/>
        </w:numPr>
        <w:spacing w:before="159" w:after="159"/>
        <w:ind w:left="0"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联动任务退回</w:t>
      </w:r>
    </w:p>
    <w:p w14:paraId="19EF5652">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系统提供任务回退功能，当自动分拨系统或人工派发不准确时，行业部门处置系统可以将任务回退给监督指挥中心，中心可以进行转派或二次派发。</w:t>
      </w:r>
    </w:p>
    <w:p w14:paraId="492E4827">
      <w:pPr>
        <w:numPr>
          <w:ilvl w:val="0"/>
          <w:numId w:val="55"/>
        </w:numPr>
        <w:spacing w:before="159" w:after="159"/>
        <w:ind w:left="0"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联动处置反馈</w:t>
      </w:r>
    </w:p>
    <w:p w14:paraId="195CCA3A">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任务下发到行业处置部门后，由相关部门对问题进行处理。需要多部门联动处置时，由指挥中心统一协调处理，行业处置部门任务处理完成，并核查通过后，将处理结果反馈至指挥中心进行结案操作。</w:t>
      </w:r>
    </w:p>
    <w:p w14:paraId="115DC199">
      <w:pPr>
        <w:numPr>
          <w:ilvl w:val="0"/>
          <w:numId w:val="55"/>
        </w:numPr>
        <w:spacing w:before="159" w:after="159"/>
        <w:ind w:left="0"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任务审核结案</w:t>
      </w:r>
    </w:p>
    <w:p w14:paraId="17848223">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各个部门对联动任务处理完成后，统一反馈各自处置结果，由监督指挥中心对联动任务的处置完成情况进行审核结案，审核包括审核通过、审核不通过、重新办理等操作。</w:t>
      </w:r>
    </w:p>
    <w:p w14:paraId="13D0F588">
      <w:pPr>
        <w:keepNext/>
        <w:keepLines/>
        <w:numPr>
          <w:ilvl w:val="6"/>
          <w:numId w:val="41"/>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督查督办联动</w:t>
      </w:r>
    </w:p>
    <w:p w14:paraId="63694B5B">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建立督查督办联动系统，实现指挥中心可以对行业部门进行任务督办，包括督办任务登记、任务交办派发、催办督办、考核评价、查询监控等功能；各类督查督办任务下达到行业部门后，行业部门可以实现对督查督办任务签收落实、联动交流、过程反馈等功能。</w:t>
      </w:r>
    </w:p>
    <w:p w14:paraId="3A13FCEC">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建立事件办理效率满意度不高、相关服务难点、痛点问题、社会媒体监督、重要工作交办及考核评估不理想等情况的全过程督查督办管理流程。实现对督查任务的精准定位、跟踪分析、融通应用，从而精准到部门、落实到事、管控到时点、具体到过程。</w:t>
      </w:r>
    </w:p>
    <w:p w14:paraId="1811A278">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任务登记</w:t>
      </w:r>
    </w:p>
    <w:p w14:paraId="200C6D3B">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当任务即将出现超时，或者事件问题重复发生等情况，指挥中心可以建立督办单，对相关处置部门进行督办。登记督查督办件的事项名称、事项类别、事项编号、事项内容、事项时限、责任部门等信息。</w:t>
      </w:r>
    </w:p>
    <w:p w14:paraId="597DB5CC">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交办派发</w:t>
      </w:r>
    </w:p>
    <w:p w14:paraId="039E5E3A">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系统实现任务交办派发功能，选择相应的承办、协办单位和分管领导后，可以通过系统进行交办派发，派发后系统实现通过手机短信、站内短信、工作台提醒等多种方式告知相关人员。</w:t>
      </w:r>
    </w:p>
    <w:p w14:paraId="517DE598">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签收落实</w:t>
      </w:r>
    </w:p>
    <w:p w14:paraId="5FE6181D">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相关行业处置部门收到交办的督查督办件后进行签收，并指定相应的责任人、承办人及联系方式。</w:t>
      </w:r>
    </w:p>
    <w:p w14:paraId="7798BE9F">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联动交流</w:t>
      </w:r>
    </w:p>
    <w:p w14:paraId="5E9F15BA">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联动交流是指相关行业处置部门在执行工作任务过程中，与工作派发者、分管领导、承办、协办单位</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科室等之间的信息互动，类似论坛功能，可以是工作指示、工作建议与意见、也可以是提醒等。</w:t>
      </w:r>
    </w:p>
    <w:p w14:paraId="024C9646">
      <w:pPr>
        <w:keepNext/>
        <w:keepLines/>
        <w:numPr>
          <w:ilvl w:val="7"/>
          <w:numId w:val="41"/>
        </w:numPr>
        <w:spacing w:before="240" w:after="64"/>
        <w:outlineLvl w:val="7"/>
        <w:rPr>
          <w:rFonts w:asciiTheme="majorEastAsia" w:hAnsiTheme="majorEastAsia" w:eastAsiaTheme="majorEastAsia" w:cstheme="majorBidi"/>
          <w:color w:val="auto"/>
          <w:sz w:val="24"/>
          <w:szCs w:val="21"/>
        </w:rPr>
      </w:pPr>
      <w:r>
        <w:rPr>
          <w:rFonts w:hint="eastAsia" w:asciiTheme="majorEastAsia" w:hAnsiTheme="majorEastAsia" w:eastAsiaTheme="majorEastAsia" w:cstheme="majorBidi"/>
          <w:color w:val="auto"/>
          <w:sz w:val="24"/>
          <w:szCs w:val="21"/>
        </w:rPr>
        <w:t>催办督办</w:t>
      </w:r>
    </w:p>
    <w:p w14:paraId="0B603135">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实现对事件的催办、督办及协调会议的功能。为及时了解督查事项的运行情况和办理情况，督办部门可采取发《催办单》</w:t>
      </w:r>
      <w:r>
        <w:rPr>
          <w:rFonts w:cs="Times New Roman" w:asciiTheme="majorEastAsia" w:hAnsiTheme="majorEastAsia" w:eastAsiaTheme="majorEastAsia"/>
          <w:color w:val="auto"/>
          <w:sz w:val="24"/>
          <w:szCs w:val="21"/>
        </w:rPr>
        <w:t xml:space="preserve"> </w:t>
      </w:r>
      <w:r>
        <w:rPr>
          <w:rFonts w:hint="eastAsia" w:cs="Times New Roman" w:asciiTheme="majorEastAsia" w:hAnsiTheme="majorEastAsia" w:eastAsiaTheme="majorEastAsia"/>
          <w:color w:val="auto"/>
          <w:sz w:val="24"/>
          <w:szCs w:val="21"/>
        </w:rPr>
        <w:t>或直接到承办单位</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科室催办等形式，适时加以催办查办，系统记录催办记录。</w:t>
      </w:r>
    </w:p>
    <w:p w14:paraId="30930EDA">
      <w:pPr>
        <w:spacing w:before="159" w:after="159"/>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督查督办部门可以通过电话、函件、约谈、走访等多种方式对任务承办人进行督办，系统记录每次督办工作记录。实现对督办任务召开协调会议功能，记录围绕任务开展召开的督办工作会议信息，包括会议时间、会议内容、召集人、参与人、记录内容等信息。</w:t>
      </w:r>
    </w:p>
    <w:p w14:paraId="30A9DB55">
      <w:pPr>
        <w:pStyle w:val="27"/>
        <w:widowControl/>
        <w:spacing w:before="75" w:beforeAutospacing="0" w:after="75" w:afterAutospacing="0"/>
        <w:ind w:firstLine="241" w:firstLineChars="100"/>
        <w:rPr>
          <w:b/>
          <w:bCs/>
          <w:color w:val="auto"/>
        </w:rPr>
      </w:pPr>
    </w:p>
    <w:p w14:paraId="4B623265">
      <w:pPr>
        <w:keepNext/>
        <w:keepLines/>
        <w:numPr>
          <w:ilvl w:val="2"/>
          <w:numId w:val="37"/>
        </w:numPr>
        <w:ind w:firstLine="200"/>
        <w:contextualSpacing/>
        <w:jc w:val="left"/>
        <w:outlineLvl w:val="2"/>
        <w:rPr>
          <w:rFonts w:ascii="宋体" w:hAnsi="宋体" w:eastAsia="宋体" w:cs="宋体"/>
          <w:color w:val="auto"/>
          <w:sz w:val="28"/>
          <w:szCs w:val="28"/>
        </w:rPr>
      </w:pPr>
      <w:bookmarkStart w:id="181" w:name="_Toc95404046"/>
      <w:bookmarkStart w:id="182" w:name="_Toc95404047"/>
      <w:bookmarkStart w:id="183" w:name="_Hlk86356238"/>
      <w:r>
        <w:rPr>
          <w:rFonts w:hint="eastAsia" w:ascii="宋体" w:hAnsi="宋体" w:eastAsia="宋体" w:cs="宋体"/>
          <w:color w:val="auto"/>
          <w:sz w:val="28"/>
          <w:szCs w:val="28"/>
        </w:rPr>
        <w:t>城市事件分类与标准</w:t>
      </w:r>
      <w:bookmarkEnd w:id="181"/>
    </w:p>
    <w:p w14:paraId="7D4D2B36">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城市事件分类与标准是城市综合管理服务平台的业务范围</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涉及了城市城市综合管理服务方方面面的事项</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涉及</w:t>
      </w:r>
      <w:r>
        <w:rPr>
          <w:rFonts w:cs="Times New Roman" w:asciiTheme="majorEastAsia" w:hAnsiTheme="majorEastAsia" w:eastAsiaTheme="majorEastAsia"/>
          <w:color w:val="auto"/>
          <w:sz w:val="24"/>
          <w:szCs w:val="21"/>
        </w:rPr>
        <w:t>党政工团类、公安政法类、科教文卫类、经济综合类、建设规划类、社会管理类</w:t>
      </w:r>
      <w:r>
        <w:rPr>
          <w:rFonts w:hint="eastAsia" w:cs="Times New Roman" w:asciiTheme="majorEastAsia" w:hAnsiTheme="majorEastAsia" w:eastAsiaTheme="majorEastAsia"/>
          <w:color w:val="auto"/>
          <w:sz w:val="24"/>
          <w:szCs w:val="21"/>
        </w:rPr>
        <w:t>等多个纬度</w:t>
      </w:r>
      <w:r>
        <w:rPr>
          <w:rFonts w:cs="Times New Roman" w:asciiTheme="majorEastAsia" w:hAnsiTheme="majorEastAsia" w:eastAsiaTheme="majorEastAsia"/>
          <w:color w:val="auto"/>
          <w:sz w:val="24"/>
          <w:szCs w:val="21"/>
        </w:rPr>
        <w:t>。</w:t>
      </w:r>
    </w:p>
    <w:p w14:paraId="2C12AED3">
      <w:pPr>
        <w:pStyle w:val="6"/>
        <w:numPr>
          <w:ilvl w:val="3"/>
          <w:numId w:val="36"/>
        </w:numPr>
        <w:spacing w:line="240" w:lineRule="auto"/>
        <w:rPr>
          <w:color w:val="auto"/>
        </w:rPr>
      </w:pPr>
      <w:bookmarkStart w:id="184" w:name="_Toc83216282"/>
      <w:r>
        <w:rPr>
          <w:rFonts w:hint="eastAsia"/>
          <w:color w:val="auto"/>
        </w:rPr>
        <w:t>事件管理模块</w:t>
      </w:r>
      <w:bookmarkEnd w:id="184"/>
    </w:p>
    <w:p w14:paraId="5C12AC2C">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以可视化图形方式进行事件的管理，包括分类、所属部门、管辖依据等等，实现事件的增加、修改等维护管理，可以通过事件查询归属的部门，可以通过部门查询部门处置的事件。</w:t>
      </w:r>
    </w:p>
    <w:p w14:paraId="5DA598BF">
      <w:pPr>
        <w:pStyle w:val="7"/>
        <w:numPr>
          <w:ilvl w:val="4"/>
          <w:numId w:val="36"/>
        </w:numPr>
        <w:spacing w:line="240" w:lineRule="auto"/>
        <w:rPr>
          <w:color w:val="auto"/>
        </w:rPr>
      </w:pPr>
      <w:r>
        <w:rPr>
          <w:rFonts w:hint="eastAsia"/>
          <w:color w:val="auto"/>
        </w:rPr>
        <w:t>事件项查询</w:t>
      </w:r>
    </w:p>
    <w:p w14:paraId="6D5EAB1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事件项查询主要用于查询城市综合管理服务的事件项</w:t>
      </w:r>
      <w:r>
        <w:rPr>
          <w:rFonts w:cs="Times New Roman" w:asciiTheme="majorEastAsia" w:hAnsiTheme="majorEastAsia" w:eastAsiaTheme="majorEastAsia"/>
          <w:color w:val="auto"/>
          <w:sz w:val="24"/>
          <w:szCs w:val="21"/>
        </w:rPr>
        <w:t>。</w:t>
      </w:r>
    </w:p>
    <w:p w14:paraId="388EE2C6">
      <w:pPr>
        <w:pStyle w:val="7"/>
        <w:numPr>
          <w:ilvl w:val="4"/>
          <w:numId w:val="36"/>
        </w:numPr>
        <w:spacing w:line="240" w:lineRule="auto"/>
        <w:rPr>
          <w:color w:val="auto"/>
        </w:rPr>
      </w:pPr>
      <w:r>
        <w:rPr>
          <w:rFonts w:hint="eastAsia"/>
          <w:color w:val="auto"/>
        </w:rPr>
        <w:t>事件树管理</w:t>
      </w:r>
    </w:p>
    <w:p w14:paraId="4F81883C">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事件树管理模块主要将城市管理事件生成树状接口</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方便查询</w:t>
      </w:r>
      <w:r>
        <w:rPr>
          <w:rFonts w:cs="Times New Roman" w:asciiTheme="majorEastAsia" w:hAnsiTheme="majorEastAsia" w:eastAsiaTheme="majorEastAsia"/>
          <w:color w:val="auto"/>
          <w:sz w:val="24"/>
          <w:szCs w:val="21"/>
        </w:rPr>
        <w:t>。</w:t>
      </w:r>
    </w:p>
    <w:p w14:paraId="6875DA3F">
      <w:pPr>
        <w:pStyle w:val="7"/>
        <w:numPr>
          <w:ilvl w:val="4"/>
          <w:numId w:val="36"/>
        </w:numPr>
        <w:spacing w:line="240" w:lineRule="auto"/>
        <w:rPr>
          <w:color w:val="auto"/>
        </w:rPr>
      </w:pPr>
      <w:r>
        <w:rPr>
          <w:rFonts w:hint="eastAsia"/>
          <w:color w:val="auto"/>
        </w:rPr>
        <w:t>部门查询</w:t>
      </w:r>
    </w:p>
    <w:p w14:paraId="3C4100FC">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通过部门查询模块</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可以快速查询出部门所属的事件项</w:t>
      </w:r>
      <w:r>
        <w:rPr>
          <w:rFonts w:cs="Times New Roman" w:asciiTheme="majorEastAsia" w:hAnsiTheme="majorEastAsia" w:eastAsiaTheme="majorEastAsia"/>
          <w:color w:val="auto"/>
          <w:sz w:val="24"/>
          <w:szCs w:val="21"/>
        </w:rPr>
        <w:t>。</w:t>
      </w:r>
    </w:p>
    <w:p w14:paraId="60BCDF87">
      <w:pPr>
        <w:pStyle w:val="7"/>
        <w:numPr>
          <w:ilvl w:val="4"/>
          <w:numId w:val="36"/>
        </w:numPr>
        <w:spacing w:line="240" w:lineRule="auto"/>
        <w:rPr>
          <w:color w:val="auto"/>
        </w:rPr>
      </w:pPr>
      <w:r>
        <w:rPr>
          <w:rFonts w:hint="eastAsia"/>
          <w:color w:val="auto"/>
        </w:rPr>
        <w:t>详情查看</w:t>
      </w:r>
    </w:p>
    <w:p w14:paraId="5964FDFD">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快速查看事件的描述</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部门等详细信息</w:t>
      </w:r>
      <w:r>
        <w:rPr>
          <w:rFonts w:cs="Times New Roman" w:asciiTheme="majorEastAsia" w:hAnsiTheme="majorEastAsia" w:eastAsiaTheme="majorEastAsia"/>
          <w:color w:val="auto"/>
          <w:sz w:val="24"/>
          <w:szCs w:val="21"/>
        </w:rPr>
        <w:t>。</w:t>
      </w:r>
    </w:p>
    <w:p w14:paraId="1AE94F4D">
      <w:pPr>
        <w:pStyle w:val="7"/>
        <w:numPr>
          <w:ilvl w:val="4"/>
          <w:numId w:val="36"/>
        </w:numPr>
        <w:spacing w:line="240" w:lineRule="auto"/>
        <w:rPr>
          <w:color w:val="auto"/>
        </w:rPr>
      </w:pPr>
      <w:r>
        <w:rPr>
          <w:rFonts w:hint="eastAsia"/>
          <w:color w:val="auto"/>
        </w:rPr>
        <w:t>节点查询</w:t>
      </w:r>
    </w:p>
    <w:p w14:paraId="39A6ECA5">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节点查询可以快速查询出事件的上级节点</w:t>
      </w:r>
      <w:r>
        <w:rPr>
          <w:rFonts w:cs="Times New Roman" w:asciiTheme="majorEastAsia" w:hAnsiTheme="majorEastAsia" w:eastAsiaTheme="majorEastAsia"/>
          <w:color w:val="auto"/>
          <w:sz w:val="24"/>
          <w:szCs w:val="21"/>
        </w:rPr>
        <w:t>；</w:t>
      </w:r>
    </w:p>
    <w:p w14:paraId="71B9A694">
      <w:pPr>
        <w:pStyle w:val="7"/>
        <w:numPr>
          <w:ilvl w:val="4"/>
          <w:numId w:val="36"/>
        </w:numPr>
        <w:spacing w:line="240" w:lineRule="auto"/>
        <w:rPr>
          <w:color w:val="auto"/>
        </w:rPr>
      </w:pPr>
      <w:r>
        <w:rPr>
          <w:rFonts w:hint="eastAsia"/>
          <w:color w:val="auto"/>
        </w:rPr>
        <w:t>管理模块工具</w:t>
      </w:r>
    </w:p>
    <w:p w14:paraId="22D42B70">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管理模块工具主要包含放大</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缩小</w:t>
      </w:r>
      <w:r>
        <w:rPr>
          <w:rFonts w:cs="Times New Roman" w:asciiTheme="majorEastAsia" w:hAnsiTheme="majorEastAsia" w:eastAsiaTheme="majorEastAsia"/>
          <w:color w:val="auto"/>
          <w:sz w:val="24"/>
          <w:szCs w:val="21"/>
        </w:rPr>
        <w:t>、</w:t>
      </w:r>
      <w:r>
        <w:rPr>
          <w:rFonts w:hint="eastAsia" w:cs="Times New Roman" w:asciiTheme="majorEastAsia" w:hAnsiTheme="majorEastAsia" w:eastAsiaTheme="majorEastAsia"/>
          <w:color w:val="auto"/>
          <w:sz w:val="24"/>
          <w:szCs w:val="21"/>
        </w:rPr>
        <w:t>旋转等功能</w:t>
      </w:r>
      <w:r>
        <w:rPr>
          <w:rFonts w:cs="Times New Roman" w:asciiTheme="majorEastAsia" w:hAnsiTheme="majorEastAsia" w:eastAsiaTheme="majorEastAsia"/>
          <w:color w:val="auto"/>
          <w:sz w:val="24"/>
          <w:szCs w:val="21"/>
        </w:rPr>
        <w:t>；</w:t>
      </w:r>
    </w:p>
    <w:p w14:paraId="56F3350F">
      <w:pPr>
        <w:pStyle w:val="7"/>
        <w:numPr>
          <w:ilvl w:val="4"/>
          <w:numId w:val="36"/>
        </w:numPr>
        <w:spacing w:line="240" w:lineRule="auto"/>
        <w:rPr>
          <w:color w:val="auto"/>
        </w:rPr>
      </w:pPr>
      <w:r>
        <w:rPr>
          <w:rFonts w:hint="eastAsia"/>
          <w:color w:val="auto"/>
        </w:rPr>
        <w:t>事件下钻</w:t>
      </w:r>
    </w:p>
    <w:p w14:paraId="101D8C64">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事件下钻模块主要通过下钻的方式进行大小类往下查询</w:t>
      </w:r>
      <w:r>
        <w:rPr>
          <w:rFonts w:cs="Times New Roman" w:asciiTheme="majorEastAsia" w:hAnsiTheme="majorEastAsia" w:eastAsiaTheme="majorEastAsia"/>
          <w:color w:val="auto"/>
          <w:sz w:val="24"/>
          <w:szCs w:val="21"/>
        </w:rPr>
        <w:t>。</w:t>
      </w:r>
    </w:p>
    <w:p w14:paraId="5ACDB4B1">
      <w:pPr>
        <w:pStyle w:val="7"/>
        <w:numPr>
          <w:ilvl w:val="4"/>
          <w:numId w:val="36"/>
        </w:numPr>
        <w:spacing w:line="240" w:lineRule="auto"/>
        <w:rPr>
          <w:color w:val="auto"/>
        </w:rPr>
      </w:pPr>
      <w:r>
        <w:rPr>
          <w:rFonts w:hint="eastAsia"/>
          <w:color w:val="auto"/>
        </w:rPr>
        <w:t>事件树数据</w:t>
      </w:r>
    </w:p>
    <w:p w14:paraId="379C1E2A">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事件数据主要包含城市综合管理服务的所有事件项</w:t>
      </w:r>
      <w:r>
        <w:rPr>
          <w:rFonts w:cs="Times New Roman" w:asciiTheme="majorEastAsia" w:hAnsiTheme="majorEastAsia" w:eastAsiaTheme="majorEastAsia"/>
          <w:color w:val="auto"/>
          <w:sz w:val="24"/>
          <w:szCs w:val="21"/>
        </w:rPr>
        <w:t>。</w:t>
      </w:r>
    </w:p>
    <w:p w14:paraId="5D6C96A4">
      <w:pPr>
        <w:pStyle w:val="6"/>
        <w:numPr>
          <w:ilvl w:val="3"/>
          <w:numId w:val="36"/>
        </w:numPr>
        <w:spacing w:line="240" w:lineRule="auto"/>
        <w:rPr>
          <w:color w:val="auto"/>
        </w:rPr>
      </w:pPr>
      <w:bookmarkStart w:id="185" w:name="_Toc83216283"/>
      <w:r>
        <w:rPr>
          <w:rFonts w:hint="eastAsia"/>
          <w:color w:val="auto"/>
        </w:rPr>
        <w:t>事件清单</w:t>
      </w:r>
      <w:bookmarkEnd w:id="185"/>
      <w:r>
        <w:rPr>
          <w:rFonts w:hint="eastAsia"/>
          <w:color w:val="auto"/>
        </w:rPr>
        <w:t>梳理</w:t>
      </w:r>
    </w:p>
    <w:p w14:paraId="7E4B44A2">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基于目前整理的情况，输出福州市事件清单一张表，包含一级分类、二级分类、三级分类、四级分类、五级分类、事件名称、事件定义、处置部门、法律依据等等。</w:t>
      </w:r>
    </w:p>
    <w:p w14:paraId="61EC2612">
      <w:pPr>
        <w:pStyle w:val="6"/>
        <w:numPr>
          <w:ilvl w:val="3"/>
          <w:numId w:val="36"/>
        </w:numPr>
        <w:spacing w:line="240" w:lineRule="auto"/>
        <w:rPr>
          <w:color w:val="auto"/>
        </w:rPr>
      </w:pPr>
      <w:bookmarkStart w:id="186" w:name="_Toc83216284"/>
      <w:r>
        <w:rPr>
          <w:rFonts w:hint="eastAsia"/>
          <w:color w:val="auto"/>
        </w:rPr>
        <w:t>事件标准制定</w:t>
      </w:r>
      <w:bookmarkEnd w:id="186"/>
    </w:p>
    <w:p w14:paraId="2C518ECC">
      <w:pPr>
        <w:ind w:firstLine="480" w:firstLineChars="200"/>
        <w:rPr>
          <w:rFonts w:cs="Times New Roman" w:asciiTheme="majorEastAsia" w:hAnsiTheme="majorEastAsia" w:eastAsiaTheme="majorEastAsia"/>
          <w:color w:val="auto"/>
          <w:sz w:val="24"/>
          <w:szCs w:val="21"/>
        </w:rPr>
      </w:pPr>
      <w:r>
        <w:rPr>
          <w:rFonts w:hint="eastAsia" w:cs="Times New Roman" w:asciiTheme="majorEastAsia" w:hAnsiTheme="majorEastAsia" w:eastAsiaTheme="majorEastAsia"/>
          <w:color w:val="auto"/>
          <w:sz w:val="24"/>
          <w:szCs w:val="21"/>
        </w:rPr>
        <w:t>研究并组织编制文件征求意见稿，征求相关委办局等单位的意见和建议；修改完善文件，形成送审稿，完成专家评审，并最终形成福建省城市管理事件分类标准</w:t>
      </w:r>
      <w:r>
        <w:rPr>
          <w:rFonts w:cs="Times New Roman" w:asciiTheme="majorEastAsia" w:hAnsiTheme="majorEastAsia" w:eastAsiaTheme="majorEastAsia"/>
          <w:color w:val="auto"/>
          <w:sz w:val="24"/>
          <w:szCs w:val="21"/>
        </w:rPr>
        <w:t>。</w:t>
      </w:r>
    </w:p>
    <w:p w14:paraId="02F79522">
      <w:pPr>
        <w:pStyle w:val="41"/>
        <w:rPr>
          <w:color w:val="auto"/>
        </w:rPr>
      </w:pPr>
    </w:p>
    <w:p w14:paraId="03FE5A49">
      <w:pPr>
        <w:keepNext/>
        <w:keepLines/>
        <w:numPr>
          <w:ilvl w:val="2"/>
          <w:numId w:val="37"/>
        </w:numPr>
        <w:ind w:firstLine="200"/>
        <w:contextualSpacing/>
        <w:jc w:val="left"/>
        <w:outlineLvl w:val="2"/>
        <w:rPr>
          <w:rFonts w:ascii="宋体" w:hAnsi="宋体" w:eastAsia="宋体" w:cs="宋体"/>
          <w:color w:val="auto"/>
          <w:sz w:val="28"/>
          <w:szCs w:val="28"/>
        </w:rPr>
      </w:pPr>
      <w:bookmarkStart w:id="187" w:name="_Toc95404045"/>
      <w:bookmarkStart w:id="188" w:name="_Toc83216281"/>
      <w:r>
        <w:rPr>
          <w:rFonts w:hint="eastAsia" w:ascii="宋体" w:hAnsi="宋体" w:eastAsia="宋体" w:cs="宋体"/>
          <w:color w:val="auto"/>
          <w:sz w:val="28"/>
          <w:szCs w:val="28"/>
        </w:rPr>
        <w:t>网格微服务系统</w:t>
      </w:r>
      <w:bookmarkEnd w:id="187"/>
    </w:p>
    <w:p w14:paraId="18908DE3">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网格微服务系统建设目标是通过建立容器化、微服务的城市统一网格数据底座，为综合管理平台的各类应用系统提供统一的网格数据与应用共享服务，支撑城市综合管理平台业务，提升城市精细化管理效率与网格化服务水平。</w:t>
      </w:r>
    </w:p>
    <w:p w14:paraId="30F54FB7">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系统采用先进的微服务架构，数据与功能基于微服务管理的规范要求开发为微服务形式接口，并注册至微服务管理中集成应用。系统还需基于容器化平台的规范要求，采用容器化方式进行构建与部署集成。</w:t>
      </w:r>
    </w:p>
    <w:p w14:paraId="29D5B338">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系统建设内容主要包括网格数据微服务、网格查询应用微服务以及平台接口对接三项。</w:t>
      </w:r>
    </w:p>
    <w:p w14:paraId="42605D83">
      <w:pPr>
        <w:pStyle w:val="6"/>
        <w:numPr>
          <w:ilvl w:val="3"/>
          <w:numId w:val="36"/>
        </w:numPr>
        <w:spacing w:line="240" w:lineRule="auto"/>
        <w:ind w:firstLine="480"/>
        <w:rPr>
          <w:color w:val="auto"/>
        </w:rPr>
      </w:pPr>
      <w:r>
        <w:rPr>
          <w:rFonts w:hint="eastAsia"/>
          <w:color w:val="auto"/>
        </w:rPr>
        <w:t>网格数据微服务</w:t>
      </w:r>
    </w:p>
    <w:p w14:paraId="192D3159">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按照容器化与微服务的规范要求，构建容器化的网格数据库，提供数据集成入库能力将基础网格与各类管理网格数据合理有序地导入数据库中，并提供网格数据更新管理能力实现网格数据的更新维护。在此基础上，构建容器化的GIS服务支撑平台，提供空间数据服务发布能力将数据库中的网格数据发布为地图服务，向各应用系统提供网格地图数据服务。</w:t>
      </w:r>
    </w:p>
    <w:p w14:paraId="7859FF68">
      <w:pPr>
        <w:pStyle w:val="55"/>
        <w:numPr>
          <w:ilvl w:val="0"/>
          <w:numId w:val="56"/>
        </w:numPr>
        <w:spacing w:line="240" w:lineRule="auto"/>
        <w:ind w:firstLineChars="0"/>
        <w:rPr>
          <w:rFonts w:asciiTheme="majorEastAsia" w:hAnsiTheme="majorEastAsia" w:eastAsiaTheme="majorEastAsia"/>
          <w:color w:val="auto"/>
          <w:kern w:val="0"/>
        </w:rPr>
      </w:pPr>
      <w:r>
        <w:rPr>
          <w:rFonts w:hint="eastAsia" w:asciiTheme="majorEastAsia" w:hAnsiTheme="majorEastAsia" w:eastAsiaTheme="majorEastAsia"/>
          <w:color w:val="auto"/>
          <w:kern w:val="0"/>
        </w:rPr>
        <w:t>网格空间数据库管理</w:t>
      </w:r>
    </w:p>
    <w:p w14:paraId="72206A28">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采用容器化方式构建空间数据库docker镜像，支撑网格空间数据的入库与管理，并提供数据更新管理能力实现数据的动态更新管理。</w:t>
      </w:r>
    </w:p>
    <w:p w14:paraId="2465D087">
      <w:pPr>
        <w:pStyle w:val="55"/>
        <w:numPr>
          <w:ilvl w:val="0"/>
          <w:numId w:val="56"/>
        </w:numPr>
        <w:spacing w:line="240" w:lineRule="auto"/>
        <w:ind w:firstLineChars="0"/>
        <w:rPr>
          <w:rFonts w:asciiTheme="majorEastAsia" w:hAnsiTheme="majorEastAsia" w:eastAsiaTheme="majorEastAsia"/>
          <w:color w:val="auto"/>
          <w:kern w:val="0"/>
        </w:rPr>
      </w:pPr>
      <w:r>
        <w:rPr>
          <w:rFonts w:hint="eastAsia" w:asciiTheme="majorEastAsia" w:hAnsiTheme="majorEastAsia" w:eastAsiaTheme="majorEastAsia"/>
          <w:color w:val="auto"/>
          <w:kern w:val="0"/>
        </w:rPr>
        <w:t>网格数据共享服务</w:t>
      </w:r>
    </w:p>
    <w:p w14:paraId="4820812C">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采用容器化方式构建GIS服务支撑平台docker镜像，提供地图服务的发布与管理能力，将网格数据发布为网格地图数据服务，向各应用系统共享提供。</w:t>
      </w:r>
    </w:p>
    <w:p w14:paraId="167D3EC1">
      <w:pPr>
        <w:pStyle w:val="55"/>
        <w:numPr>
          <w:ilvl w:val="0"/>
          <w:numId w:val="56"/>
        </w:numPr>
        <w:spacing w:line="240" w:lineRule="auto"/>
        <w:ind w:firstLineChars="0"/>
        <w:rPr>
          <w:rFonts w:asciiTheme="majorEastAsia" w:hAnsiTheme="majorEastAsia" w:eastAsiaTheme="majorEastAsia"/>
          <w:color w:val="auto"/>
          <w:kern w:val="0"/>
        </w:rPr>
      </w:pPr>
      <w:r>
        <w:rPr>
          <w:rFonts w:hint="eastAsia" w:asciiTheme="majorEastAsia" w:hAnsiTheme="majorEastAsia" w:eastAsiaTheme="majorEastAsia"/>
          <w:color w:val="auto"/>
          <w:kern w:val="0"/>
        </w:rPr>
        <w:t>网格数据缓存同步服务</w:t>
      </w:r>
    </w:p>
    <w:p w14:paraId="4AA0F441">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实现网格数据缓存同步至redis或elasticsearch数据缓存服务集群中，提高网格数据检索服务性能，避免直查数据库导致崩库，支撑互联网高并发访问。</w:t>
      </w:r>
    </w:p>
    <w:p w14:paraId="75ADB396">
      <w:pPr>
        <w:pStyle w:val="6"/>
        <w:numPr>
          <w:ilvl w:val="3"/>
          <w:numId w:val="36"/>
        </w:numPr>
        <w:spacing w:line="240" w:lineRule="auto"/>
        <w:ind w:firstLine="480"/>
        <w:rPr>
          <w:color w:val="auto"/>
        </w:rPr>
      </w:pPr>
      <w:r>
        <w:rPr>
          <w:rFonts w:hint="eastAsia"/>
          <w:color w:val="auto"/>
        </w:rPr>
        <w:tab/>
      </w:r>
      <w:r>
        <w:rPr>
          <w:rFonts w:hint="eastAsia"/>
          <w:color w:val="auto"/>
        </w:rPr>
        <w:t>网格查询应用微服务</w:t>
      </w:r>
    </w:p>
    <w:p w14:paraId="39A2BBF1">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以微服务的方式开发实现网格数据查询应用的微服务接口，包含国家大地2000与互联网地图坐标系两类地图坐标系下的网格查询接口，支撑不同应用系统地图对于网格信息的查询需求。</w:t>
      </w:r>
    </w:p>
    <w:p w14:paraId="49A353B8">
      <w:pPr>
        <w:pStyle w:val="55"/>
        <w:numPr>
          <w:ilvl w:val="0"/>
          <w:numId w:val="57"/>
        </w:numPr>
        <w:spacing w:line="240" w:lineRule="auto"/>
        <w:ind w:firstLineChars="0"/>
        <w:rPr>
          <w:rFonts w:asciiTheme="majorEastAsia" w:hAnsiTheme="majorEastAsia" w:eastAsiaTheme="majorEastAsia"/>
          <w:color w:val="auto"/>
          <w:kern w:val="0"/>
        </w:rPr>
      </w:pPr>
      <w:r>
        <w:rPr>
          <w:rFonts w:hint="eastAsia" w:asciiTheme="majorEastAsia" w:hAnsiTheme="majorEastAsia" w:eastAsiaTheme="majorEastAsia"/>
          <w:color w:val="auto"/>
          <w:kern w:val="0"/>
        </w:rPr>
        <w:t>网格数据查询服务</w:t>
      </w:r>
    </w:p>
    <w:p w14:paraId="38BD1007">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实现网格数据的空间与属性查询接口，包含网格编码查询、空间查询、属性查询、级联查询等接口。</w:t>
      </w:r>
    </w:p>
    <w:p w14:paraId="039EFF97">
      <w:pPr>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(1)</w:t>
      </w:r>
      <w:r>
        <w:rPr>
          <w:rFonts w:hint="eastAsia" w:cs="Times New Roman" w:asciiTheme="majorEastAsia" w:hAnsiTheme="majorEastAsia" w:eastAsiaTheme="majorEastAsia"/>
          <w:color w:val="auto"/>
          <w:kern w:val="0"/>
          <w:sz w:val="24"/>
          <w:szCs w:val="21"/>
        </w:rPr>
        <w:tab/>
      </w:r>
      <w:r>
        <w:rPr>
          <w:rFonts w:hint="eastAsia" w:cs="Times New Roman" w:asciiTheme="majorEastAsia" w:hAnsiTheme="majorEastAsia" w:eastAsiaTheme="majorEastAsia"/>
          <w:color w:val="auto"/>
          <w:kern w:val="0"/>
          <w:sz w:val="24"/>
          <w:szCs w:val="21"/>
        </w:rPr>
        <w:t>网格编码查询</w:t>
      </w:r>
    </w:p>
    <w:p w14:paraId="4D9B3EB3">
      <w:pPr>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通过网格编码查询网格的图斑与属性信息。</w:t>
      </w:r>
    </w:p>
    <w:p w14:paraId="14B841E0">
      <w:pPr>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(2)</w:t>
      </w:r>
      <w:r>
        <w:rPr>
          <w:rFonts w:hint="eastAsia" w:cs="Times New Roman" w:asciiTheme="majorEastAsia" w:hAnsiTheme="majorEastAsia" w:eastAsiaTheme="majorEastAsia"/>
          <w:color w:val="auto"/>
          <w:kern w:val="0"/>
          <w:sz w:val="24"/>
          <w:szCs w:val="21"/>
        </w:rPr>
        <w:tab/>
      </w:r>
      <w:r>
        <w:rPr>
          <w:rFonts w:hint="eastAsia" w:cs="Times New Roman" w:asciiTheme="majorEastAsia" w:hAnsiTheme="majorEastAsia" w:eastAsiaTheme="majorEastAsia"/>
          <w:color w:val="auto"/>
          <w:kern w:val="0"/>
          <w:sz w:val="24"/>
          <w:szCs w:val="21"/>
        </w:rPr>
        <w:t>空间查询</w:t>
      </w:r>
    </w:p>
    <w:p w14:paraId="7F18CA7B">
      <w:pPr>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通过空间范围查询网格详细信息，支持点选、框选、多边形范围的空间查询。</w:t>
      </w:r>
    </w:p>
    <w:p w14:paraId="78A32019">
      <w:pPr>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(3)</w:t>
      </w:r>
      <w:r>
        <w:rPr>
          <w:rFonts w:hint="eastAsia" w:cs="Times New Roman" w:asciiTheme="majorEastAsia" w:hAnsiTheme="majorEastAsia" w:eastAsiaTheme="majorEastAsia"/>
          <w:color w:val="auto"/>
          <w:kern w:val="0"/>
          <w:sz w:val="24"/>
          <w:szCs w:val="21"/>
        </w:rPr>
        <w:tab/>
      </w:r>
      <w:r>
        <w:rPr>
          <w:rFonts w:hint="eastAsia" w:cs="Times New Roman" w:asciiTheme="majorEastAsia" w:hAnsiTheme="majorEastAsia" w:eastAsiaTheme="majorEastAsia"/>
          <w:color w:val="auto"/>
          <w:kern w:val="0"/>
          <w:sz w:val="24"/>
          <w:szCs w:val="21"/>
        </w:rPr>
        <w:t>属性查询</w:t>
      </w:r>
    </w:p>
    <w:p w14:paraId="5BEF6E5E">
      <w:pPr>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通过网格的属性（如名称、网格员等）多条件组合的网格信息查询。</w:t>
      </w:r>
    </w:p>
    <w:p w14:paraId="6D07C15F">
      <w:pPr>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(4)</w:t>
      </w:r>
      <w:r>
        <w:rPr>
          <w:rFonts w:hint="eastAsia" w:cs="Times New Roman" w:asciiTheme="majorEastAsia" w:hAnsiTheme="majorEastAsia" w:eastAsiaTheme="majorEastAsia"/>
          <w:color w:val="auto"/>
          <w:kern w:val="0"/>
          <w:sz w:val="24"/>
          <w:szCs w:val="21"/>
        </w:rPr>
        <w:tab/>
      </w:r>
      <w:r>
        <w:rPr>
          <w:rFonts w:hint="eastAsia" w:cs="Times New Roman" w:asciiTheme="majorEastAsia" w:hAnsiTheme="majorEastAsia" w:eastAsiaTheme="majorEastAsia"/>
          <w:color w:val="auto"/>
          <w:kern w:val="0"/>
          <w:sz w:val="24"/>
          <w:szCs w:val="21"/>
        </w:rPr>
        <w:t>级联查询</w:t>
      </w:r>
    </w:p>
    <w:p w14:paraId="0B2EE138">
      <w:pPr>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上下级关联网格的级联查询，如查询下级网格列表、查询所属上级网格等。</w:t>
      </w:r>
    </w:p>
    <w:p w14:paraId="1A3B80FD">
      <w:pPr>
        <w:pStyle w:val="55"/>
        <w:numPr>
          <w:ilvl w:val="0"/>
          <w:numId w:val="57"/>
        </w:numPr>
        <w:spacing w:line="240" w:lineRule="auto"/>
        <w:ind w:firstLineChars="0"/>
        <w:rPr>
          <w:rFonts w:asciiTheme="majorEastAsia" w:hAnsiTheme="majorEastAsia" w:eastAsiaTheme="majorEastAsia"/>
          <w:color w:val="auto"/>
          <w:kern w:val="0"/>
        </w:rPr>
      </w:pPr>
      <w:r>
        <w:rPr>
          <w:rFonts w:hint="eastAsia" w:asciiTheme="majorEastAsia" w:hAnsiTheme="majorEastAsia" w:eastAsiaTheme="majorEastAsia"/>
          <w:color w:val="auto"/>
          <w:kern w:val="0"/>
        </w:rPr>
        <w:t>互联网地图坐标转换服务</w:t>
      </w:r>
    </w:p>
    <w:p w14:paraId="7A4FF484">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实现互联网地图坐标与国家大地2000坐标之间的坐标相互转换的接口，支撑实现互联网地图调用网格数据与查询网格信息。</w:t>
      </w:r>
    </w:p>
    <w:p w14:paraId="016B8752">
      <w:pPr>
        <w:pStyle w:val="55"/>
        <w:numPr>
          <w:ilvl w:val="0"/>
          <w:numId w:val="57"/>
        </w:numPr>
        <w:spacing w:line="240" w:lineRule="auto"/>
        <w:ind w:firstLineChars="0"/>
        <w:rPr>
          <w:rFonts w:asciiTheme="majorEastAsia" w:hAnsiTheme="majorEastAsia" w:eastAsiaTheme="majorEastAsia"/>
          <w:color w:val="auto"/>
          <w:kern w:val="0"/>
        </w:rPr>
      </w:pPr>
      <w:r>
        <w:rPr>
          <w:rFonts w:hint="eastAsia" w:asciiTheme="majorEastAsia" w:hAnsiTheme="majorEastAsia" w:eastAsiaTheme="majorEastAsia"/>
          <w:color w:val="auto"/>
          <w:kern w:val="0"/>
        </w:rPr>
        <w:t>互联网地图的网格查询服务</w:t>
      </w:r>
    </w:p>
    <w:p w14:paraId="776F0D9F">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实现基于互联网地图坐标的网格空间与属性查询服务接口，通过互联网地图坐标查询网格数据，查询结果返回互联网地图坐标系的网格图斑坐标。</w:t>
      </w:r>
    </w:p>
    <w:p w14:paraId="5EF579B0">
      <w:pPr>
        <w:pStyle w:val="6"/>
        <w:numPr>
          <w:ilvl w:val="3"/>
          <w:numId w:val="36"/>
        </w:numPr>
        <w:spacing w:line="240" w:lineRule="auto"/>
        <w:ind w:firstLine="480"/>
        <w:rPr>
          <w:color w:val="auto"/>
        </w:rPr>
      </w:pPr>
      <w:r>
        <w:rPr>
          <w:rFonts w:hint="eastAsia"/>
          <w:color w:val="auto"/>
        </w:rPr>
        <w:t>平台接口对接</w:t>
      </w:r>
    </w:p>
    <w:p w14:paraId="20E6CE4E">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与微服务管理及容器化云平台进行接口对接，实现系统在容器化云平台的部署运行以及在微服务管理的能力服务集成，统一服务调用入口与鉴权。</w:t>
      </w:r>
    </w:p>
    <w:p w14:paraId="0EF6BB05">
      <w:pPr>
        <w:pStyle w:val="55"/>
        <w:numPr>
          <w:ilvl w:val="0"/>
          <w:numId w:val="58"/>
        </w:numPr>
        <w:spacing w:line="240" w:lineRule="auto"/>
        <w:ind w:firstLineChars="0"/>
        <w:rPr>
          <w:rFonts w:asciiTheme="majorEastAsia" w:hAnsiTheme="majorEastAsia" w:eastAsiaTheme="majorEastAsia"/>
          <w:color w:val="auto"/>
          <w:kern w:val="0"/>
        </w:rPr>
      </w:pPr>
      <w:r>
        <w:rPr>
          <w:rFonts w:hint="eastAsia" w:asciiTheme="majorEastAsia" w:hAnsiTheme="majorEastAsia" w:eastAsiaTheme="majorEastAsia"/>
          <w:color w:val="auto"/>
          <w:kern w:val="0"/>
        </w:rPr>
        <w:t>微服务管理接入对接</w:t>
      </w:r>
    </w:p>
    <w:p w14:paraId="06A2A11F">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根据微服务管理的接入规范，与微服务管理进行接口对接，在网格微服务接口开发时添加相关基础包依赖及注册中心配置，实现将网格微服务接口接入微服务平台的注册中心，并完成对接联调，通过微服务管理提供其它应用系统调用。</w:t>
      </w:r>
    </w:p>
    <w:p w14:paraId="5C8F9CAC">
      <w:pPr>
        <w:pStyle w:val="55"/>
        <w:numPr>
          <w:ilvl w:val="0"/>
          <w:numId w:val="58"/>
        </w:numPr>
        <w:spacing w:line="240" w:lineRule="auto"/>
        <w:ind w:firstLineChars="0"/>
        <w:rPr>
          <w:rFonts w:asciiTheme="majorEastAsia" w:hAnsiTheme="majorEastAsia" w:eastAsiaTheme="majorEastAsia"/>
          <w:color w:val="auto"/>
          <w:kern w:val="0"/>
        </w:rPr>
      </w:pPr>
      <w:r>
        <w:rPr>
          <w:rFonts w:hint="eastAsia" w:asciiTheme="majorEastAsia" w:hAnsiTheme="majorEastAsia" w:eastAsiaTheme="majorEastAsia"/>
          <w:color w:val="auto"/>
          <w:kern w:val="0"/>
        </w:rPr>
        <w:t>容器化云平台接入对接</w:t>
      </w:r>
    </w:p>
    <w:p w14:paraId="4F481DC7">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根据容器化云平台的接入规范要求，完成网格空间数据库、数据共享GIS服务平台及网格应用微服务在容器化云平台中的部署集成，并完成对接联调。</w:t>
      </w:r>
    </w:p>
    <w:p w14:paraId="4238A72B">
      <w:pPr>
        <w:pStyle w:val="55"/>
        <w:numPr>
          <w:ilvl w:val="0"/>
          <w:numId w:val="58"/>
        </w:numPr>
        <w:spacing w:line="240" w:lineRule="auto"/>
        <w:ind w:firstLineChars="0"/>
        <w:rPr>
          <w:rFonts w:asciiTheme="majorEastAsia" w:hAnsiTheme="majorEastAsia" w:eastAsiaTheme="majorEastAsia"/>
          <w:color w:val="auto"/>
          <w:kern w:val="0"/>
        </w:rPr>
      </w:pPr>
      <w:r>
        <w:rPr>
          <w:rFonts w:hint="eastAsia" w:asciiTheme="majorEastAsia" w:hAnsiTheme="majorEastAsia" w:eastAsiaTheme="majorEastAsia"/>
          <w:color w:val="auto"/>
          <w:kern w:val="0"/>
        </w:rPr>
        <w:t>与福州时空系统对接</w:t>
      </w:r>
    </w:p>
    <w:p w14:paraId="68C7C217">
      <w:pPr>
        <w:ind w:firstLine="480" w:firstLineChars="200"/>
        <w:rPr>
          <w:rFonts w:cs="Times New Roman" w:asciiTheme="majorEastAsia" w:hAnsiTheme="majorEastAsia" w:eastAsiaTheme="majorEastAsia"/>
          <w:color w:val="auto"/>
          <w:kern w:val="0"/>
          <w:sz w:val="24"/>
          <w:szCs w:val="21"/>
        </w:rPr>
      </w:pPr>
      <w:r>
        <w:rPr>
          <w:rFonts w:hint="eastAsia" w:cs="Times New Roman" w:asciiTheme="majorEastAsia" w:hAnsiTheme="majorEastAsia" w:eastAsiaTheme="majorEastAsia"/>
          <w:color w:val="auto"/>
          <w:kern w:val="0"/>
          <w:sz w:val="24"/>
          <w:szCs w:val="21"/>
        </w:rPr>
        <w:t>根据时空平台的接入规范，与时空平台进行接口对接，将网格员日常采集到的部件变更数据推送至福州市时空信息公共服务平台，由其进行核实校准发布，建立部件动态更新机制。</w:t>
      </w:r>
    </w:p>
    <w:p w14:paraId="58786FBD">
      <w:pPr>
        <w:pStyle w:val="41"/>
        <w:rPr>
          <w:color w:val="auto"/>
        </w:rPr>
      </w:pPr>
    </w:p>
    <w:p w14:paraId="69BBFB04">
      <w:pPr>
        <w:keepNext/>
        <w:keepLines/>
        <w:numPr>
          <w:ilvl w:val="2"/>
          <w:numId w:val="37"/>
        </w:numPr>
        <w:ind w:firstLine="200"/>
        <w:contextualSpacing/>
        <w:jc w:val="left"/>
        <w:outlineLvl w:val="2"/>
        <w:rPr>
          <w:rFonts w:ascii="宋体" w:hAnsi="宋体" w:eastAsia="宋体" w:cs="宋体"/>
          <w:color w:val="auto"/>
          <w:sz w:val="28"/>
          <w:szCs w:val="28"/>
        </w:rPr>
      </w:pPr>
      <w:bookmarkStart w:id="189" w:name="_Toc95404041"/>
      <w:bookmarkStart w:id="190" w:name="_Toc83216257"/>
      <w:r>
        <w:rPr>
          <w:rFonts w:hint="eastAsia" w:ascii="宋体" w:hAnsi="宋体" w:eastAsia="宋体" w:cs="宋体"/>
          <w:color w:val="auto"/>
          <w:sz w:val="28"/>
          <w:szCs w:val="28"/>
        </w:rPr>
        <w:t>舆情监测系统</w:t>
      </w:r>
      <w:bookmarkEnd w:id="189"/>
      <w:bookmarkEnd w:id="190"/>
    </w:p>
    <w:p w14:paraId="62C83F91">
      <w:pPr>
        <w:ind w:left="210" w:leftChars="10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舆情监测系统用于采集本市范围内的城市运行管理服务相 关舆情监测数据，实时掌握本市城市管理工作舆情、重大负面 舆情，转相关部门办理并跟踪督办。与省级平台舆情监测系统 功能一致，市级平台舆情监测系统应包括舆情采集、舆情督办、 舆情分析和舆情报告等功能模块。</w:t>
      </w:r>
    </w:p>
    <w:p w14:paraId="55519950">
      <w:pPr>
        <w:pStyle w:val="6"/>
        <w:numPr>
          <w:ilvl w:val="3"/>
          <w:numId w:val="36"/>
        </w:numPr>
        <w:spacing w:line="240" w:lineRule="auto"/>
        <w:rPr>
          <w:color w:val="auto"/>
        </w:rPr>
      </w:pPr>
      <w:r>
        <w:rPr>
          <w:rFonts w:hint="eastAsia"/>
          <w:color w:val="auto"/>
        </w:rPr>
        <w:t>信息采集</w:t>
      </w:r>
    </w:p>
    <w:p w14:paraId="6BEC7B42">
      <w:pPr>
        <w:ind w:left="210" w:leftChars="10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自动采集系统是舆情监测系统的核心与基础，因此评价一个舆情监测系统是否优秀的重要指标就是自动采集子系统能否将目标信息及时全面地采集到系统中。信息采集子系统的职责是对全部网站进行自动采集。系统内置重点网站有：新华网、人民网等网络平台获取我市城市管理相关的舆情数据。</w:t>
      </w:r>
    </w:p>
    <w:p w14:paraId="199CD173">
      <w:pPr>
        <w:pStyle w:val="7"/>
        <w:numPr>
          <w:ilvl w:val="4"/>
          <w:numId w:val="36"/>
        </w:numPr>
        <w:spacing w:line="240" w:lineRule="auto"/>
        <w:rPr>
          <w:bCs/>
          <w:color w:val="auto"/>
        </w:rPr>
      </w:pPr>
      <w:r>
        <w:rPr>
          <w:rFonts w:hint="eastAsia"/>
          <w:color w:val="auto"/>
        </w:rPr>
        <w:t>定向爬虫服务</w:t>
      </w:r>
    </w:p>
    <w:p w14:paraId="28EAADC8">
      <w:pPr>
        <w:ind w:left="210" w:leftChars="10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舆情系统的智能网络爬虫</w:t>
      </w:r>
      <w:r>
        <w:rPr>
          <w:rFonts w:cs="宋体" w:asciiTheme="majorEastAsia" w:hAnsiTheme="majorEastAsia" w:eastAsiaTheme="majorEastAsia"/>
          <w:color w:val="auto"/>
          <w:sz w:val="24"/>
        </w:rPr>
        <w:t>系统，可以实现高质量和快速的抓取，支持对新华网、人民网等主要平台信息的实时抓取。</w:t>
      </w:r>
    </w:p>
    <w:p w14:paraId="690E7A27">
      <w:pPr>
        <w:pStyle w:val="7"/>
        <w:numPr>
          <w:ilvl w:val="4"/>
          <w:numId w:val="36"/>
        </w:numPr>
        <w:spacing w:line="240" w:lineRule="auto"/>
        <w:rPr>
          <w:bCs/>
          <w:color w:val="auto"/>
        </w:rPr>
      </w:pPr>
      <w:r>
        <w:rPr>
          <w:rFonts w:hint="eastAsia"/>
          <w:color w:val="auto"/>
        </w:rPr>
        <w:t>多采集线程并行处理</w:t>
      </w:r>
    </w:p>
    <w:p w14:paraId="19AB0089">
      <w:pPr>
        <w:ind w:left="210" w:leftChars="10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本子系统可以部署在多台计算机上，实现高效的多线程同时并行处理，减少单一服务器采集压力。</w:t>
      </w:r>
    </w:p>
    <w:p w14:paraId="2BFB32AA">
      <w:pPr>
        <w:pStyle w:val="7"/>
        <w:numPr>
          <w:ilvl w:val="4"/>
          <w:numId w:val="36"/>
        </w:numPr>
        <w:spacing w:line="240" w:lineRule="auto"/>
        <w:rPr>
          <w:bCs/>
          <w:color w:val="auto"/>
        </w:rPr>
      </w:pPr>
      <w:r>
        <w:rPr>
          <w:rFonts w:hint="eastAsia"/>
          <w:color w:val="auto"/>
        </w:rPr>
        <w:t>无人值守全天候自动采集</w:t>
      </w:r>
    </w:p>
    <w:p w14:paraId="4DD9E0EB">
      <w:pPr>
        <w:ind w:left="210" w:leftChars="10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可定时运行，也可7x24小时运行，可设置采集时间间隔。</w:t>
      </w:r>
    </w:p>
    <w:p w14:paraId="0346B95B">
      <w:pPr>
        <w:pStyle w:val="6"/>
        <w:numPr>
          <w:ilvl w:val="3"/>
          <w:numId w:val="36"/>
        </w:numPr>
        <w:spacing w:line="240" w:lineRule="auto"/>
        <w:rPr>
          <w:color w:val="auto"/>
        </w:rPr>
      </w:pPr>
      <w:r>
        <w:rPr>
          <w:rFonts w:hint="eastAsia"/>
          <w:color w:val="auto"/>
        </w:rPr>
        <w:t>信息处理</w:t>
      </w:r>
    </w:p>
    <w:p w14:paraId="1CFD4A3B">
      <w:pPr>
        <w:pStyle w:val="7"/>
        <w:numPr>
          <w:ilvl w:val="4"/>
          <w:numId w:val="36"/>
        </w:numPr>
        <w:spacing w:line="240" w:lineRule="auto"/>
        <w:rPr>
          <w:bCs/>
          <w:color w:val="auto"/>
        </w:rPr>
      </w:pPr>
      <w:r>
        <w:rPr>
          <w:rFonts w:hint="eastAsia"/>
          <w:color w:val="auto"/>
        </w:rPr>
        <w:t>垃圾信息过滤</w:t>
      </w:r>
    </w:p>
    <w:p w14:paraId="4F745F3A">
      <w:pPr>
        <w:ind w:left="210" w:leftChars="10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基于机器学习的垃圾过滤机制可以自动过滤广告、水贴等无效垃圾信息。</w:t>
      </w:r>
    </w:p>
    <w:p w14:paraId="4B3973E8">
      <w:pPr>
        <w:pStyle w:val="7"/>
        <w:numPr>
          <w:ilvl w:val="4"/>
          <w:numId w:val="36"/>
        </w:numPr>
        <w:spacing w:line="240" w:lineRule="auto"/>
        <w:rPr>
          <w:bCs/>
          <w:color w:val="auto"/>
        </w:rPr>
      </w:pPr>
      <w:r>
        <w:rPr>
          <w:rFonts w:hint="eastAsia"/>
          <w:color w:val="auto"/>
        </w:rPr>
        <w:t>智能去重</w:t>
      </w:r>
    </w:p>
    <w:p w14:paraId="0F8A13C2">
      <w:pPr>
        <w:ind w:left="210" w:leftChars="10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采用</w:t>
      </w:r>
      <w:r>
        <w:rPr>
          <w:rFonts w:cs="宋体" w:asciiTheme="majorEastAsia" w:hAnsiTheme="majorEastAsia" w:eastAsiaTheme="majorEastAsia"/>
          <w:color w:val="auto"/>
          <w:sz w:val="24"/>
        </w:rPr>
        <w:t>"文章相似性技术"，根据文档内容的匹配程度确定是否重复．去重的级别；根据不同的需要特点分为：URL去重、标题去重、正文去重三个级别。</w:t>
      </w:r>
    </w:p>
    <w:p w14:paraId="565FD176">
      <w:pPr>
        <w:pStyle w:val="7"/>
        <w:numPr>
          <w:ilvl w:val="4"/>
          <w:numId w:val="36"/>
        </w:numPr>
        <w:spacing w:line="240" w:lineRule="auto"/>
        <w:rPr>
          <w:bCs/>
          <w:color w:val="auto"/>
        </w:rPr>
      </w:pPr>
      <w:r>
        <w:rPr>
          <w:color w:val="auto"/>
        </w:rPr>
        <w:t>HTML</w:t>
      </w:r>
      <w:r>
        <w:rPr>
          <w:rFonts w:hint="eastAsia"/>
          <w:color w:val="auto"/>
        </w:rPr>
        <w:t>内容提取</w:t>
      </w:r>
    </w:p>
    <w:p w14:paraId="6DBA39EB">
      <w:pPr>
        <w:ind w:left="210" w:leftChars="10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采用自主知识产权的</w:t>
      </w:r>
      <w:r>
        <w:rPr>
          <w:rFonts w:cs="宋体" w:asciiTheme="majorEastAsia" w:hAnsiTheme="majorEastAsia" w:eastAsiaTheme="majorEastAsia"/>
          <w:color w:val="auto"/>
          <w:sz w:val="24"/>
        </w:rPr>
        <w:t>HTML网页文本萃取技术自动提取任意复杂网页中的标题、内容、作者、发布时间等信息，自动跟踪文章分页；对于论坛信息自动分析主贴、回帖以及作者等信息．</w:t>
      </w:r>
    </w:p>
    <w:p w14:paraId="76EE5797">
      <w:pPr>
        <w:pStyle w:val="7"/>
        <w:numPr>
          <w:ilvl w:val="4"/>
          <w:numId w:val="36"/>
        </w:numPr>
        <w:spacing w:line="240" w:lineRule="auto"/>
        <w:rPr>
          <w:color w:val="auto"/>
        </w:rPr>
      </w:pPr>
      <w:r>
        <w:rPr>
          <w:rFonts w:hint="eastAsia"/>
          <w:color w:val="auto"/>
        </w:rPr>
        <w:t>快照保存</w:t>
      </w:r>
    </w:p>
    <w:p w14:paraId="2BD15ECF">
      <w:pPr>
        <w:ind w:left="210" w:leftChars="10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对于每个经过抓取和处理的网页，系统都存有一个纯文本的备份，方便用户快速浏览，也方便用户查看被删除的文章或帖子。</w:t>
      </w:r>
    </w:p>
    <w:p w14:paraId="48FD57DD">
      <w:pPr>
        <w:pStyle w:val="6"/>
        <w:numPr>
          <w:ilvl w:val="3"/>
          <w:numId w:val="36"/>
        </w:numPr>
        <w:spacing w:line="240" w:lineRule="auto"/>
        <w:rPr>
          <w:color w:val="auto"/>
        </w:rPr>
      </w:pPr>
      <w:r>
        <w:rPr>
          <w:rFonts w:hint="eastAsia"/>
          <w:color w:val="auto"/>
        </w:rPr>
        <w:t>舆情展示</w:t>
      </w:r>
    </w:p>
    <w:p w14:paraId="381C6F45">
      <w:pPr>
        <w:pStyle w:val="7"/>
        <w:numPr>
          <w:ilvl w:val="4"/>
          <w:numId w:val="36"/>
        </w:numPr>
        <w:spacing w:line="240" w:lineRule="auto"/>
        <w:rPr>
          <w:color w:val="auto"/>
        </w:rPr>
      </w:pPr>
      <w:r>
        <w:rPr>
          <w:color w:val="auto"/>
        </w:rPr>
        <w:t xml:space="preserve"> WEB</w:t>
      </w:r>
      <w:r>
        <w:rPr>
          <w:rFonts w:hint="eastAsia"/>
          <w:color w:val="auto"/>
        </w:rPr>
        <w:t>客户界面</w:t>
      </w:r>
    </w:p>
    <w:p w14:paraId="38E3B8EB">
      <w:pPr>
        <w:ind w:left="210" w:leftChars="10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基于云计算模式，用户可以使用</w:t>
      </w:r>
      <w:r>
        <w:rPr>
          <w:rFonts w:cs="宋体" w:asciiTheme="majorEastAsia" w:hAnsiTheme="majorEastAsia" w:eastAsiaTheme="majorEastAsia"/>
          <w:color w:val="auto"/>
          <w:sz w:val="24"/>
        </w:rPr>
        <w:t>WEB浏览器随时登陆系统，在客户界面对舆情状况进行全面的了解。</w:t>
      </w:r>
    </w:p>
    <w:p w14:paraId="602B1D3C">
      <w:pPr>
        <w:ind w:left="210" w:leftChars="10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客户界面包含了如舆情走势、舆情详细信息、最新信息等主要内容，并以列表以及图表展示等可视化方式呈现。</w:t>
      </w:r>
    </w:p>
    <w:p w14:paraId="68AD5923">
      <w:pPr>
        <w:ind w:left="210" w:leftChars="10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实时搜索功能，用户可以自定义搜索条件查看系统内抓取的最新监测信息。</w:t>
      </w:r>
    </w:p>
    <w:p w14:paraId="365D0046">
      <w:pPr>
        <w:pStyle w:val="7"/>
        <w:numPr>
          <w:ilvl w:val="4"/>
          <w:numId w:val="36"/>
        </w:numPr>
        <w:spacing w:line="240" w:lineRule="auto"/>
        <w:rPr>
          <w:color w:val="auto"/>
        </w:rPr>
      </w:pPr>
      <w:r>
        <w:rPr>
          <w:rFonts w:hint="eastAsia"/>
          <w:color w:val="auto"/>
        </w:rPr>
        <w:t>舆情分析报告</w:t>
      </w:r>
    </w:p>
    <w:p w14:paraId="5A1FCDA1">
      <w:pPr>
        <w:ind w:left="210" w:leftChars="100"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根据舆情分析引擎处理后的结果库生成报告，用户可通过浏览器浏览，并且可以到处生成为</w:t>
      </w:r>
      <w:r>
        <w:rPr>
          <w:rFonts w:cs="宋体" w:asciiTheme="majorEastAsia" w:hAnsiTheme="majorEastAsia" w:eastAsiaTheme="majorEastAsia"/>
          <w:color w:val="auto"/>
          <w:sz w:val="24"/>
        </w:rPr>
        <w:t>PDF等格式的本地文档。</w:t>
      </w:r>
    </w:p>
    <w:p w14:paraId="012A5E36">
      <w:pPr>
        <w:pStyle w:val="41"/>
        <w:rPr>
          <w:color w:val="auto"/>
        </w:rPr>
      </w:pPr>
    </w:p>
    <w:bookmarkEnd w:id="182"/>
    <w:bookmarkEnd w:id="183"/>
    <w:bookmarkEnd w:id="188"/>
    <w:p w14:paraId="2DDA3F3C">
      <w:pPr>
        <w:keepNext/>
        <w:keepLines/>
        <w:numPr>
          <w:ilvl w:val="2"/>
          <w:numId w:val="37"/>
        </w:numPr>
        <w:ind w:firstLine="200"/>
        <w:contextualSpacing/>
        <w:jc w:val="left"/>
        <w:outlineLvl w:val="2"/>
        <w:rPr>
          <w:rFonts w:ascii="宋体" w:hAnsi="宋体" w:eastAsia="宋体" w:cs="宋体"/>
          <w:color w:val="auto"/>
          <w:sz w:val="28"/>
          <w:szCs w:val="28"/>
        </w:rPr>
      </w:pPr>
      <w:bookmarkStart w:id="191" w:name="_Toc95404040"/>
      <w:bookmarkStart w:id="192" w:name="_Toc83216256"/>
      <w:r>
        <w:rPr>
          <w:rFonts w:hint="eastAsia" w:ascii="宋体" w:hAnsi="宋体" w:eastAsia="宋体" w:cs="宋体"/>
          <w:color w:val="auto"/>
          <w:sz w:val="28"/>
          <w:szCs w:val="28"/>
        </w:rPr>
        <w:t>城市自评价系统</w:t>
      </w:r>
      <w:bookmarkEnd w:id="191"/>
      <w:bookmarkEnd w:id="192"/>
    </w:p>
    <w:p w14:paraId="747483D2">
      <w:pPr>
        <w:ind w:firstLine="480" w:firstLineChars="200"/>
        <w:rPr>
          <w:rFonts w:cs="Times New Roman" w:asciiTheme="majorEastAsia" w:hAnsiTheme="majorEastAsia" w:eastAsiaTheme="majorEastAsia"/>
          <w:color w:val="auto"/>
          <w:sz w:val="24"/>
        </w:rPr>
      </w:pPr>
      <w:r>
        <w:rPr>
          <w:rFonts w:hint="eastAsia" w:cs="Times New Roman" w:asciiTheme="majorEastAsia" w:hAnsiTheme="majorEastAsia" w:eastAsiaTheme="majorEastAsia"/>
          <w:color w:val="auto"/>
          <w:sz w:val="24"/>
        </w:rPr>
        <w:t>城市自评价系统是市级平台的核心系统，根据城市综合管理服务评价工作要求，围绕“干净、整洁、有序、安全、群众满意”等核心指标，开展综合评价工作。市级平台可在城市综合管理服务评价指标体系的基础上，结合实际增加特色型指标。系统提供评价指标管理、评价配置管理、评价指标填报、评价任务管理、评价数据审核、评价结果生成等功能模块。</w:t>
      </w:r>
    </w:p>
    <w:p w14:paraId="69A95D5F">
      <w:pPr>
        <w:pStyle w:val="6"/>
        <w:numPr>
          <w:ilvl w:val="3"/>
          <w:numId w:val="36"/>
        </w:numPr>
        <w:spacing w:line="240" w:lineRule="auto"/>
        <w:rPr>
          <w:color w:val="auto"/>
        </w:rPr>
      </w:pPr>
      <w:r>
        <w:rPr>
          <w:color w:val="auto"/>
        </w:rPr>
        <w:t>评价</w:t>
      </w:r>
      <w:r>
        <w:rPr>
          <w:rFonts w:hint="eastAsia"/>
          <w:color w:val="auto"/>
        </w:rPr>
        <w:t>指标管理</w:t>
      </w:r>
    </w:p>
    <w:p w14:paraId="1E338830">
      <w:pPr>
        <w:spacing w:before="120" w:after="120"/>
        <w:ind w:firstLine="484" w:firstLineChars="202"/>
        <w:rPr>
          <w:rFonts w:cs="宋体" w:asciiTheme="majorEastAsia" w:hAnsiTheme="majorEastAsia" w:eastAsiaTheme="majorEastAsia"/>
          <w:color w:val="auto"/>
          <w:sz w:val="24"/>
        </w:rPr>
      </w:pPr>
      <w:r>
        <w:rPr>
          <w:rFonts w:cs="宋体" w:asciiTheme="majorEastAsia" w:hAnsiTheme="majorEastAsia" w:eastAsiaTheme="majorEastAsia"/>
          <w:color w:val="auto"/>
          <w:sz w:val="24"/>
        </w:rPr>
        <w:t>评价</w:t>
      </w:r>
      <w:r>
        <w:rPr>
          <w:rFonts w:hint="eastAsia" w:cs="宋体" w:asciiTheme="majorEastAsia" w:hAnsiTheme="majorEastAsia" w:eastAsiaTheme="majorEastAsia"/>
          <w:color w:val="auto"/>
          <w:sz w:val="24"/>
        </w:rPr>
        <w:t>考评包括填报核查和现场检查两种考核形式。</w:t>
      </w:r>
      <w:r>
        <w:rPr>
          <w:rFonts w:hint="eastAsia" w:cs="宋体" w:asciiTheme="majorEastAsia" w:hAnsiTheme="majorEastAsia" w:eastAsiaTheme="majorEastAsia"/>
          <w:b/>
          <w:bCs/>
          <w:color w:val="auto"/>
          <w:sz w:val="24"/>
        </w:rPr>
        <w:t>考评指标</w:t>
      </w:r>
      <w:r>
        <w:rPr>
          <w:rFonts w:hint="eastAsia" w:cs="宋体" w:asciiTheme="majorEastAsia" w:hAnsiTheme="majorEastAsia" w:eastAsiaTheme="majorEastAsia"/>
          <w:b/>
          <w:color w:val="auto"/>
          <w:sz w:val="24"/>
        </w:rPr>
        <w:t>分为一级指标、二级指标、三级指标和四级指标，</w:t>
      </w:r>
      <w:r>
        <w:rPr>
          <w:rFonts w:hint="eastAsia" w:cs="宋体" w:asciiTheme="majorEastAsia" w:hAnsiTheme="majorEastAsia" w:eastAsiaTheme="majorEastAsia"/>
          <w:b/>
          <w:bCs/>
          <w:color w:val="auto"/>
          <w:sz w:val="24"/>
        </w:rPr>
        <w:t>每类考核指标下细分检查项</w:t>
      </w:r>
      <w:r>
        <w:rPr>
          <w:rFonts w:hint="eastAsia" w:cs="宋体" w:asciiTheme="majorEastAsia" w:hAnsiTheme="majorEastAsia" w:eastAsiaTheme="majorEastAsia"/>
          <w:b/>
          <w:color w:val="auto"/>
          <w:sz w:val="24"/>
        </w:rPr>
        <w:t>。</w:t>
      </w:r>
      <w:r>
        <w:rPr>
          <w:rFonts w:hint="eastAsia" w:cs="宋体" w:asciiTheme="majorEastAsia" w:hAnsiTheme="majorEastAsia" w:eastAsiaTheme="majorEastAsia"/>
          <w:color w:val="auto"/>
          <w:sz w:val="24"/>
        </w:rPr>
        <w:t>核查类指标主要是通过各个被考评城市主动填报各类指标的相关数据；检查类指标主要通过考评专家成员到达被考评城市现场，进行现场检查打分；检查项属于具体的考评细则，对应于填报核查指标中的填报细项和现场检查指标中的检查细项。</w:t>
      </w:r>
    </w:p>
    <w:p w14:paraId="3BBCE76D">
      <w:pPr>
        <w:pStyle w:val="7"/>
        <w:numPr>
          <w:ilvl w:val="4"/>
          <w:numId w:val="36"/>
        </w:numPr>
        <w:spacing w:line="240" w:lineRule="auto"/>
        <w:rPr>
          <w:color w:val="auto"/>
        </w:rPr>
      </w:pPr>
      <w:r>
        <w:rPr>
          <w:rFonts w:hint="eastAsia"/>
          <w:color w:val="auto"/>
        </w:rPr>
        <w:t>评价指标定义</w:t>
      </w:r>
    </w:p>
    <w:p w14:paraId="7A652AFC">
      <w:pPr>
        <w:spacing w:before="120" w:after="120"/>
        <w:ind w:firstLine="480" w:firstLineChars="200"/>
        <w:rPr>
          <w:rFonts w:cs="宋体" w:asciiTheme="majorEastAsia" w:hAnsiTheme="majorEastAsia" w:eastAsiaTheme="majorEastAsia"/>
          <w:color w:val="auto"/>
          <w:sz w:val="24"/>
        </w:rPr>
      </w:pPr>
      <w:r>
        <w:rPr>
          <w:rFonts w:cs="宋体" w:asciiTheme="majorEastAsia" w:hAnsiTheme="majorEastAsia" w:eastAsiaTheme="majorEastAsia"/>
          <w:color w:val="auto"/>
          <w:sz w:val="24"/>
        </w:rPr>
        <w:t>考评指标管理支持四级考核指标体系的定义功能，包括定义、指标编号、指标解释、指标名称、考评要求、评价标准、考评方式（填报核查、现场检查）、检查项、计分方法等。</w:t>
      </w:r>
    </w:p>
    <w:p w14:paraId="1325569A">
      <w:pPr>
        <w:pStyle w:val="7"/>
        <w:numPr>
          <w:ilvl w:val="4"/>
          <w:numId w:val="36"/>
        </w:numPr>
        <w:spacing w:line="240" w:lineRule="auto"/>
        <w:rPr>
          <w:color w:val="auto"/>
        </w:rPr>
      </w:pPr>
      <w:r>
        <w:rPr>
          <w:rFonts w:hint="eastAsia"/>
          <w:color w:val="auto"/>
        </w:rPr>
        <w:t>考核项定义</w:t>
      </w:r>
    </w:p>
    <w:p w14:paraId="3A55FE3B">
      <w:pPr>
        <w:spacing w:before="120" w:after="120"/>
        <w:ind w:firstLine="480" w:firstLineChars="200"/>
        <w:rPr>
          <w:rFonts w:cs="宋体" w:asciiTheme="majorEastAsia" w:hAnsiTheme="majorEastAsia" w:eastAsiaTheme="majorEastAsia"/>
          <w:color w:val="auto"/>
          <w:sz w:val="24"/>
        </w:rPr>
      </w:pPr>
      <w:r>
        <w:rPr>
          <w:rFonts w:cs="宋体" w:asciiTheme="majorEastAsia" w:hAnsiTheme="majorEastAsia" w:eastAsiaTheme="majorEastAsia"/>
          <w:color w:val="auto"/>
          <w:sz w:val="24"/>
        </w:rPr>
        <w:t>支持指标体系下的考核项（填报项、检查项）定义。</w:t>
      </w:r>
    </w:p>
    <w:p w14:paraId="50549092">
      <w:pPr>
        <w:pStyle w:val="7"/>
        <w:numPr>
          <w:ilvl w:val="4"/>
          <w:numId w:val="36"/>
        </w:numPr>
        <w:spacing w:line="240" w:lineRule="auto"/>
        <w:rPr>
          <w:color w:val="auto"/>
        </w:rPr>
      </w:pPr>
      <w:r>
        <w:rPr>
          <w:rFonts w:hint="eastAsia"/>
          <w:color w:val="auto"/>
        </w:rPr>
        <w:t>指标计算规则定义</w:t>
      </w:r>
    </w:p>
    <w:p w14:paraId="46BE9F17">
      <w:pPr>
        <w:spacing w:before="120" w:after="120"/>
        <w:ind w:firstLine="480" w:firstLineChars="200"/>
        <w:rPr>
          <w:rFonts w:cs="宋体" w:asciiTheme="majorEastAsia" w:hAnsiTheme="majorEastAsia" w:eastAsiaTheme="majorEastAsia"/>
          <w:color w:val="auto"/>
          <w:sz w:val="24"/>
        </w:rPr>
      </w:pPr>
      <w:r>
        <w:rPr>
          <w:rFonts w:hint="eastAsia" w:asciiTheme="majorEastAsia" w:hAnsiTheme="majorEastAsia" w:eastAsiaTheme="majorEastAsia" w:cstheme="minorEastAsia"/>
          <w:color w:val="auto"/>
          <w:sz w:val="24"/>
        </w:rPr>
        <w:t>支持指标计算规则定义，通过指标中的考核项进</w:t>
      </w:r>
      <w:r>
        <w:rPr>
          <w:rFonts w:hint="eastAsia" w:cs="宋体" w:asciiTheme="majorEastAsia" w:hAnsiTheme="majorEastAsia" w:eastAsiaTheme="majorEastAsia"/>
          <w:color w:val="auto"/>
          <w:sz w:val="24"/>
        </w:rPr>
        <w:t>行定义最终的指标计算规则。</w:t>
      </w:r>
    </w:p>
    <w:p w14:paraId="1FCF245D">
      <w:pPr>
        <w:pStyle w:val="7"/>
        <w:numPr>
          <w:ilvl w:val="4"/>
          <w:numId w:val="36"/>
        </w:numPr>
        <w:spacing w:line="240" w:lineRule="auto"/>
        <w:rPr>
          <w:color w:val="auto"/>
        </w:rPr>
      </w:pPr>
      <w:r>
        <w:rPr>
          <w:rFonts w:hint="eastAsia"/>
          <w:color w:val="auto"/>
        </w:rPr>
        <w:t>评价规则维护</w:t>
      </w:r>
    </w:p>
    <w:p w14:paraId="3F48004B">
      <w:pPr>
        <w:spacing w:before="120" w:after="120"/>
        <w:ind w:firstLine="480" w:firstLineChars="200"/>
        <w:rPr>
          <w:rFonts w:cs="宋体" w:asciiTheme="majorEastAsia" w:hAnsiTheme="majorEastAsia" w:eastAsiaTheme="majorEastAsia"/>
          <w:color w:val="auto"/>
          <w:sz w:val="24"/>
        </w:rPr>
      </w:pPr>
      <w:r>
        <w:rPr>
          <w:rFonts w:cs="宋体" w:asciiTheme="majorEastAsia" w:hAnsiTheme="majorEastAsia" w:eastAsiaTheme="majorEastAsia"/>
          <w:color w:val="auto"/>
          <w:sz w:val="24"/>
        </w:rPr>
        <w:t>支持</w:t>
      </w:r>
      <w:r>
        <w:rPr>
          <w:rFonts w:hint="eastAsia" w:cs="宋体" w:asciiTheme="majorEastAsia" w:hAnsiTheme="majorEastAsia" w:eastAsiaTheme="majorEastAsia"/>
          <w:color w:val="auto"/>
          <w:sz w:val="24"/>
        </w:rPr>
        <w:t>评价规则维护，支持规则配置，基于指标计算后，能直接计算该指标的评价得分。一种是按照指标结果分段给出等级和相应的得分；另外一种是指标包含多个填报项，每项都有一个达标值，最终按照达标几项计算相应的得分。</w:t>
      </w:r>
    </w:p>
    <w:p w14:paraId="3EBA5CE4">
      <w:pPr>
        <w:pStyle w:val="6"/>
        <w:numPr>
          <w:ilvl w:val="3"/>
          <w:numId w:val="36"/>
        </w:numPr>
        <w:spacing w:line="240" w:lineRule="auto"/>
        <w:rPr>
          <w:color w:val="auto"/>
        </w:rPr>
      </w:pPr>
      <w:r>
        <w:rPr>
          <w:color w:val="auto"/>
        </w:rPr>
        <w:t>评价</w:t>
      </w:r>
      <w:r>
        <w:rPr>
          <w:rFonts w:hint="eastAsia"/>
          <w:color w:val="auto"/>
        </w:rPr>
        <w:t>配置管理</w:t>
      </w:r>
    </w:p>
    <w:p w14:paraId="2DDA14D9">
      <w:pPr>
        <w:pStyle w:val="7"/>
        <w:numPr>
          <w:ilvl w:val="4"/>
          <w:numId w:val="36"/>
        </w:numPr>
        <w:spacing w:line="240" w:lineRule="auto"/>
        <w:rPr>
          <w:color w:val="auto"/>
        </w:rPr>
      </w:pPr>
      <w:r>
        <w:rPr>
          <w:rFonts w:hint="eastAsia"/>
          <w:color w:val="auto"/>
        </w:rPr>
        <w:t>评价样本点管理</w:t>
      </w:r>
    </w:p>
    <w:p w14:paraId="355C9A8A">
      <w:pPr>
        <w:spacing w:before="120" w:after="120"/>
        <w:ind w:firstLine="484" w:firstLineChars="202"/>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用于设定和管理城市现场检查考核的地点和场所，包括：（</w:t>
      </w:r>
      <w:r>
        <w:rPr>
          <w:rFonts w:cs="宋体" w:asciiTheme="majorEastAsia" w:hAnsiTheme="majorEastAsia" w:eastAsiaTheme="majorEastAsia"/>
          <w:color w:val="auto"/>
          <w:sz w:val="24"/>
          <w:szCs w:val="21"/>
        </w:rPr>
        <w:t>1）</w:t>
      </w:r>
      <w:r>
        <w:rPr>
          <w:rFonts w:hint="eastAsia" w:cs="宋体" w:asciiTheme="majorEastAsia" w:hAnsiTheme="majorEastAsia" w:eastAsiaTheme="majorEastAsia"/>
          <w:color w:val="auto"/>
          <w:sz w:val="24"/>
          <w:szCs w:val="21"/>
        </w:rPr>
        <w:t>道路：主干道、次干道、支路；（</w:t>
      </w:r>
      <w:r>
        <w:rPr>
          <w:rFonts w:cs="宋体" w:asciiTheme="majorEastAsia" w:hAnsiTheme="majorEastAsia" w:eastAsiaTheme="majorEastAsia"/>
          <w:color w:val="auto"/>
          <w:sz w:val="24"/>
          <w:szCs w:val="21"/>
        </w:rPr>
        <w:t>2）公共场所：公园广场、交通枢纽、市场、景区；（3）环卫设施：垃圾收集站、垃圾转运站、公共厕所；（4）水体：河道、湖泊。</w:t>
      </w:r>
    </w:p>
    <w:p w14:paraId="4EE75570">
      <w:pPr>
        <w:spacing w:before="120" w:after="120"/>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①</w:t>
      </w:r>
      <w:r>
        <w:rPr>
          <w:rFonts w:hint="eastAsia" w:cs="宋体" w:asciiTheme="majorEastAsia" w:hAnsiTheme="majorEastAsia" w:eastAsiaTheme="majorEastAsia"/>
          <w:color w:val="auto"/>
          <w:sz w:val="24"/>
          <w:szCs w:val="21"/>
        </w:rPr>
        <w:t>新增分组：按照样本库的类别进行分组，如道路、公共场所等。</w:t>
      </w:r>
    </w:p>
    <w:p w14:paraId="65EDD923">
      <w:pPr>
        <w:spacing w:before="120" w:after="120"/>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②</w:t>
      </w:r>
      <w:r>
        <w:rPr>
          <w:rFonts w:hint="eastAsia" w:cs="宋体" w:asciiTheme="majorEastAsia" w:hAnsiTheme="majorEastAsia" w:eastAsiaTheme="majorEastAsia"/>
          <w:color w:val="auto"/>
          <w:sz w:val="24"/>
          <w:szCs w:val="21"/>
        </w:rPr>
        <w:t>样本库类型管理：在分组下新增样本库类型，编辑和删除样本库。属性包括：样本库名称、关联的属性，绑定的检查项。</w:t>
      </w:r>
    </w:p>
    <w:p w14:paraId="04D3D778">
      <w:pPr>
        <w:spacing w:before="120" w:after="120"/>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③</w:t>
      </w:r>
      <w:r>
        <w:rPr>
          <w:rFonts w:hint="eastAsia" w:cs="宋体" w:asciiTheme="majorEastAsia" w:hAnsiTheme="majorEastAsia" w:eastAsiaTheme="majorEastAsia"/>
          <w:color w:val="auto"/>
          <w:sz w:val="24"/>
          <w:szCs w:val="21"/>
        </w:rPr>
        <w:t>样本点管理：支持导入样本点，支持新增、编辑、删除样本点。</w:t>
      </w:r>
    </w:p>
    <w:p w14:paraId="518A48D0">
      <w:pPr>
        <w:spacing w:before="120" w:after="120"/>
        <w:ind w:firstLine="480" w:firstLineChars="200"/>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szCs w:val="21"/>
        </w:rPr>
        <w:t>④</w:t>
      </w:r>
      <w:r>
        <w:rPr>
          <w:rFonts w:hint="eastAsia" w:cs="宋体" w:asciiTheme="majorEastAsia" w:hAnsiTheme="majorEastAsia" w:eastAsiaTheme="majorEastAsia"/>
          <w:color w:val="auto"/>
          <w:sz w:val="24"/>
          <w:szCs w:val="21"/>
        </w:rPr>
        <w:t>属性管理：新增和编辑属性字段名称、字段内容。通用属性包括：样本类型、所属城市等</w:t>
      </w:r>
    </w:p>
    <w:p w14:paraId="3D2F8BB4">
      <w:pPr>
        <w:pStyle w:val="7"/>
        <w:numPr>
          <w:ilvl w:val="4"/>
          <w:numId w:val="36"/>
        </w:numPr>
        <w:spacing w:line="240" w:lineRule="auto"/>
        <w:rPr>
          <w:color w:val="auto"/>
        </w:rPr>
      </w:pPr>
      <w:r>
        <w:rPr>
          <w:rFonts w:hint="eastAsia"/>
          <w:color w:val="auto"/>
        </w:rPr>
        <w:t>评价对象管理</w:t>
      </w:r>
    </w:p>
    <w:p w14:paraId="0CA0950E">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实现对被考评的城市的维护管理，考评对象的维护管理，包括新增、修改等，支持考评对象按照区域分组管理，主要指各个地级城市。用于支撑后续的考评任务抽取。</w:t>
      </w:r>
    </w:p>
    <w:p w14:paraId="47F22AA8">
      <w:pPr>
        <w:pStyle w:val="7"/>
        <w:numPr>
          <w:ilvl w:val="4"/>
          <w:numId w:val="36"/>
        </w:numPr>
        <w:spacing w:line="240" w:lineRule="auto"/>
        <w:rPr>
          <w:color w:val="auto"/>
        </w:rPr>
      </w:pPr>
      <w:r>
        <w:rPr>
          <w:rFonts w:hint="eastAsia"/>
          <w:color w:val="auto"/>
        </w:rPr>
        <w:t>评价人员管理</w:t>
      </w:r>
    </w:p>
    <w:p w14:paraId="60451B19">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考评人员指的是参与实际现场考评的人员，一般是专家组成员。考评人员一般是分组工作，分为多个组，在一个城市同时进行考核，该模块具备以下功能：</w:t>
      </w:r>
    </w:p>
    <w:p w14:paraId="6C869D14">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1）考评人员分组管理，增加、删除、修改。</w:t>
      </w:r>
    </w:p>
    <w:p w14:paraId="5CE29A33">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2）考评人员管理：增加、删除、修改，主要属性包括姓名、工作编号、手机等。</w:t>
      </w:r>
    </w:p>
    <w:p w14:paraId="3C39E2BF">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3）考评人员绑定样本点，便于考评人员分组安排。</w:t>
      </w:r>
    </w:p>
    <w:p w14:paraId="5DF9DB79">
      <w:pPr>
        <w:pStyle w:val="6"/>
        <w:numPr>
          <w:ilvl w:val="3"/>
          <w:numId w:val="36"/>
        </w:numPr>
        <w:spacing w:line="240" w:lineRule="auto"/>
        <w:rPr>
          <w:color w:val="auto"/>
        </w:rPr>
      </w:pPr>
      <w:r>
        <w:rPr>
          <w:rFonts w:hint="eastAsia"/>
          <w:color w:val="auto"/>
        </w:rPr>
        <w:t>评价指标填报</w:t>
      </w:r>
    </w:p>
    <w:p w14:paraId="758F564C">
      <w:pPr>
        <w:pStyle w:val="7"/>
        <w:numPr>
          <w:ilvl w:val="4"/>
          <w:numId w:val="36"/>
        </w:numPr>
        <w:spacing w:line="240" w:lineRule="auto"/>
        <w:rPr>
          <w:color w:val="auto"/>
        </w:rPr>
      </w:pPr>
      <w:r>
        <w:rPr>
          <w:rFonts w:hint="eastAsia"/>
          <w:color w:val="auto"/>
        </w:rPr>
        <w:t>评价指标填报</w:t>
      </w:r>
    </w:p>
    <w:p w14:paraId="5E2FCD8D">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根据考评分类体系，该部分填报城市管理的各类运行指标数据，包括城市基础数据和各个相关行业的管理数据，用于评价</w:t>
      </w:r>
      <w:r>
        <w:rPr>
          <w:rFonts w:hint="eastAsia" w:cs="宋体" w:asciiTheme="majorEastAsia" w:hAnsiTheme="majorEastAsia" w:eastAsiaTheme="majorEastAsia"/>
          <w:b/>
          <w:bCs/>
          <w:color w:val="auto"/>
          <w:sz w:val="24"/>
          <w:szCs w:val="21"/>
        </w:rPr>
        <w:t>城市综合管理服务水平</w:t>
      </w:r>
      <w:r>
        <w:rPr>
          <w:rFonts w:hint="eastAsia" w:cs="宋体" w:asciiTheme="majorEastAsia" w:hAnsiTheme="majorEastAsia" w:eastAsiaTheme="majorEastAsia"/>
          <w:color w:val="auto"/>
          <w:sz w:val="24"/>
          <w:szCs w:val="21"/>
        </w:rPr>
        <w:t>。</w:t>
      </w:r>
    </w:p>
    <w:p w14:paraId="5F97E42F">
      <w:pPr>
        <w:spacing w:before="120" w:after="120"/>
        <w:ind w:firstLine="482" w:firstLineChars="200"/>
        <w:rPr>
          <w:rFonts w:cs="宋体" w:asciiTheme="majorEastAsia" w:hAnsiTheme="majorEastAsia" w:eastAsiaTheme="majorEastAsia"/>
          <w:b/>
          <w:bCs/>
          <w:color w:val="auto"/>
          <w:sz w:val="24"/>
          <w:szCs w:val="21"/>
        </w:rPr>
      </w:pPr>
      <w:r>
        <w:rPr>
          <w:rFonts w:hint="eastAsia" w:cs="宋体" w:asciiTheme="majorEastAsia" w:hAnsiTheme="majorEastAsia" w:eastAsiaTheme="majorEastAsia"/>
          <w:b/>
          <w:bCs/>
          <w:color w:val="auto"/>
          <w:sz w:val="24"/>
          <w:szCs w:val="21"/>
        </w:rPr>
        <w:t>（</w:t>
      </w:r>
      <w:r>
        <w:rPr>
          <w:rFonts w:cs="宋体" w:asciiTheme="majorEastAsia" w:hAnsiTheme="majorEastAsia" w:eastAsiaTheme="majorEastAsia"/>
          <w:b/>
          <w:bCs/>
          <w:color w:val="auto"/>
          <w:sz w:val="24"/>
          <w:szCs w:val="21"/>
        </w:rPr>
        <w:t>1）支持填报时段，填报内容、填报提交等填报规则设定。</w:t>
      </w:r>
    </w:p>
    <w:p w14:paraId="38C517C2">
      <w:pPr>
        <w:spacing w:before="120" w:after="120"/>
        <w:ind w:firstLine="482" w:firstLineChars="200"/>
        <w:rPr>
          <w:rFonts w:cs="宋体" w:asciiTheme="majorEastAsia" w:hAnsiTheme="majorEastAsia" w:eastAsiaTheme="majorEastAsia"/>
          <w:b/>
          <w:bCs/>
          <w:color w:val="auto"/>
          <w:sz w:val="24"/>
          <w:szCs w:val="21"/>
        </w:rPr>
      </w:pPr>
      <w:r>
        <w:rPr>
          <w:rFonts w:hint="eastAsia" w:cs="宋体" w:asciiTheme="majorEastAsia" w:hAnsiTheme="majorEastAsia" w:eastAsiaTheme="majorEastAsia"/>
          <w:b/>
          <w:bCs/>
          <w:color w:val="auto"/>
          <w:sz w:val="24"/>
          <w:szCs w:val="21"/>
        </w:rPr>
        <w:t>（</w:t>
      </w:r>
      <w:r>
        <w:rPr>
          <w:rFonts w:cs="宋体" w:asciiTheme="majorEastAsia" w:hAnsiTheme="majorEastAsia" w:eastAsiaTheme="majorEastAsia"/>
          <w:b/>
          <w:bCs/>
          <w:color w:val="auto"/>
          <w:sz w:val="24"/>
          <w:szCs w:val="21"/>
        </w:rPr>
        <w:t>2）支持</w:t>
      </w:r>
      <w:r>
        <w:rPr>
          <w:rFonts w:hint="eastAsia" w:cs="宋体" w:asciiTheme="majorEastAsia" w:hAnsiTheme="majorEastAsia" w:eastAsiaTheme="majorEastAsia"/>
          <w:color w:val="auto"/>
          <w:sz w:val="24"/>
          <w:szCs w:val="21"/>
        </w:rPr>
        <w:t>填报人信息、城市基础信息、城市运行指标填报内容管理。</w:t>
      </w:r>
    </w:p>
    <w:p w14:paraId="0E0CB17C">
      <w:pPr>
        <w:spacing w:before="120" w:after="120"/>
        <w:ind w:firstLine="482" w:firstLineChars="200"/>
        <w:rPr>
          <w:rFonts w:cs="宋体" w:asciiTheme="majorEastAsia" w:hAnsiTheme="majorEastAsia" w:eastAsiaTheme="majorEastAsia"/>
          <w:b/>
          <w:bCs/>
          <w:color w:val="auto"/>
          <w:sz w:val="24"/>
          <w:szCs w:val="21"/>
        </w:rPr>
      </w:pPr>
      <w:r>
        <w:rPr>
          <w:rFonts w:hint="eastAsia" w:cs="宋体" w:asciiTheme="majorEastAsia" w:hAnsiTheme="majorEastAsia" w:eastAsiaTheme="majorEastAsia"/>
          <w:b/>
          <w:bCs/>
          <w:color w:val="auto"/>
          <w:sz w:val="24"/>
          <w:szCs w:val="21"/>
        </w:rPr>
        <w:t>（</w:t>
      </w:r>
      <w:r>
        <w:rPr>
          <w:rFonts w:cs="宋体" w:asciiTheme="majorEastAsia" w:hAnsiTheme="majorEastAsia" w:eastAsiaTheme="majorEastAsia"/>
          <w:b/>
          <w:bCs/>
          <w:color w:val="auto"/>
          <w:sz w:val="24"/>
          <w:szCs w:val="21"/>
        </w:rPr>
        <w:t>3）填报人信息：</w:t>
      </w:r>
      <w:r>
        <w:rPr>
          <w:rFonts w:hint="eastAsia" w:cs="宋体" w:asciiTheme="majorEastAsia" w:hAnsiTheme="majorEastAsia" w:eastAsiaTheme="majorEastAsia"/>
          <w:color w:val="auto"/>
          <w:sz w:val="24"/>
          <w:szCs w:val="21"/>
        </w:rPr>
        <w:t>填报单位、联系人、联系方式，一般为各地城管局承担填报任务。</w:t>
      </w:r>
    </w:p>
    <w:p w14:paraId="424EA7D9">
      <w:pPr>
        <w:spacing w:before="120" w:after="120"/>
        <w:ind w:firstLine="482" w:firstLineChars="200"/>
        <w:rPr>
          <w:rFonts w:cs="宋体" w:asciiTheme="majorEastAsia" w:hAnsiTheme="majorEastAsia" w:eastAsiaTheme="majorEastAsia"/>
          <w:b/>
          <w:bCs/>
          <w:color w:val="auto"/>
          <w:sz w:val="24"/>
          <w:szCs w:val="21"/>
        </w:rPr>
      </w:pPr>
      <w:r>
        <w:rPr>
          <w:rFonts w:hint="eastAsia" w:cs="宋体" w:asciiTheme="majorEastAsia" w:hAnsiTheme="majorEastAsia" w:eastAsiaTheme="majorEastAsia"/>
          <w:b/>
          <w:bCs/>
          <w:color w:val="auto"/>
          <w:sz w:val="24"/>
          <w:szCs w:val="21"/>
        </w:rPr>
        <w:t>（</w:t>
      </w:r>
      <w:r>
        <w:rPr>
          <w:rFonts w:cs="宋体" w:asciiTheme="majorEastAsia" w:hAnsiTheme="majorEastAsia" w:eastAsiaTheme="majorEastAsia"/>
          <w:b/>
          <w:bCs/>
          <w:color w:val="auto"/>
          <w:sz w:val="24"/>
          <w:szCs w:val="21"/>
        </w:rPr>
        <w:t>4）城市基础信息，包括面积：</w:t>
      </w:r>
      <w:r>
        <w:rPr>
          <w:rFonts w:hint="eastAsia" w:cs="宋体" w:asciiTheme="majorEastAsia" w:hAnsiTheme="majorEastAsia" w:eastAsiaTheme="majorEastAsia"/>
          <w:color w:val="auto"/>
          <w:sz w:val="24"/>
          <w:szCs w:val="21"/>
        </w:rPr>
        <w:t>①建成区面积，②中心区建设用地面积，③建成区道路总面积</w:t>
      </w:r>
      <w:r>
        <w:rPr>
          <w:rFonts w:hint="eastAsia" w:cs="宋体" w:asciiTheme="majorEastAsia" w:hAnsiTheme="majorEastAsia" w:eastAsiaTheme="majorEastAsia"/>
          <w:b/>
          <w:bCs/>
          <w:color w:val="auto"/>
          <w:sz w:val="24"/>
          <w:szCs w:val="21"/>
        </w:rPr>
        <w:t>，</w:t>
      </w:r>
      <w:r>
        <w:rPr>
          <w:rFonts w:hint="eastAsia" w:cs="宋体" w:asciiTheme="majorEastAsia" w:hAnsiTheme="majorEastAsia" w:eastAsiaTheme="majorEastAsia"/>
          <w:color w:val="auto"/>
          <w:sz w:val="24"/>
          <w:szCs w:val="21"/>
        </w:rPr>
        <w:t>④建成区内小区总数</w:t>
      </w:r>
      <w:r>
        <w:rPr>
          <w:rFonts w:hint="eastAsia" w:cs="宋体" w:asciiTheme="majorEastAsia" w:hAnsiTheme="majorEastAsia" w:eastAsiaTheme="majorEastAsia"/>
          <w:b/>
          <w:bCs/>
          <w:color w:val="auto"/>
          <w:sz w:val="24"/>
          <w:szCs w:val="21"/>
        </w:rPr>
        <w:t>。</w:t>
      </w:r>
    </w:p>
    <w:p w14:paraId="6A781BFF">
      <w:pPr>
        <w:spacing w:before="120" w:after="120"/>
        <w:ind w:firstLine="482"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b/>
          <w:bCs/>
          <w:color w:val="auto"/>
          <w:sz w:val="24"/>
          <w:szCs w:val="21"/>
        </w:rPr>
        <w:t>（</w:t>
      </w:r>
      <w:r>
        <w:rPr>
          <w:rFonts w:cs="宋体" w:asciiTheme="majorEastAsia" w:hAnsiTheme="majorEastAsia" w:eastAsiaTheme="majorEastAsia"/>
          <w:b/>
          <w:bCs/>
          <w:color w:val="auto"/>
          <w:sz w:val="24"/>
          <w:szCs w:val="21"/>
        </w:rPr>
        <w:t>5）人口：</w:t>
      </w:r>
      <w:r>
        <w:rPr>
          <w:rFonts w:hint="eastAsia" w:cs="宋体" w:asciiTheme="majorEastAsia" w:hAnsiTheme="majorEastAsia" w:eastAsiaTheme="majorEastAsia"/>
          <w:color w:val="auto"/>
          <w:sz w:val="24"/>
          <w:szCs w:val="21"/>
        </w:rPr>
        <w:t>①城市常住人口数</w:t>
      </w:r>
      <w:r>
        <w:rPr>
          <w:rFonts w:hint="eastAsia" w:cs="宋体" w:asciiTheme="majorEastAsia" w:hAnsiTheme="majorEastAsia" w:eastAsiaTheme="majorEastAsia"/>
          <w:b/>
          <w:bCs/>
          <w:color w:val="auto"/>
          <w:sz w:val="24"/>
          <w:szCs w:val="21"/>
        </w:rPr>
        <w:t>，</w:t>
      </w:r>
      <w:r>
        <w:rPr>
          <w:rFonts w:hint="eastAsia" w:cs="宋体" w:asciiTheme="majorEastAsia" w:hAnsiTheme="majorEastAsia" w:eastAsiaTheme="majorEastAsia"/>
          <w:color w:val="auto"/>
          <w:sz w:val="24"/>
          <w:szCs w:val="21"/>
        </w:rPr>
        <w:t>②建成区人口，③建城区内居民总户数。</w:t>
      </w:r>
    </w:p>
    <w:p w14:paraId="57E7C348">
      <w:pPr>
        <w:spacing w:before="120" w:after="120"/>
        <w:ind w:firstLine="482"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b/>
          <w:bCs/>
          <w:color w:val="auto"/>
          <w:sz w:val="24"/>
          <w:szCs w:val="21"/>
        </w:rPr>
        <w:t>（</w:t>
      </w:r>
      <w:r>
        <w:rPr>
          <w:rFonts w:cs="宋体" w:asciiTheme="majorEastAsia" w:hAnsiTheme="majorEastAsia" w:eastAsiaTheme="majorEastAsia"/>
          <w:b/>
          <w:bCs/>
          <w:color w:val="auto"/>
          <w:sz w:val="24"/>
          <w:szCs w:val="21"/>
        </w:rPr>
        <w:t>6）基础数据：</w:t>
      </w:r>
      <w:r>
        <w:rPr>
          <w:rFonts w:hint="eastAsia" w:cs="宋体" w:asciiTheme="majorEastAsia" w:hAnsiTheme="majorEastAsia" w:eastAsiaTheme="majorEastAsia"/>
          <w:color w:val="auto"/>
          <w:sz w:val="24"/>
          <w:szCs w:val="21"/>
        </w:rPr>
        <w:t>在后台统一维护，初始化数据从统计年鉴中获取。</w:t>
      </w:r>
    </w:p>
    <w:p w14:paraId="1D2443BF">
      <w:pPr>
        <w:spacing w:before="120" w:after="120"/>
        <w:ind w:firstLine="482" w:firstLineChars="200"/>
        <w:rPr>
          <w:rFonts w:cs="宋体" w:asciiTheme="majorEastAsia" w:hAnsiTheme="majorEastAsia" w:eastAsiaTheme="majorEastAsia"/>
          <w:color w:val="auto"/>
          <w:sz w:val="28"/>
          <w:szCs w:val="28"/>
        </w:rPr>
      </w:pPr>
      <w:r>
        <w:rPr>
          <w:rFonts w:hint="eastAsia" w:cs="宋体" w:asciiTheme="majorEastAsia" w:hAnsiTheme="majorEastAsia" w:eastAsiaTheme="majorEastAsia"/>
          <w:b/>
          <w:bCs/>
          <w:color w:val="auto"/>
          <w:sz w:val="24"/>
          <w:szCs w:val="21"/>
        </w:rPr>
        <w:t>（</w:t>
      </w:r>
      <w:r>
        <w:rPr>
          <w:rFonts w:cs="宋体" w:asciiTheme="majorEastAsia" w:hAnsiTheme="majorEastAsia" w:eastAsiaTheme="majorEastAsia"/>
          <w:b/>
          <w:bCs/>
          <w:color w:val="auto"/>
          <w:sz w:val="24"/>
          <w:szCs w:val="21"/>
        </w:rPr>
        <w:t>7）城市运行指标：</w:t>
      </w:r>
      <w:r>
        <w:rPr>
          <w:rFonts w:hint="eastAsia" w:cs="宋体" w:asciiTheme="majorEastAsia" w:hAnsiTheme="majorEastAsia" w:eastAsiaTheme="majorEastAsia"/>
          <w:color w:val="auto"/>
          <w:sz w:val="24"/>
          <w:szCs w:val="21"/>
        </w:rPr>
        <w:t>指标填报项，部分指标数据从基础项加载，不可修改。每项指标后面填写数值、数据来源、提供人、联系方式。数据来源、提供人、联系方式。</w:t>
      </w:r>
    </w:p>
    <w:p w14:paraId="0C4A108E">
      <w:pPr>
        <w:pStyle w:val="7"/>
        <w:numPr>
          <w:ilvl w:val="4"/>
          <w:numId w:val="36"/>
        </w:numPr>
        <w:spacing w:line="240" w:lineRule="auto"/>
        <w:rPr>
          <w:color w:val="auto"/>
        </w:rPr>
      </w:pPr>
      <w:r>
        <w:rPr>
          <w:rFonts w:hint="eastAsia"/>
          <w:color w:val="auto"/>
        </w:rPr>
        <w:t>评价指标报送</w:t>
      </w:r>
    </w:p>
    <w:p w14:paraId="70B549A4">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被考核对象，在考核填报周期内，按照要求完成所有指标的填报项，然后上报审核，系统可在已报送栏，查看其填报任务状态、报送详情及进度情况，支持时间和填报部门筛选。</w:t>
      </w:r>
    </w:p>
    <w:p w14:paraId="2B070149">
      <w:pPr>
        <w:pStyle w:val="6"/>
        <w:numPr>
          <w:ilvl w:val="3"/>
          <w:numId w:val="36"/>
        </w:numPr>
        <w:spacing w:line="240" w:lineRule="auto"/>
        <w:rPr>
          <w:color w:val="auto"/>
        </w:rPr>
      </w:pPr>
      <w:r>
        <w:rPr>
          <w:color w:val="auto"/>
        </w:rPr>
        <w:t>评价</w:t>
      </w:r>
      <w:r>
        <w:rPr>
          <w:rFonts w:hint="eastAsia"/>
          <w:color w:val="auto"/>
        </w:rPr>
        <w:t>数据来源</w:t>
      </w:r>
    </w:p>
    <w:p w14:paraId="7E1E2DDE">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193" w:name="_Toc6538"/>
      <w:r>
        <w:rPr>
          <w:rFonts w:hint="eastAsia" w:ascii="Times New Roman" w:hAnsi="Times New Roman" w:eastAsia="宋体" w:cs="Times New Roman"/>
          <w:color w:val="auto"/>
          <w:sz w:val="24"/>
          <w:szCs w:val="21"/>
        </w:rPr>
        <w:t>评价数据来源</w:t>
      </w:r>
      <w:bookmarkEnd w:id="193"/>
      <w:r>
        <w:rPr>
          <w:rFonts w:hint="eastAsia" w:ascii="Times New Roman" w:hAnsi="Times New Roman" w:eastAsia="宋体" w:cs="Times New Roman"/>
          <w:color w:val="auto"/>
          <w:sz w:val="24"/>
          <w:szCs w:val="21"/>
        </w:rPr>
        <w:t>表</w:t>
      </w:r>
    </w:p>
    <w:tbl>
      <w:tblPr>
        <w:tblStyle w:val="30"/>
        <w:tblW w:w="832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0"/>
        <w:gridCol w:w="2350"/>
        <w:gridCol w:w="2430"/>
        <w:gridCol w:w="2818"/>
      </w:tblGrid>
      <w:tr w14:paraId="3DAD7A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tblHeader/>
          <w:jc w:val="center"/>
        </w:trPr>
        <w:tc>
          <w:tcPr>
            <w:tcW w:w="730" w:type="dxa"/>
            <w:tcBorders>
              <w:tl2br w:val="nil"/>
              <w:tr2bl w:val="nil"/>
            </w:tcBorders>
            <w:shd w:val="clear" w:color="auto" w:fill="FEF2CC" w:themeFill="accent4" w:themeFillTint="32"/>
            <w:tcMar>
              <w:top w:w="15" w:type="dxa"/>
              <w:left w:w="15" w:type="dxa"/>
              <w:right w:w="15" w:type="dxa"/>
            </w:tcMar>
            <w:vAlign w:val="center"/>
          </w:tcPr>
          <w:p w14:paraId="16D6E807">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序号</w:t>
            </w:r>
          </w:p>
        </w:tc>
        <w:tc>
          <w:tcPr>
            <w:tcW w:w="2350" w:type="dxa"/>
            <w:tcBorders>
              <w:tl2br w:val="nil"/>
              <w:tr2bl w:val="nil"/>
            </w:tcBorders>
            <w:shd w:val="clear" w:color="auto" w:fill="FEF2CC" w:themeFill="accent4" w:themeFillTint="32"/>
            <w:tcMar>
              <w:top w:w="15" w:type="dxa"/>
              <w:left w:w="15" w:type="dxa"/>
              <w:right w:w="15" w:type="dxa"/>
            </w:tcMar>
            <w:vAlign w:val="center"/>
          </w:tcPr>
          <w:p w14:paraId="45D2C9D8">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指标名称</w:t>
            </w:r>
          </w:p>
        </w:tc>
        <w:tc>
          <w:tcPr>
            <w:tcW w:w="2430" w:type="dxa"/>
            <w:tcBorders>
              <w:tl2br w:val="nil"/>
              <w:tr2bl w:val="nil"/>
            </w:tcBorders>
            <w:shd w:val="clear" w:color="auto" w:fill="FEF2CC" w:themeFill="accent4" w:themeFillTint="32"/>
            <w:tcMar>
              <w:top w:w="15" w:type="dxa"/>
              <w:left w:w="15" w:type="dxa"/>
              <w:right w:w="15" w:type="dxa"/>
            </w:tcMar>
            <w:vAlign w:val="center"/>
          </w:tcPr>
          <w:p w14:paraId="72136F86">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数据需求</w:t>
            </w:r>
          </w:p>
        </w:tc>
        <w:tc>
          <w:tcPr>
            <w:tcW w:w="2818" w:type="dxa"/>
            <w:tcBorders>
              <w:tl2br w:val="nil"/>
              <w:tr2bl w:val="nil"/>
            </w:tcBorders>
            <w:shd w:val="clear" w:color="auto" w:fill="FEF2CC" w:themeFill="accent4" w:themeFillTint="32"/>
            <w:tcMar>
              <w:top w:w="15" w:type="dxa"/>
              <w:left w:w="15" w:type="dxa"/>
              <w:right w:w="15" w:type="dxa"/>
            </w:tcMar>
            <w:vAlign w:val="center"/>
          </w:tcPr>
          <w:p w14:paraId="47735874">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数据来源</w:t>
            </w:r>
          </w:p>
        </w:tc>
      </w:tr>
      <w:tr w14:paraId="053AFA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F3ACFE2">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w:t>
            </w:r>
          </w:p>
        </w:tc>
        <w:tc>
          <w:tcPr>
            <w:tcW w:w="2350" w:type="dxa"/>
            <w:tcBorders>
              <w:tl2br w:val="nil"/>
              <w:tr2bl w:val="nil"/>
            </w:tcBorders>
            <w:shd w:val="clear" w:color="auto" w:fill="auto"/>
            <w:tcMar>
              <w:top w:w="15" w:type="dxa"/>
              <w:left w:w="15" w:type="dxa"/>
              <w:right w:w="15" w:type="dxa"/>
            </w:tcMar>
            <w:vAlign w:val="center"/>
          </w:tcPr>
          <w:p w14:paraId="7039CDC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建成区公厕设置密度（座/平方公里）</w:t>
            </w:r>
          </w:p>
        </w:tc>
        <w:tc>
          <w:tcPr>
            <w:tcW w:w="2430" w:type="dxa"/>
            <w:tcBorders>
              <w:tl2br w:val="nil"/>
              <w:tr2bl w:val="nil"/>
            </w:tcBorders>
            <w:shd w:val="clear" w:color="auto" w:fill="auto"/>
            <w:tcMar>
              <w:top w:w="15" w:type="dxa"/>
              <w:left w:w="15" w:type="dxa"/>
              <w:right w:w="15" w:type="dxa"/>
            </w:tcMar>
            <w:vAlign w:val="center"/>
          </w:tcPr>
          <w:p w14:paraId="2AD2E8F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公厕数据</w:t>
            </w:r>
          </w:p>
        </w:tc>
        <w:tc>
          <w:tcPr>
            <w:tcW w:w="2818" w:type="dxa"/>
            <w:tcBorders>
              <w:tl2br w:val="nil"/>
              <w:tr2bl w:val="nil"/>
            </w:tcBorders>
            <w:shd w:val="clear" w:color="auto" w:fill="auto"/>
            <w:tcMar>
              <w:top w:w="15" w:type="dxa"/>
              <w:left w:w="15" w:type="dxa"/>
              <w:right w:w="15" w:type="dxa"/>
            </w:tcMar>
            <w:vAlign w:val="center"/>
          </w:tcPr>
          <w:p w14:paraId="1FC3E0F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2799B9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6C6988BE">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2</w:t>
            </w:r>
          </w:p>
        </w:tc>
        <w:tc>
          <w:tcPr>
            <w:tcW w:w="2350" w:type="dxa"/>
            <w:tcBorders>
              <w:tl2br w:val="nil"/>
              <w:tr2bl w:val="nil"/>
            </w:tcBorders>
            <w:shd w:val="clear" w:color="auto" w:fill="auto"/>
            <w:tcMar>
              <w:top w:w="15" w:type="dxa"/>
              <w:left w:w="15" w:type="dxa"/>
              <w:right w:w="15" w:type="dxa"/>
            </w:tcMar>
            <w:vAlign w:val="center"/>
          </w:tcPr>
          <w:p w14:paraId="0B898ED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生活垃圾处理能力与清运量的比例</w:t>
            </w:r>
          </w:p>
        </w:tc>
        <w:tc>
          <w:tcPr>
            <w:tcW w:w="2430" w:type="dxa"/>
            <w:tcBorders>
              <w:tl2br w:val="nil"/>
              <w:tr2bl w:val="nil"/>
            </w:tcBorders>
            <w:shd w:val="clear" w:color="auto" w:fill="auto"/>
            <w:tcMar>
              <w:top w:w="15" w:type="dxa"/>
              <w:left w:w="15" w:type="dxa"/>
              <w:right w:w="15" w:type="dxa"/>
            </w:tcMar>
            <w:vAlign w:val="center"/>
          </w:tcPr>
          <w:p w14:paraId="47B0252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生活垃圾日处理能力（吨/日）</w:t>
            </w:r>
          </w:p>
        </w:tc>
        <w:tc>
          <w:tcPr>
            <w:tcW w:w="2818" w:type="dxa"/>
            <w:tcBorders>
              <w:tl2br w:val="nil"/>
              <w:tr2bl w:val="nil"/>
            </w:tcBorders>
            <w:shd w:val="clear" w:color="auto" w:fill="auto"/>
            <w:tcMar>
              <w:top w:w="15" w:type="dxa"/>
              <w:left w:w="15" w:type="dxa"/>
              <w:right w:w="15" w:type="dxa"/>
            </w:tcMar>
            <w:vAlign w:val="center"/>
          </w:tcPr>
          <w:p w14:paraId="086AE91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497130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3EA307D">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3</w:t>
            </w:r>
          </w:p>
        </w:tc>
        <w:tc>
          <w:tcPr>
            <w:tcW w:w="2350" w:type="dxa"/>
            <w:tcBorders>
              <w:tl2br w:val="nil"/>
              <w:tr2bl w:val="nil"/>
            </w:tcBorders>
            <w:shd w:val="clear" w:color="auto" w:fill="auto"/>
            <w:tcMar>
              <w:top w:w="15" w:type="dxa"/>
              <w:left w:w="15" w:type="dxa"/>
              <w:right w:w="15" w:type="dxa"/>
            </w:tcMar>
            <w:vAlign w:val="center"/>
          </w:tcPr>
          <w:p w14:paraId="50C6282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生活垃圾处理能力与清运量的比例</w:t>
            </w:r>
          </w:p>
        </w:tc>
        <w:tc>
          <w:tcPr>
            <w:tcW w:w="2430" w:type="dxa"/>
            <w:tcBorders>
              <w:tl2br w:val="nil"/>
              <w:tr2bl w:val="nil"/>
            </w:tcBorders>
            <w:shd w:val="clear" w:color="auto" w:fill="auto"/>
            <w:tcMar>
              <w:top w:w="15" w:type="dxa"/>
              <w:left w:w="15" w:type="dxa"/>
              <w:right w:w="15" w:type="dxa"/>
            </w:tcMar>
            <w:vAlign w:val="center"/>
          </w:tcPr>
          <w:p w14:paraId="5C3D6E8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生活垃圾日清运量（吨/日）</w:t>
            </w:r>
          </w:p>
        </w:tc>
        <w:tc>
          <w:tcPr>
            <w:tcW w:w="2818" w:type="dxa"/>
            <w:tcBorders>
              <w:tl2br w:val="nil"/>
              <w:tr2bl w:val="nil"/>
            </w:tcBorders>
            <w:shd w:val="clear" w:color="auto" w:fill="auto"/>
            <w:tcMar>
              <w:top w:w="15" w:type="dxa"/>
              <w:left w:w="15" w:type="dxa"/>
              <w:right w:w="15" w:type="dxa"/>
            </w:tcMar>
            <w:vAlign w:val="center"/>
          </w:tcPr>
          <w:p w14:paraId="6F52B2E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112665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53793F7D">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4</w:t>
            </w:r>
          </w:p>
        </w:tc>
        <w:tc>
          <w:tcPr>
            <w:tcW w:w="2350" w:type="dxa"/>
            <w:tcBorders>
              <w:tl2br w:val="nil"/>
              <w:tr2bl w:val="nil"/>
            </w:tcBorders>
            <w:shd w:val="clear" w:color="auto" w:fill="auto"/>
            <w:tcMar>
              <w:top w:w="15" w:type="dxa"/>
              <w:left w:w="15" w:type="dxa"/>
              <w:right w:w="15" w:type="dxa"/>
            </w:tcMar>
            <w:vAlign w:val="center"/>
          </w:tcPr>
          <w:p w14:paraId="59BE6E9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生活垃圾分类覆盖率（%）</w:t>
            </w:r>
          </w:p>
        </w:tc>
        <w:tc>
          <w:tcPr>
            <w:tcW w:w="2430" w:type="dxa"/>
            <w:tcBorders>
              <w:tl2br w:val="nil"/>
              <w:tr2bl w:val="nil"/>
            </w:tcBorders>
            <w:shd w:val="clear" w:color="auto" w:fill="auto"/>
            <w:tcMar>
              <w:top w:w="15" w:type="dxa"/>
              <w:left w:w="15" w:type="dxa"/>
              <w:right w:w="15" w:type="dxa"/>
            </w:tcMar>
            <w:vAlign w:val="center"/>
          </w:tcPr>
          <w:p w14:paraId="1A0C4AB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城市建成区内已建成小区中实施垃圾分类的数量</w:t>
            </w:r>
          </w:p>
        </w:tc>
        <w:tc>
          <w:tcPr>
            <w:tcW w:w="2818" w:type="dxa"/>
            <w:tcBorders>
              <w:tl2br w:val="nil"/>
              <w:tr2bl w:val="nil"/>
            </w:tcBorders>
            <w:shd w:val="clear" w:color="auto" w:fill="auto"/>
            <w:tcMar>
              <w:top w:w="15" w:type="dxa"/>
              <w:left w:w="15" w:type="dxa"/>
              <w:right w:w="15" w:type="dxa"/>
            </w:tcMar>
            <w:vAlign w:val="center"/>
          </w:tcPr>
          <w:p w14:paraId="755B177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2286C6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090E70BE">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5</w:t>
            </w:r>
          </w:p>
        </w:tc>
        <w:tc>
          <w:tcPr>
            <w:tcW w:w="2350" w:type="dxa"/>
            <w:tcBorders>
              <w:tl2br w:val="nil"/>
              <w:tr2bl w:val="nil"/>
            </w:tcBorders>
            <w:shd w:val="clear" w:color="auto" w:fill="auto"/>
            <w:tcMar>
              <w:top w:w="15" w:type="dxa"/>
              <w:left w:w="15" w:type="dxa"/>
              <w:right w:w="15" w:type="dxa"/>
            </w:tcMar>
            <w:vAlign w:val="center"/>
          </w:tcPr>
          <w:p w14:paraId="366270C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生活垃圾分类覆盖率（%）</w:t>
            </w:r>
          </w:p>
        </w:tc>
        <w:tc>
          <w:tcPr>
            <w:tcW w:w="2430" w:type="dxa"/>
            <w:tcBorders>
              <w:tl2br w:val="nil"/>
              <w:tr2bl w:val="nil"/>
            </w:tcBorders>
            <w:shd w:val="clear" w:color="auto" w:fill="auto"/>
            <w:tcMar>
              <w:top w:w="15" w:type="dxa"/>
              <w:left w:w="15" w:type="dxa"/>
              <w:right w:w="15" w:type="dxa"/>
            </w:tcMar>
            <w:vAlign w:val="center"/>
          </w:tcPr>
          <w:p w14:paraId="39BE2C5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城市已建成小区的数量</w:t>
            </w:r>
          </w:p>
        </w:tc>
        <w:tc>
          <w:tcPr>
            <w:tcW w:w="2818" w:type="dxa"/>
            <w:tcBorders>
              <w:tl2br w:val="nil"/>
              <w:tr2bl w:val="nil"/>
            </w:tcBorders>
            <w:shd w:val="clear" w:color="auto" w:fill="auto"/>
            <w:tcMar>
              <w:top w:w="15" w:type="dxa"/>
              <w:left w:w="15" w:type="dxa"/>
              <w:right w:w="15" w:type="dxa"/>
            </w:tcMar>
            <w:vAlign w:val="center"/>
          </w:tcPr>
          <w:p w14:paraId="3BD96E9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3DDABA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6852ACAE">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6</w:t>
            </w:r>
          </w:p>
        </w:tc>
        <w:tc>
          <w:tcPr>
            <w:tcW w:w="2350" w:type="dxa"/>
            <w:tcBorders>
              <w:tl2br w:val="nil"/>
              <w:tr2bl w:val="nil"/>
            </w:tcBorders>
            <w:shd w:val="clear" w:color="auto" w:fill="auto"/>
            <w:tcMar>
              <w:top w:w="15" w:type="dxa"/>
              <w:left w:w="15" w:type="dxa"/>
              <w:right w:w="15" w:type="dxa"/>
            </w:tcMar>
            <w:vAlign w:val="center"/>
          </w:tcPr>
          <w:p w14:paraId="5364E4D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道路清扫覆盖率（%）</w:t>
            </w:r>
          </w:p>
        </w:tc>
        <w:tc>
          <w:tcPr>
            <w:tcW w:w="2430" w:type="dxa"/>
            <w:tcBorders>
              <w:tl2br w:val="nil"/>
              <w:tr2bl w:val="nil"/>
            </w:tcBorders>
            <w:shd w:val="clear" w:color="auto" w:fill="auto"/>
            <w:tcMar>
              <w:top w:w="15" w:type="dxa"/>
              <w:left w:w="15" w:type="dxa"/>
              <w:right w:w="15" w:type="dxa"/>
            </w:tcMar>
            <w:vAlign w:val="center"/>
          </w:tcPr>
          <w:p w14:paraId="4C1E832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城市道路中实行清扫保洁的道路面积</w:t>
            </w:r>
          </w:p>
        </w:tc>
        <w:tc>
          <w:tcPr>
            <w:tcW w:w="2818" w:type="dxa"/>
            <w:tcBorders>
              <w:tl2br w:val="nil"/>
              <w:tr2bl w:val="nil"/>
            </w:tcBorders>
            <w:shd w:val="clear" w:color="auto" w:fill="auto"/>
            <w:tcMar>
              <w:top w:w="15" w:type="dxa"/>
              <w:left w:w="15" w:type="dxa"/>
              <w:right w:w="15" w:type="dxa"/>
            </w:tcMar>
            <w:vAlign w:val="center"/>
          </w:tcPr>
          <w:p w14:paraId="0A155E6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204934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6229CE70">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7</w:t>
            </w:r>
          </w:p>
        </w:tc>
        <w:tc>
          <w:tcPr>
            <w:tcW w:w="2350" w:type="dxa"/>
            <w:tcBorders>
              <w:tl2br w:val="nil"/>
              <w:tr2bl w:val="nil"/>
            </w:tcBorders>
            <w:shd w:val="clear" w:color="auto" w:fill="auto"/>
            <w:tcMar>
              <w:top w:w="15" w:type="dxa"/>
              <w:left w:w="15" w:type="dxa"/>
              <w:right w:w="15" w:type="dxa"/>
            </w:tcMar>
            <w:vAlign w:val="center"/>
          </w:tcPr>
          <w:p w14:paraId="586E6740">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道路清扫覆盖率（%）</w:t>
            </w:r>
          </w:p>
        </w:tc>
        <w:tc>
          <w:tcPr>
            <w:tcW w:w="2430" w:type="dxa"/>
            <w:tcBorders>
              <w:tl2br w:val="nil"/>
              <w:tr2bl w:val="nil"/>
            </w:tcBorders>
            <w:shd w:val="clear" w:color="auto" w:fill="auto"/>
            <w:tcMar>
              <w:top w:w="15" w:type="dxa"/>
              <w:left w:w="15" w:type="dxa"/>
              <w:right w:w="15" w:type="dxa"/>
            </w:tcMar>
            <w:vAlign w:val="center"/>
          </w:tcPr>
          <w:p w14:paraId="6BF5368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城市道路总面积</w:t>
            </w:r>
          </w:p>
        </w:tc>
        <w:tc>
          <w:tcPr>
            <w:tcW w:w="2818" w:type="dxa"/>
            <w:tcBorders>
              <w:tl2br w:val="nil"/>
              <w:tr2bl w:val="nil"/>
            </w:tcBorders>
            <w:shd w:val="clear" w:color="auto" w:fill="auto"/>
            <w:tcMar>
              <w:top w:w="15" w:type="dxa"/>
              <w:left w:w="15" w:type="dxa"/>
              <w:right w:w="15" w:type="dxa"/>
            </w:tcMar>
            <w:vAlign w:val="center"/>
          </w:tcPr>
          <w:p w14:paraId="54A890E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235911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7D7E48E8">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8</w:t>
            </w:r>
          </w:p>
        </w:tc>
        <w:tc>
          <w:tcPr>
            <w:tcW w:w="2350" w:type="dxa"/>
            <w:tcBorders>
              <w:tl2br w:val="nil"/>
              <w:tr2bl w:val="nil"/>
            </w:tcBorders>
            <w:shd w:val="clear" w:color="auto" w:fill="auto"/>
            <w:tcMar>
              <w:top w:w="15" w:type="dxa"/>
              <w:left w:w="15" w:type="dxa"/>
              <w:right w:w="15" w:type="dxa"/>
            </w:tcMar>
            <w:vAlign w:val="center"/>
          </w:tcPr>
          <w:p w14:paraId="2D6EAF7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各级道路巡回保洁时间（小时/日）</w:t>
            </w:r>
          </w:p>
        </w:tc>
        <w:tc>
          <w:tcPr>
            <w:tcW w:w="2430" w:type="dxa"/>
            <w:tcBorders>
              <w:tl2br w:val="nil"/>
              <w:tr2bl w:val="nil"/>
            </w:tcBorders>
            <w:shd w:val="clear" w:color="auto" w:fill="auto"/>
            <w:tcMar>
              <w:top w:w="15" w:type="dxa"/>
              <w:left w:w="15" w:type="dxa"/>
              <w:right w:w="15" w:type="dxa"/>
            </w:tcMar>
            <w:vAlign w:val="center"/>
          </w:tcPr>
          <w:p w14:paraId="5D30780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各级道路巡回保洁时间</w:t>
            </w:r>
          </w:p>
        </w:tc>
        <w:tc>
          <w:tcPr>
            <w:tcW w:w="2818" w:type="dxa"/>
            <w:tcBorders>
              <w:tl2br w:val="nil"/>
              <w:tr2bl w:val="nil"/>
            </w:tcBorders>
            <w:shd w:val="clear" w:color="auto" w:fill="auto"/>
            <w:tcMar>
              <w:top w:w="15" w:type="dxa"/>
              <w:left w:w="15" w:type="dxa"/>
              <w:right w:w="15" w:type="dxa"/>
            </w:tcMar>
            <w:vAlign w:val="center"/>
          </w:tcPr>
          <w:p w14:paraId="4D68ABA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195C3D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1ACDBD78">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9</w:t>
            </w:r>
          </w:p>
        </w:tc>
        <w:tc>
          <w:tcPr>
            <w:tcW w:w="2350" w:type="dxa"/>
            <w:tcBorders>
              <w:tl2br w:val="nil"/>
              <w:tr2bl w:val="nil"/>
            </w:tcBorders>
            <w:shd w:val="clear" w:color="auto" w:fill="auto"/>
            <w:tcMar>
              <w:top w:w="15" w:type="dxa"/>
              <w:left w:w="15" w:type="dxa"/>
              <w:right w:w="15" w:type="dxa"/>
            </w:tcMar>
            <w:vAlign w:val="center"/>
          </w:tcPr>
          <w:p w14:paraId="0C6F0E1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机械化清扫覆盖率（%）</w:t>
            </w:r>
          </w:p>
        </w:tc>
        <w:tc>
          <w:tcPr>
            <w:tcW w:w="2430" w:type="dxa"/>
            <w:tcBorders>
              <w:tl2br w:val="nil"/>
              <w:tr2bl w:val="nil"/>
            </w:tcBorders>
            <w:shd w:val="clear" w:color="auto" w:fill="auto"/>
            <w:tcMar>
              <w:top w:w="15" w:type="dxa"/>
              <w:left w:w="15" w:type="dxa"/>
              <w:right w:w="15" w:type="dxa"/>
            </w:tcMar>
            <w:vAlign w:val="center"/>
          </w:tcPr>
          <w:p w14:paraId="0624497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采用环卫机械化清扫作业，并达到作业规范和质量要求的道路面积</w:t>
            </w:r>
          </w:p>
        </w:tc>
        <w:tc>
          <w:tcPr>
            <w:tcW w:w="2818" w:type="dxa"/>
            <w:tcBorders>
              <w:tl2br w:val="nil"/>
              <w:tr2bl w:val="nil"/>
            </w:tcBorders>
            <w:shd w:val="clear" w:color="auto" w:fill="auto"/>
            <w:tcMar>
              <w:top w:w="15" w:type="dxa"/>
              <w:left w:w="15" w:type="dxa"/>
              <w:right w:w="15" w:type="dxa"/>
            </w:tcMar>
            <w:vAlign w:val="center"/>
          </w:tcPr>
          <w:p w14:paraId="3B30130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0F75923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7E244393">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10</w:t>
            </w:r>
          </w:p>
        </w:tc>
        <w:tc>
          <w:tcPr>
            <w:tcW w:w="2350" w:type="dxa"/>
            <w:tcBorders>
              <w:tl2br w:val="nil"/>
              <w:tr2bl w:val="nil"/>
            </w:tcBorders>
            <w:shd w:val="clear" w:color="auto" w:fill="auto"/>
            <w:tcMar>
              <w:top w:w="15" w:type="dxa"/>
              <w:left w:w="15" w:type="dxa"/>
              <w:right w:w="15" w:type="dxa"/>
            </w:tcMar>
            <w:vAlign w:val="center"/>
          </w:tcPr>
          <w:p w14:paraId="0785126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机械化清扫覆盖率（%）</w:t>
            </w:r>
          </w:p>
        </w:tc>
        <w:tc>
          <w:tcPr>
            <w:tcW w:w="2430" w:type="dxa"/>
            <w:tcBorders>
              <w:tl2br w:val="nil"/>
              <w:tr2bl w:val="nil"/>
            </w:tcBorders>
            <w:shd w:val="clear" w:color="auto" w:fill="auto"/>
            <w:tcMar>
              <w:top w:w="15" w:type="dxa"/>
              <w:left w:w="15" w:type="dxa"/>
              <w:right w:w="15" w:type="dxa"/>
            </w:tcMar>
            <w:vAlign w:val="center"/>
          </w:tcPr>
          <w:p w14:paraId="4424C9C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城市清扫保洁道路总面积</w:t>
            </w:r>
          </w:p>
        </w:tc>
        <w:tc>
          <w:tcPr>
            <w:tcW w:w="2818" w:type="dxa"/>
            <w:tcBorders>
              <w:tl2br w:val="nil"/>
              <w:tr2bl w:val="nil"/>
            </w:tcBorders>
            <w:shd w:val="clear" w:color="auto" w:fill="auto"/>
            <w:tcMar>
              <w:top w:w="15" w:type="dxa"/>
              <w:left w:w="15" w:type="dxa"/>
              <w:right w:w="15" w:type="dxa"/>
            </w:tcMar>
            <w:vAlign w:val="center"/>
          </w:tcPr>
          <w:p w14:paraId="4B01D12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7E48BE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A2CB14E">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11</w:t>
            </w:r>
          </w:p>
        </w:tc>
        <w:tc>
          <w:tcPr>
            <w:tcW w:w="2350" w:type="dxa"/>
            <w:tcBorders>
              <w:tl2br w:val="nil"/>
              <w:tr2bl w:val="nil"/>
            </w:tcBorders>
            <w:shd w:val="clear" w:color="auto" w:fill="auto"/>
            <w:tcMar>
              <w:top w:w="15" w:type="dxa"/>
              <w:left w:w="15" w:type="dxa"/>
              <w:right w:w="15" w:type="dxa"/>
            </w:tcMar>
            <w:vAlign w:val="center"/>
          </w:tcPr>
          <w:p w14:paraId="189E4F2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渣土全流程监管达标率（%）</w:t>
            </w:r>
          </w:p>
        </w:tc>
        <w:tc>
          <w:tcPr>
            <w:tcW w:w="2430" w:type="dxa"/>
            <w:tcBorders>
              <w:tl2br w:val="nil"/>
              <w:tr2bl w:val="nil"/>
            </w:tcBorders>
            <w:shd w:val="clear" w:color="auto" w:fill="auto"/>
            <w:tcMar>
              <w:top w:w="15" w:type="dxa"/>
              <w:left w:w="15" w:type="dxa"/>
              <w:right w:w="15" w:type="dxa"/>
            </w:tcMar>
            <w:vAlign w:val="center"/>
          </w:tcPr>
          <w:p w14:paraId="3218360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单位达标率</w:t>
            </w:r>
          </w:p>
        </w:tc>
        <w:tc>
          <w:tcPr>
            <w:tcW w:w="2818" w:type="dxa"/>
            <w:tcBorders>
              <w:tl2br w:val="nil"/>
              <w:tr2bl w:val="nil"/>
            </w:tcBorders>
            <w:shd w:val="clear" w:color="auto" w:fill="auto"/>
            <w:tcMar>
              <w:top w:w="15" w:type="dxa"/>
              <w:left w:w="15" w:type="dxa"/>
              <w:right w:w="15" w:type="dxa"/>
            </w:tcMar>
            <w:vAlign w:val="center"/>
          </w:tcPr>
          <w:p w14:paraId="139560C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1B855E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144BD432">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12</w:t>
            </w:r>
          </w:p>
        </w:tc>
        <w:tc>
          <w:tcPr>
            <w:tcW w:w="2350" w:type="dxa"/>
            <w:tcBorders>
              <w:tl2br w:val="nil"/>
              <w:tr2bl w:val="nil"/>
            </w:tcBorders>
            <w:shd w:val="clear" w:color="auto" w:fill="auto"/>
            <w:tcMar>
              <w:top w:w="15" w:type="dxa"/>
              <w:left w:w="15" w:type="dxa"/>
              <w:right w:w="15" w:type="dxa"/>
            </w:tcMar>
            <w:vAlign w:val="center"/>
          </w:tcPr>
          <w:p w14:paraId="7471A12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渣土全流程监管达标率（%）</w:t>
            </w:r>
          </w:p>
        </w:tc>
        <w:tc>
          <w:tcPr>
            <w:tcW w:w="2430" w:type="dxa"/>
            <w:tcBorders>
              <w:tl2br w:val="nil"/>
              <w:tr2bl w:val="nil"/>
            </w:tcBorders>
            <w:shd w:val="clear" w:color="auto" w:fill="auto"/>
            <w:tcMar>
              <w:top w:w="15" w:type="dxa"/>
              <w:left w:w="15" w:type="dxa"/>
              <w:right w:w="15" w:type="dxa"/>
            </w:tcMar>
            <w:vAlign w:val="center"/>
          </w:tcPr>
          <w:p w14:paraId="0ABCE7D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车辆合格率</w:t>
            </w:r>
          </w:p>
        </w:tc>
        <w:tc>
          <w:tcPr>
            <w:tcW w:w="2818" w:type="dxa"/>
            <w:tcBorders>
              <w:tl2br w:val="nil"/>
              <w:tr2bl w:val="nil"/>
            </w:tcBorders>
            <w:shd w:val="clear" w:color="auto" w:fill="auto"/>
            <w:tcMar>
              <w:top w:w="15" w:type="dxa"/>
              <w:left w:w="15" w:type="dxa"/>
              <w:right w:w="15" w:type="dxa"/>
            </w:tcMar>
            <w:vAlign w:val="center"/>
          </w:tcPr>
          <w:p w14:paraId="576CF1E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48E146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71B32CBD">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13</w:t>
            </w:r>
          </w:p>
        </w:tc>
        <w:tc>
          <w:tcPr>
            <w:tcW w:w="2350" w:type="dxa"/>
            <w:tcBorders>
              <w:tl2br w:val="nil"/>
              <w:tr2bl w:val="nil"/>
            </w:tcBorders>
            <w:shd w:val="clear" w:color="auto" w:fill="auto"/>
            <w:tcMar>
              <w:top w:w="15" w:type="dxa"/>
              <w:left w:w="15" w:type="dxa"/>
              <w:right w:w="15" w:type="dxa"/>
            </w:tcMar>
            <w:vAlign w:val="center"/>
          </w:tcPr>
          <w:p w14:paraId="28A55C3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渣土全流程监管达标率（%）</w:t>
            </w:r>
          </w:p>
        </w:tc>
        <w:tc>
          <w:tcPr>
            <w:tcW w:w="2430" w:type="dxa"/>
            <w:tcBorders>
              <w:tl2br w:val="nil"/>
              <w:tr2bl w:val="nil"/>
            </w:tcBorders>
            <w:shd w:val="clear" w:color="auto" w:fill="auto"/>
            <w:tcMar>
              <w:top w:w="15" w:type="dxa"/>
              <w:left w:w="15" w:type="dxa"/>
              <w:right w:w="15" w:type="dxa"/>
            </w:tcMar>
            <w:vAlign w:val="center"/>
          </w:tcPr>
          <w:p w14:paraId="6A829D4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处置核准达标率</w:t>
            </w:r>
          </w:p>
        </w:tc>
        <w:tc>
          <w:tcPr>
            <w:tcW w:w="2818" w:type="dxa"/>
            <w:tcBorders>
              <w:tl2br w:val="nil"/>
              <w:tr2bl w:val="nil"/>
            </w:tcBorders>
            <w:shd w:val="clear" w:color="auto" w:fill="auto"/>
            <w:tcMar>
              <w:top w:w="15" w:type="dxa"/>
              <w:left w:w="15" w:type="dxa"/>
              <w:right w:w="15" w:type="dxa"/>
            </w:tcMar>
            <w:vAlign w:val="center"/>
          </w:tcPr>
          <w:p w14:paraId="5C1F382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223105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57680A7">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14</w:t>
            </w:r>
          </w:p>
        </w:tc>
        <w:tc>
          <w:tcPr>
            <w:tcW w:w="2350" w:type="dxa"/>
            <w:tcBorders>
              <w:tl2br w:val="nil"/>
              <w:tr2bl w:val="nil"/>
            </w:tcBorders>
            <w:shd w:val="clear" w:color="auto" w:fill="auto"/>
            <w:tcMar>
              <w:top w:w="15" w:type="dxa"/>
              <w:left w:w="15" w:type="dxa"/>
              <w:right w:w="15" w:type="dxa"/>
            </w:tcMar>
            <w:vAlign w:val="center"/>
          </w:tcPr>
          <w:p w14:paraId="6BED2A9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渣土全流程监管达标率（%）</w:t>
            </w:r>
          </w:p>
        </w:tc>
        <w:tc>
          <w:tcPr>
            <w:tcW w:w="2430" w:type="dxa"/>
            <w:tcBorders>
              <w:tl2br w:val="nil"/>
              <w:tr2bl w:val="nil"/>
            </w:tcBorders>
            <w:shd w:val="clear" w:color="auto" w:fill="auto"/>
            <w:tcMar>
              <w:top w:w="15" w:type="dxa"/>
              <w:left w:w="15" w:type="dxa"/>
              <w:right w:w="15" w:type="dxa"/>
            </w:tcMar>
            <w:vAlign w:val="center"/>
          </w:tcPr>
          <w:p w14:paraId="7BACE44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消纳场所达标率</w:t>
            </w:r>
          </w:p>
        </w:tc>
        <w:tc>
          <w:tcPr>
            <w:tcW w:w="2818" w:type="dxa"/>
            <w:tcBorders>
              <w:tl2br w:val="nil"/>
              <w:tr2bl w:val="nil"/>
            </w:tcBorders>
            <w:shd w:val="clear" w:color="auto" w:fill="auto"/>
            <w:tcMar>
              <w:top w:w="15" w:type="dxa"/>
              <w:left w:w="15" w:type="dxa"/>
              <w:right w:w="15" w:type="dxa"/>
            </w:tcMar>
            <w:vAlign w:val="center"/>
          </w:tcPr>
          <w:p w14:paraId="6C1873E0">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42A593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F31DF8B">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15</w:t>
            </w:r>
          </w:p>
        </w:tc>
        <w:tc>
          <w:tcPr>
            <w:tcW w:w="2350" w:type="dxa"/>
            <w:tcBorders>
              <w:tl2br w:val="nil"/>
              <w:tr2bl w:val="nil"/>
            </w:tcBorders>
            <w:shd w:val="clear" w:color="auto" w:fill="auto"/>
            <w:tcMar>
              <w:top w:w="15" w:type="dxa"/>
              <w:left w:w="15" w:type="dxa"/>
              <w:right w:w="15" w:type="dxa"/>
            </w:tcMar>
            <w:vAlign w:val="center"/>
          </w:tcPr>
          <w:p w14:paraId="219AC6D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渣土消纳能力与清运量的比例</w:t>
            </w:r>
          </w:p>
        </w:tc>
        <w:tc>
          <w:tcPr>
            <w:tcW w:w="2430" w:type="dxa"/>
            <w:tcBorders>
              <w:tl2br w:val="nil"/>
              <w:tr2bl w:val="nil"/>
            </w:tcBorders>
            <w:shd w:val="clear" w:color="auto" w:fill="auto"/>
            <w:tcMar>
              <w:top w:w="15" w:type="dxa"/>
              <w:left w:w="15" w:type="dxa"/>
              <w:right w:w="15" w:type="dxa"/>
            </w:tcMar>
            <w:vAlign w:val="center"/>
          </w:tcPr>
          <w:p w14:paraId="4192FE4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城市渣土清运总量（吨/日）</w:t>
            </w:r>
          </w:p>
        </w:tc>
        <w:tc>
          <w:tcPr>
            <w:tcW w:w="2818" w:type="dxa"/>
            <w:tcBorders>
              <w:tl2br w:val="nil"/>
              <w:tr2bl w:val="nil"/>
            </w:tcBorders>
            <w:shd w:val="clear" w:color="auto" w:fill="auto"/>
            <w:tcMar>
              <w:top w:w="15" w:type="dxa"/>
              <w:left w:w="15" w:type="dxa"/>
              <w:right w:w="15" w:type="dxa"/>
            </w:tcMar>
            <w:vAlign w:val="center"/>
          </w:tcPr>
          <w:p w14:paraId="1B3AA9F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2A1815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1C6991B8">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16</w:t>
            </w:r>
          </w:p>
        </w:tc>
        <w:tc>
          <w:tcPr>
            <w:tcW w:w="2350" w:type="dxa"/>
            <w:tcBorders>
              <w:tl2br w:val="nil"/>
              <w:tr2bl w:val="nil"/>
            </w:tcBorders>
            <w:shd w:val="clear" w:color="auto" w:fill="auto"/>
            <w:tcMar>
              <w:top w:w="15" w:type="dxa"/>
              <w:left w:w="15" w:type="dxa"/>
              <w:right w:w="15" w:type="dxa"/>
            </w:tcMar>
            <w:vAlign w:val="center"/>
          </w:tcPr>
          <w:p w14:paraId="2D284BF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渣土消纳能力与清运量的比例</w:t>
            </w:r>
          </w:p>
        </w:tc>
        <w:tc>
          <w:tcPr>
            <w:tcW w:w="2430" w:type="dxa"/>
            <w:tcBorders>
              <w:tl2br w:val="nil"/>
              <w:tr2bl w:val="nil"/>
            </w:tcBorders>
            <w:shd w:val="clear" w:color="auto" w:fill="auto"/>
            <w:tcMar>
              <w:top w:w="15" w:type="dxa"/>
              <w:left w:w="15" w:type="dxa"/>
              <w:right w:w="15" w:type="dxa"/>
            </w:tcMar>
            <w:vAlign w:val="center"/>
          </w:tcPr>
          <w:p w14:paraId="77D586E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城市渣土消纳能力（吨/日）</w:t>
            </w:r>
          </w:p>
        </w:tc>
        <w:tc>
          <w:tcPr>
            <w:tcW w:w="2818" w:type="dxa"/>
            <w:tcBorders>
              <w:tl2br w:val="nil"/>
              <w:tr2bl w:val="nil"/>
            </w:tcBorders>
            <w:shd w:val="clear" w:color="auto" w:fill="auto"/>
            <w:tcMar>
              <w:top w:w="15" w:type="dxa"/>
              <w:left w:w="15" w:type="dxa"/>
              <w:right w:w="15" w:type="dxa"/>
            </w:tcMar>
            <w:vAlign w:val="center"/>
          </w:tcPr>
          <w:p w14:paraId="79FA2B7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337989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67CB6AE9">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17</w:t>
            </w:r>
          </w:p>
        </w:tc>
        <w:tc>
          <w:tcPr>
            <w:tcW w:w="2350" w:type="dxa"/>
            <w:tcBorders>
              <w:tl2br w:val="nil"/>
              <w:tr2bl w:val="nil"/>
            </w:tcBorders>
            <w:shd w:val="clear" w:color="auto" w:fill="auto"/>
            <w:tcMar>
              <w:top w:w="15" w:type="dxa"/>
              <w:left w:w="15" w:type="dxa"/>
              <w:right w:w="15" w:type="dxa"/>
            </w:tcMar>
            <w:vAlign w:val="center"/>
          </w:tcPr>
          <w:p w14:paraId="01E7FC6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门前责任区制度履约率（%）</w:t>
            </w:r>
          </w:p>
        </w:tc>
        <w:tc>
          <w:tcPr>
            <w:tcW w:w="2430" w:type="dxa"/>
            <w:tcBorders>
              <w:tl2br w:val="nil"/>
              <w:tr2bl w:val="nil"/>
            </w:tcBorders>
            <w:shd w:val="clear" w:color="auto" w:fill="auto"/>
            <w:tcMar>
              <w:top w:w="15" w:type="dxa"/>
              <w:left w:w="15" w:type="dxa"/>
              <w:right w:w="15" w:type="dxa"/>
            </w:tcMar>
            <w:vAlign w:val="center"/>
          </w:tcPr>
          <w:p w14:paraId="3C555C0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现场抽查评分</w:t>
            </w:r>
          </w:p>
        </w:tc>
        <w:tc>
          <w:tcPr>
            <w:tcW w:w="2818" w:type="dxa"/>
            <w:tcBorders>
              <w:tl2br w:val="nil"/>
              <w:tr2bl w:val="nil"/>
            </w:tcBorders>
            <w:shd w:val="clear" w:color="auto" w:fill="auto"/>
            <w:tcMar>
              <w:top w:w="15" w:type="dxa"/>
              <w:left w:w="15" w:type="dxa"/>
              <w:right w:w="15" w:type="dxa"/>
            </w:tcMar>
            <w:vAlign w:val="center"/>
          </w:tcPr>
          <w:p w14:paraId="3D8DBE4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3AC385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7E016E41">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18</w:t>
            </w:r>
          </w:p>
        </w:tc>
        <w:tc>
          <w:tcPr>
            <w:tcW w:w="2350" w:type="dxa"/>
            <w:tcBorders>
              <w:tl2br w:val="nil"/>
              <w:tr2bl w:val="nil"/>
            </w:tcBorders>
            <w:shd w:val="clear" w:color="auto" w:fill="auto"/>
            <w:tcMar>
              <w:top w:w="15" w:type="dxa"/>
              <w:left w:w="15" w:type="dxa"/>
              <w:right w:w="15" w:type="dxa"/>
            </w:tcMar>
            <w:vAlign w:val="center"/>
          </w:tcPr>
          <w:p w14:paraId="50E78B6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道路干净</w:t>
            </w:r>
          </w:p>
        </w:tc>
        <w:tc>
          <w:tcPr>
            <w:tcW w:w="2430" w:type="dxa"/>
            <w:tcBorders>
              <w:tl2br w:val="nil"/>
              <w:tr2bl w:val="nil"/>
            </w:tcBorders>
            <w:shd w:val="clear" w:color="auto" w:fill="auto"/>
            <w:tcMar>
              <w:top w:w="15" w:type="dxa"/>
              <w:left w:w="15" w:type="dxa"/>
              <w:right w:w="15" w:type="dxa"/>
            </w:tcMar>
            <w:vAlign w:val="center"/>
          </w:tcPr>
          <w:p w14:paraId="458D0F0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现场抽查评分</w:t>
            </w:r>
          </w:p>
        </w:tc>
        <w:tc>
          <w:tcPr>
            <w:tcW w:w="2818" w:type="dxa"/>
            <w:tcBorders>
              <w:tl2br w:val="nil"/>
              <w:tr2bl w:val="nil"/>
            </w:tcBorders>
            <w:shd w:val="clear" w:color="auto" w:fill="auto"/>
            <w:tcMar>
              <w:top w:w="15" w:type="dxa"/>
              <w:left w:w="15" w:type="dxa"/>
              <w:right w:w="15" w:type="dxa"/>
            </w:tcMar>
            <w:vAlign w:val="center"/>
          </w:tcPr>
          <w:p w14:paraId="58922C5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2B9488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16F819E">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19</w:t>
            </w:r>
          </w:p>
        </w:tc>
        <w:tc>
          <w:tcPr>
            <w:tcW w:w="2350" w:type="dxa"/>
            <w:tcBorders>
              <w:tl2br w:val="nil"/>
              <w:tr2bl w:val="nil"/>
            </w:tcBorders>
            <w:shd w:val="clear" w:color="auto" w:fill="auto"/>
            <w:tcMar>
              <w:top w:w="15" w:type="dxa"/>
              <w:left w:w="15" w:type="dxa"/>
              <w:right w:w="15" w:type="dxa"/>
            </w:tcMar>
            <w:vAlign w:val="center"/>
          </w:tcPr>
          <w:p w14:paraId="1A5CA2E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建构筑物立面干净</w:t>
            </w:r>
          </w:p>
        </w:tc>
        <w:tc>
          <w:tcPr>
            <w:tcW w:w="2430" w:type="dxa"/>
            <w:tcBorders>
              <w:tl2br w:val="nil"/>
              <w:tr2bl w:val="nil"/>
            </w:tcBorders>
            <w:shd w:val="clear" w:color="auto" w:fill="auto"/>
            <w:tcMar>
              <w:top w:w="15" w:type="dxa"/>
              <w:left w:w="15" w:type="dxa"/>
              <w:right w:w="15" w:type="dxa"/>
            </w:tcMar>
            <w:vAlign w:val="center"/>
          </w:tcPr>
          <w:p w14:paraId="5C217E8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现场抽查评分</w:t>
            </w:r>
          </w:p>
        </w:tc>
        <w:tc>
          <w:tcPr>
            <w:tcW w:w="2818" w:type="dxa"/>
            <w:tcBorders>
              <w:tl2br w:val="nil"/>
              <w:tr2bl w:val="nil"/>
            </w:tcBorders>
            <w:shd w:val="clear" w:color="auto" w:fill="auto"/>
            <w:tcMar>
              <w:top w:w="15" w:type="dxa"/>
              <w:left w:w="15" w:type="dxa"/>
              <w:right w:w="15" w:type="dxa"/>
            </w:tcMar>
            <w:vAlign w:val="center"/>
          </w:tcPr>
          <w:p w14:paraId="0673DA1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6BE22E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18517DAA">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20</w:t>
            </w:r>
          </w:p>
        </w:tc>
        <w:tc>
          <w:tcPr>
            <w:tcW w:w="2350" w:type="dxa"/>
            <w:tcBorders>
              <w:tl2br w:val="nil"/>
              <w:tr2bl w:val="nil"/>
            </w:tcBorders>
            <w:shd w:val="clear" w:color="auto" w:fill="auto"/>
            <w:tcMar>
              <w:top w:w="15" w:type="dxa"/>
              <w:left w:w="15" w:type="dxa"/>
              <w:right w:w="15" w:type="dxa"/>
            </w:tcMar>
            <w:vAlign w:val="center"/>
          </w:tcPr>
          <w:p w14:paraId="791586A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公共场所干净</w:t>
            </w:r>
          </w:p>
        </w:tc>
        <w:tc>
          <w:tcPr>
            <w:tcW w:w="2430" w:type="dxa"/>
            <w:tcBorders>
              <w:tl2br w:val="nil"/>
              <w:tr2bl w:val="nil"/>
            </w:tcBorders>
            <w:shd w:val="clear" w:color="auto" w:fill="auto"/>
            <w:tcMar>
              <w:top w:w="15" w:type="dxa"/>
              <w:left w:w="15" w:type="dxa"/>
              <w:right w:w="15" w:type="dxa"/>
            </w:tcMar>
            <w:vAlign w:val="center"/>
          </w:tcPr>
          <w:p w14:paraId="47037DA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现场抽查评分</w:t>
            </w:r>
          </w:p>
        </w:tc>
        <w:tc>
          <w:tcPr>
            <w:tcW w:w="2818" w:type="dxa"/>
            <w:tcBorders>
              <w:tl2br w:val="nil"/>
              <w:tr2bl w:val="nil"/>
            </w:tcBorders>
            <w:shd w:val="clear" w:color="auto" w:fill="auto"/>
            <w:tcMar>
              <w:top w:w="15" w:type="dxa"/>
              <w:left w:w="15" w:type="dxa"/>
              <w:right w:w="15" w:type="dxa"/>
            </w:tcMar>
            <w:vAlign w:val="center"/>
          </w:tcPr>
          <w:p w14:paraId="055FCE6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福州市商务局、福州市交通局</w:t>
            </w:r>
          </w:p>
        </w:tc>
      </w:tr>
      <w:tr w14:paraId="5E08B3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1589" w:hRule="atLeast"/>
          <w:jc w:val="center"/>
        </w:trPr>
        <w:tc>
          <w:tcPr>
            <w:tcW w:w="730" w:type="dxa"/>
            <w:tcBorders>
              <w:tl2br w:val="nil"/>
              <w:tr2bl w:val="nil"/>
            </w:tcBorders>
            <w:shd w:val="clear" w:color="auto" w:fill="auto"/>
            <w:tcMar>
              <w:top w:w="15" w:type="dxa"/>
              <w:left w:w="15" w:type="dxa"/>
              <w:right w:w="15" w:type="dxa"/>
            </w:tcMar>
            <w:vAlign w:val="center"/>
          </w:tcPr>
          <w:p w14:paraId="5BC3E880">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21</w:t>
            </w:r>
          </w:p>
        </w:tc>
        <w:tc>
          <w:tcPr>
            <w:tcW w:w="2350" w:type="dxa"/>
            <w:tcBorders>
              <w:tl2br w:val="nil"/>
              <w:tr2bl w:val="nil"/>
            </w:tcBorders>
            <w:shd w:val="clear" w:color="auto" w:fill="auto"/>
            <w:tcMar>
              <w:top w:w="15" w:type="dxa"/>
              <w:left w:w="15" w:type="dxa"/>
              <w:right w:w="15" w:type="dxa"/>
            </w:tcMar>
            <w:vAlign w:val="center"/>
          </w:tcPr>
          <w:p w14:paraId="276EBE7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水体干净（不黑不臭）</w:t>
            </w:r>
          </w:p>
        </w:tc>
        <w:tc>
          <w:tcPr>
            <w:tcW w:w="2430" w:type="dxa"/>
            <w:tcBorders>
              <w:tl2br w:val="nil"/>
              <w:tr2bl w:val="nil"/>
            </w:tcBorders>
            <w:shd w:val="clear" w:color="auto" w:fill="auto"/>
            <w:tcMar>
              <w:top w:w="15" w:type="dxa"/>
              <w:left w:w="15" w:type="dxa"/>
              <w:right w:w="15" w:type="dxa"/>
            </w:tcMar>
            <w:vAlign w:val="center"/>
          </w:tcPr>
          <w:p w14:paraId="09AC730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现场抽查评分</w:t>
            </w:r>
          </w:p>
        </w:tc>
        <w:tc>
          <w:tcPr>
            <w:tcW w:w="2818" w:type="dxa"/>
            <w:tcBorders>
              <w:tl2br w:val="nil"/>
              <w:tr2bl w:val="nil"/>
            </w:tcBorders>
            <w:shd w:val="clear" w:color="auto" w:fill="auto"/>
            <w:tcMar>
              <w:top w:w="15" w:type="dxa"/>
              <w:left w:w="15" w:type="dxa"/>
              <w:right w:w="15" w:type="dxa"/>
            </w:tcMar>
            <w:vAlign w:val="center"/>
          </w:tcPr>
          <w:p w14:paraId="414942D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福州市城乡建设局、福州市城市管理委员会、福州市生态环境局、福州市市场监督局、福州市住房保障和房产管理局</w:t>
            </w:r>
          </w:p>
        </w:tc>
      </w:tr>
      <w:tr w14:paraId="6E3335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1C138FF4">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22</w:t>
            </w:r>
          </w:p>
        </w:tc>
        <w:tc>
          <w:tcPr>
            <w:tcW w:w="2350" w:type="dxa"/>
            <w:tcBorders>
              <w:tl2br w:val="nil"/>
              <w:tr2bl w:val="nil"/>
            </w:tcBorders>
            <w:shd w:val="clear" w:color="auto" w:fill="auto"/>
            <w:tcMar>
              <w:top w:w="15" w:type="dxa"/>
              <w:left w:w="15" w:type="dxa"/>
              <w:right w:w="15" w:type="dxa"/>
            </w:tcMar>
            <w:vAlign w:val="center"/>
          </w:tcPr>
          <w:p w14:paraId="026A29B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建成区公园绿地服务半径覆盖率（%）</w:t>
            </w:r>
          </w:p>
        </w:tc>
        <w:tc>
          <w:tcPr>
            <w:tcW w:w="2430" w:type="dxa"/>
            <w:tcBorders>
              <w:tl2br w:val="nil"/>
              <w:tr2bl w:val="nil"/>
            </w:tcBorders>
            <w:shd w:val="clear" w:color="auto" w:fill="auto"/>
            <w:tcMar>
              <w:top w:w="15" w:type="dxa"/>
              <w:left w:w="15" w:type="dxa"/>
              <w:right w:w="15" w:type="dxa"/>
            </w:tcMar>
            <w:vAlign w:val="center"/>
          </w:tcPr>
          <w:p w14:paraId="15DB4B1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公园绿地服务半径覆盖的居住用地面积</w:t>
            </w:r>
          </w:p>
        </w:tc>
        <w:tc>
          <w:tcPr>
            <w:tcW w:w="2818" w:type="dxa"/>
            <w:tcBorders>
              <w:tl2br w:val="nil"/>
              <w:tr2bl w:val="nil"/>
            </w:tcBorders>
            <w:shd w:val="clear" w:color="auto" w:fill="auto"/>
            <w:tcMar>
              <w:top w:w="15" w:type="dxa"/>
              <w:left w:w="15" w:type="dxa"/>
              <w:right w:w="15" w:type="dxa"/>
            </w:tcMar>
            <w:vAlign w:val="center"/>
          </w:tcPr>
          <w:p w14:paraId="713CFE6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福州市园林中心</w:t>
            </w:r>
          </w:p>
        </w:tc>
      </w:tr>
      <w:tr w14:paraId="573CE8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3518F83">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23</w:t>
            </w:r>
          </w:p>
        </w:tc>
        <w:tc>
          <w:tcPr>
            <w:tcW w:w="2350" w:type="dxa"/>
            <w:tcBorders>
              <w:tl2br w:val="nil"/>
              <w:tr2bl w:val="nil"/>
            </w:tcBorders>
            <w:shd w:val="clear" w:color="auto" w:fill="auto"/>
            <w:tcMar>
              <w:top w:w="15" w:type="dxa"/>
              <w:left w:w="15" w:type="dxa"/>
              <w:right w:w="15" w:type="dxa"/>
            </w:tcMar>
            <w:vAlign w:val="center"/>
          </w:tcPr>
          <w:p w14:paraId="39DFF61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建成区绿地率（%）</w:t>
            </w:r>
          </w:p>
        </w:tc>
        <w:tc>
          <w:tcPr>
            <w:tcW w:w="2430" w:type="dxa"/>
            <w:tcBorders>
              <w:tl2br w:val="nil"/>
              <w:tr2bl w:val="nil"/>
            </w:tcBorders>
            <w:shd w:val="clear" w:color="auto" w:fill="auto"/>
            <w:tcMar>
              <w:top w:w="15" w:type="dxa"/>
              <w:left w:w="15" w:type="dxa"/>
              <w:right w:w="15" w:type="dxa"/>
            </w:tcMar>
            <w:vAlign w:val="center"/>
          </w:tcPr>
          <w:p w14:paraId="0D3BCF0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公园绿地面积</w:t>
            </w:r>
          </w:p>
        </w:tc>
        <w:tc>
          <w:tcPr>
            <w:tcW w:w="2818" w:type="dxa"/>
            <w:tcBorders>
              <w:tl2br w:val="nil"/>
              <w:tr2bl w:val="nil"/>
            </w:tcBorders>
            <w:shd w:val="clear" w:color="auto" w:fill="auto"/>
            <w:tcMar>
              <w:top w:w="15" w:type="dxa"/>
              <w:left w:w="15" w:type="dxa"/>
              <w:right w:w="15" w:type="dxa"/>
            </w:tcMar>
            <w:vAlign w:val="center"/>
          </w:tcPr>
          <w:p w14:paraId="3534C1E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福州市园林中心</w:t>
            </w:r>
          </w:p>
        </w:tc>
      </w:tr>
      <w:tr w14:paraId="66B289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E3C7224">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24</w:t>
            </w:r>
          </w:p>
        </w:tc>
        <w:tc>
          <w:tcPr>
            <w:tcW w:w="2350" w:type="dxa"/>
            <w:tcBorders>
              <w:tl2br w:val="nil"/>
              <w:tr2bl w:val="nil"/>
            </w:tcBorders>
            <w:shd w:val="clear" w:color="auto" w:fill="auto"/>
            <w:tcMar>
              <w:top w:w="15" w:type="dxa"/>
              <w:left w:w="15" w:type="dxa"/>
              <w:right w:w="15" w:type="dxa"/>
            </w:tcMar>
            <w:vAlign w:val="center"/>
          </w:tcPr>
          <w:p w14:paraId="68EACE5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建成区绿地率（%）</w:t>
            </w:r>
          </w:p>
        </w:tc>
        <w:tc>
          <w:tcPr>
            <w:tcW w:w="2430" w:type="dxa"/>
            <w:tcBorders>
              <w:tl2br w:val="nil"/>
              <w:tr2bl w:val="nil"/>
            </w:tcBorders>
            <w:shd w:val="clear" w:color="auto" w:fill="auto"/>
            <w:tcMar>
              <w:top w:w="15" w:type="dxa"/>
              <w:left w:w="15" w:type="dxa"/>
              <w:right w:w="15" w:type="dxa"/>
            </w:tcMar>
            <w:vAlign w:val="center"/>
          </w:tcPr>
          <w:p w14:paraId="593C4A6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防护绿地面积</w:t>
            </w:r>
          </w:p>
        </w:tc>
        <w:tc>
          <w:tcPr>
            <w:tcW w:w="2818" w:type="dxa"/>
            <w:tcBorders>
              <w:tl2br w:val="nil"/>
              <w:tr2bl w:val="nil"/>
            </w:tcBorders>
            <w:shd w:val="clear" w:color="auto" w:fill="auto"/>
            <w:tcMar>
              <w:top w:w="15" w:type="dxa"/>
              <w:left w:w="15" w:type="dxa"/>
              <w:right w:w="15" w:type="dxa"/>
            </w:tcMar>
            <w:vAlign w:val="center"/>
          </w:tcPr>
          <w:p w14:paraId="6DF8C0D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福州市园林中心</w:t>
            </w:r>
          </w:p>
        </w:tc>
      </w:tr>
      <w:tr w14:paraId="06A3E1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7D3C157">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25</w:t>
            </w:r>
          </w:p>
        </w:tc>
        <w:tc>
          <w:tcPr>
            <w:tcW w:w="2350" w:type="dxa"/>
            <w:tcBorders>
              <w:tl2br w:val="nil"/>
              <w:tr2bl w:val="nil"/>
            </w:tcBorders>
            <w:shd w:val="clear" w:color="auto" w:fill="auto"/>
            <w:tcMar>
              <w:top w:w="15" w:type="dxa"/>
              <w:left w:w="15" w:type="dxa"/>
              <w:right w:w="15" w:type="dxa"/>
            </w:tcMar>
            <w:vAlign w:val="center"/>
          </w:tcPr>
          <w:p w14:paraId="6C5DE94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建成区绿地率（%）</w:t>
            </w:r>
          </w:p>
        </w:tc>
        <w:tc>
          <w:tcPr>
            <w:tcW w:w="2430" w:type="dxa"/>
            <w:tcBorders>
              <w:tl2br w:val="nil"/>
              <w:tr2bl w:val="nil"/>
            </w:tcBorders>
            <w:shd w:val="clear" w:color="auto" w:fill="auto"/>
            <w:tcMar>
              <w:top w:w="15" w:type="dxa"/>
              <w:left w:w="15" w:type="dxa"/>
              <w:right w:w="15" w:type="dxa"/>
            </w:tcMar>
            <w:vAlign w:val="center"/>
          </w:tcPr>
          <w:p w14:paraId="54779EB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广场用地中的绿地面积</w:t>
            </w:r>
          </w:p>
        </w:tc>
        <w:tc>
          <w:tcPr>
            <w:tcW w:w="2818" w:type="dxa"/>
            <w:tcBorders>
              <w:tl2br w:val="nil"/>
              <w:tr2bl w:val="nil"/>
            </w:tcBorders>
            <w:shd w:val="clear" w:color="auto" w:fill="auto"/>
            <w:tcMar>
              <w:top w:w="15" w:type="dxa"/>
              <w:left w:w="15" w:type="dxa"/>
              <w:right w:w="15" w:type="dxa"/>
            </w:tcMar>
            <w:vAlign w:val="center"/>
          </w:tcPr>
          <w:p w14:paraId="2E64D16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福州市园林中心</w:t>
            </w:r>
          </w:p>
        </w:tc>
      </w:tr>
      <w:tr w14:paraId="1C2C45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78C47191">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26</w:t>
            </w:r>
          </w:p>
        </w:tc>
        <w:tc>
          <w:tcPr>
            <w:tcW w:w="2350" w:type="dxa"/>
            <w:tcBorders>
              <w:tl2br w:val="nil"/>
              <w:tr2bl w:val="nil"/>
            </w:tcBorders>
            <w:shd w:val="clear" w:color="auto" w:fill="auto"/>
            <w:tcMar>
              <w:top w:w="15" w:type="dxa"/>
              <w:left w:w="15" w:type="dxa"/>
              <w:right w:w="15" w:type="dxa"/>
            </w:tcMar>
            <w:vAlign w:val="center"/>
          </w:tcPr>
          <w:p w14:paraId="45EA83E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建成区绿地率（%）</w:t>
            </w:r>
          </w:p>
        </w:tc>
        <w:tc>
          <w:tcPr>
            <w:tcW w:w="2430" w:type="dxa"/>
            <w:tcBorders>
              <w:tl2br w:val="nil"/>
              <w:tr2bl w:val="nil"/>
            </w:tcBorders>
            <w:shd w:val="clear" w:color="auto" w:fill="auto"/>
            <w:tcMar>
              <w:top w:w="15" w:type="dxa"/>
              <w:left w:w="15" w:type="dxa"/>
              <w:right w:w="15" w:type="dxa"/>
            </w:tcMar>
            <w:vAlign w:val="center"/>
          </w:tcPr>
          <w:p w14:paraId="74A5DED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附属绿地面积</w:t>
            </w:r>
          </w:p>
        </w:tc>
        <w:tc>
          <w:tcPr>
            <w:tcW w:w="2818" w:type="dxa"/>
            <w:tcBorders>
              <w:tl2br w:val="nil"/>
              <w:tr2bl w:val="nil"/>
            </w:tcBorders>
            <w:shd w:val="clear" w:color="auto" w:fill="auto"/>
            <w:tcMar>
              <w:top w:w="15" w:type="dxa"/>
              <w:left w:w="15" w:type="dxa"/>
              <w:right w:w="15" w:type="dxa"/>
            </w:tcMar>
            <w:vAlign w:val="center"/>
          </w:tcPr>
          <w:p w14:paraId="73063D1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福州市园林中心</w:t>
            </w:r>
          </w:p>
        </w:tc>
      </w:tr>
      <w:tr w14:paraId="2E692B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1A83A0EE">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27</w:t>
            </w:r>
          </w:p>
        </w:tc>
        <w:tc>
          <w:tcPr>
            <w:tcW w:w="2350" w:type="dxa"/>
            <w:tcBorders>
              <w:tl2br w:val="nil"/>
              <w:tr2bl w:val="nil"/>
            </w:tcBorders>
            <w:shd w:val="clear" w:color="auto" w:fill="auto"/>
            <w:tcMar>
              <w:top w:w="15" w:type="dxa"/>
              <w:left w:w="15" w:type="dxa"/>
              <w:right w:w="15" w:type="dxa"/>
            </w:tcMar>
            <w:vAlign w:val="center"/>
          </w:tcPr>
          <w:p w14:paraId="56041A8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建成区绿化覆盖率（%）</w:t>
            </w:r>
          </w:p>
        </w:tc>
        <w:tc>
          <w:tcPr>
            <w:tcW w:w="2430" w:type="dxa"/>
            <w:tcBorders>
              <w:tl2br w:val="nil"/>
              <w:tr2bl w:val="nil"/>
            </w:tcBorders>
            <w:shd w:val="clear" w:color="auto" w:fill="auto"/>
            <w:tcMar>
              <w:top w:w="15" w:type="dxa"/>
              <w:left w:w="15" w:type="dxa"/>
              <w:right w:w="15" w:type="dxa"/>
            </w:tcMar>
            <w:vAlign w:val="center"/>
          </w:tcPr>
          <w:p w14:paraId="57F90AB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建成区绿化覆盖面积（万平方米）</w:t>
            </w:r>
          </w:p>
        </w:tc>
        <w:tc>
          <w:tcPr>
            <w:tcW w:w="2818" w:type="dxa"/>
            <w:tcBorders>
              <w:tl2br w:val="nil"/>
              <w:tr2bl w:val="nil"/>
            </w:tcBorders>
            <w:shd w:val="clear" w:color="auto" w:fill="auto"/>
            <w:tcMar>
              <w:top w:w="15" w:type="dxa"/>
              <w:left w:w="15" w:type="dxa"/>
              <w:right w:w="15" w:type="dxa"/>
            </w:tcMar>
            <w:vAlign w:val="center"/>
          </w:tcPr>
          <w:p w14:paraId="1C80BB0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福州市园林中心</w:t>
            </w:r>
          </w:p>
        </w:tc>
      </w:tr>
      <w:tr w14:paraId="7AB907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055B631E">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28</w:t>
            </w:r>
          </w:p>
        </w:tc>
        <w:tc>
          <w:tcPr>
            <w:tcW w:w="2350" w:type="dxa"/>
            <w:tcBorders>
              <w:tl2br w:val="nil"/>
              <w:tr2bl w:val="nil"/>
            </w:tcBorders>
            <w:shd w:val="clear" w:color="auto" w:fill="auto"/>
            <w:tcMar>
              <w:top w:w="15" w:type="dxa"/>
              <w:left w:w="15" w:type="dxa"/>
              <w:right w:w="15" w:type="dxa"/>
            </w:tcMar>
            <w:vAlign w:val="center"/>
          </w:tcPr>
          <w:p w14:paraId="0B4C3BA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人均公园绿地面积（平方米/人）</w:t>
            </w:r>
          </w:p>
        </w:tc>
        <w:tc>
          <w:tcPr>
            <w:tcW w:w="2430" w:type="dxa"/>
            <w:tcBorders>
              <w:tl2br w:val="nil"/>
              <w:tr2bl w:val="nil"/>
            </w:tcBorders>
            <w:shd w:val="clear" w:color="auto" w:fill="auto"/>
            <w:tcMar>
              <w:top w:w="15" w:type="dxa"/>
              <w:left w:w="15" w:type="dxa"/>
              <w:right w:w="15" w:type="dxa"/>
            </w:tcMar>
            <w:vAlign w:val="center"/>
          </w:tcPr>
          <w:p w14:paraId="2FADD2E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公园绿地面积</w:t>
            </w:r>
          </w:p>
        </w:tc>
        <w:tc>
          <w:tcPr>
            <w:tcW w:w="2818" w:type="dxa"/>
            <w:tcBorders>
              <w:tl2br w:val="nil"/>
              <w:tr2bl w:val="nil"/>
            </w:tcBorders>
            <w:shd w:val="clear" w:color="auto" w:fill="auto"/>
            <w:tcMar>
              <w:top w:w="15" w:type="dxa"/>
              <w:left w:w="15" w:type="dxa"/>
              <w:right w:w="15" w:type="dxa"/>
            </w:tcMar>
            <w:vAlign w:val="center"/>
          </w:tcPr>
          <w:p w14:paraId="2B78A03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福州市园林中心</w:t>
            </w:r>
          </w:p>
        </w:tc>
      </w:tr>
      <w:tr w14:paraId="1CB299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7CECCCE3">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29</w:t>
            </w:r>
          </w:p>
        </w:tc>
        <w:tc>
          <w:tcPr>
            <w:tcW w:w="2350" w:type="dxa"/>
            <w:tcBorders>
              <w:tl2br w:val="nil"/>
              <w:tr2bl w:val="nil"/>
            </w:tcBorders>
            <w:shd w:val="clear" w:color="auto" w:fill="auto"/>
            <w:tcMar>
              <w:top w:w="15" w:type="dxa"/>
              <w:left w:w="15" w:type="dxa"/>
              <w:right w:w="15" w:type="dxa"/>
            </w:tcMar>
            <w:vAlign w:val="center"/>
          </w:tcPr>
          <w:p w14:paraId="7B91A26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一等养护城镇道路占比（%）</w:t>
            </w:r>
          </w:p>
        </w:tc>
        <w:tc>
          <w:tcPr>
            <w:tcW w:w="2430" w:type="dxa"/>
            <w:tcBorders>
              <w:tl2br w:val="nil"/>
              <w:tr2bl w:val="nil"/>
            </w:tcBorders>
            <w:shd w:val="clear" w:color="auto" w:fill="auto"/>
            <w:tcMar>
              <w:top w:w="15" w:type="dxa"/>
              <w:left w:w="15" w:type="dxa"/>
              <w:right w:w="15" w:type="dxa"/>
            </w:tcMar>
            <w:vAlign w:val="center"/>
          </w:tcPr>
          <w:p w14:paraId="0F5592B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建成区内实施一等养护城镇道路长度（公里）</w:t>
            </w:r>
          </w:p>
        </w:tc>
        <w:tc>
          <w:tcPr>
            <w:tcW w:w="2818" w:type="dxa"/>
            <w:tcBorders>
              <w:tl2br w:val="nil"/>
              <w:tr2bl w:val="nil"/>
            </w:tcBorders>
            <w:shd w:val="clear" w:color="auto" w:fill="auto"/>
            <w:tcMar>
              <w:top w:w="15" w:type="dxa"/>
              <w:left w:w="15" w:type="dxa"/>
              <w:right w:w="15" w:type="dxa"/>
            </w:tcMar>
            <w:vAlign w:val="center"/>
          </w:tcPr>
          <w:p w14:paraId="3A36B33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16F0C9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54CBC0FA">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30</w:t>
            </w:r>
          </w:p>
        </w:tc>
        <w:tc>
          <w:tcPr>
            <w:tcW w:w="2350" w:type="dxa"/>
            <w:tcBorders>
              <w:tl2br w:val="nil"/>
              <w:tr2bl w:val="nil"/>
            </w:tcBorders>
            <w:shd w:val="clear" w:color="auto" w:fill="auto"/>
            <w:tcMar>
              <w:top w:w="15" w:type="dxa"/>
              <w:left w:w="15" w:type="dxa"/>
              <w:right w:w="15" w:type="dxa"/>
            </w:tcMar>
            <w:vAlign w:val="center"/>
          </w:tcPr>
          <w:p w14:paraId="47E74DD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一等养护城镇道路占比（%）</w:t>
            </w:r>
          </w:p>
        </w:tc>
        <w:tc>
          <w:tcPr>
            <w:tcW w:w="2430" w:type="dxa"/>
            <w:tcBorders>
              <w:tl2br w:val="nil"/>
              <w:tr2bl w:val="nil"/>
            </w:tcBorders>
            <w:shd w:val="clear" w:color="auto" w:fill="auto"/>
            <w:tcMar>
              <w:top w:w="15" w:type="dxa"/>
              <w:left w:w="15" w:type="dxa"/>
              <w:right w:w="15" w:type="dxa"/>
            </w:tcMar>
            <w:vAlign w:val="center"/>
          </w:tcPr>
          <w:p w14:paraId="1F70F1C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建成区内城镇道路总长度（公里）</w:t>
            </w:r>
          </w:p>
        </w:tc>
        <w:tc>
          <w:tcPr>
            <w:tcW w:w="2818" w:type="dxa"/>
            <w:tcBorders>
              <w:tl2br w:val="nil"/>
              <w:tr2bl w:val="nil"/>
            </w:tcBorders>
            <w:shd w:val="clear" w:color="auto" w:fill="auto"/>
            <w:tcMar>
              <w:top w:w="15" w:type="dxa"/>
              <w:left w:w="15" w:type="dxa"/>
              <w:right w:w="15" w:type="dxa"/>
            </w:tcMar>
            <w:vAlign w:val="center"/>
          </w:tcPr>
          <w:p w14:paraId="2870C73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0144CA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6A5C046">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31</w:t>
            </w:r>
          </w:p>
        </w:tc>
        <w:tc>
          <w:tcPr>
            <w:tcW w:w="2350" w:type="dxa"/>
            <w:tcBorders>
              <w:tl2br w:val="nil"/>
              <w:tr2bl w:val="nil"/>
            </w:tcBorders>
            <w:shd w:val="clear" w:color="auto" w:fill="auto"/>
            <w:tcMar>
              <w:top w:w="15" w:type="dxa"/>
              <w:left w:w="15" w:type="dxa"/>
              <w:right w:w="15" w:type="dxa"/>
            </w:tcMar>
            <w:vAlign w:val="center"/>
          </w:tcPr>
          <w:p w14:paraId="2787822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城市照明亮灯率（%）</w:t>
            </w:r>
          </w:p>
        </w:tc>
        <w:tc>
          <w:tcPr>
            <w:tcW w:w="2430" w:type="dxa"/>
            <w:tcBorders>
              <w:tl2br w:val="nil"/>
              <w:tr2bl w:val="nil"/>
            </w:tcBorders>
            <w:shd w:val="clear" w:color="auto" w:fill="auto"/>
            <w:tcMar>
              <w:top w:w="15" w:type="dxa"/>
              <w:left w:w="15" w:type="dxa"/>
              <w:right w:w="15" w:type="dxa"/>
            </w:tcMar>
            <w:vAlign w:val="center"/>
          </w:tcPr>
          <w:p w14:paraId="1FDC2E1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建成区内功能性照明亮灯数</w:t>
            </w:r>
          </w:p>
        </w:tc>
        <w:tc>
          <w:tcPr>
            <w:tcW w:w="2818" w:type="dxa"/>
            <w:tcBorders>
              <w:tl2br w:val="nil"/>
              <w:tr2bl w:val="nil"/>
            </w:tcBorders>
            <w:shd w:val="clear" w:color="auto" w:fill="auto"/>
            <w:tcMar>
              <w:top w:w="15" w:type="dxa"/>
              <w:left w:w="15" w:type="dxa"/>
              <w:right w:w="15" w:type="dxa"/>
            </w:tcMar>
            <w:vAlign w:val="center"/>
          </w:tcPr>
          <w:p w14:paraId="7164CD8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福州市城乡建设局、福州市城市管理委员会</w:t>
            </w:r>
          </w:p>
        </w:tc>
      </w:tr>
      <w:tr w14:paraId="23BD74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5F04ACF9">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32</w:t>
            </w:r>
          </w:p>
        </w:tc>
        <w:tc>
          <w:tcPr>
            <w:tcW w:w="2350" w:type="dxa"/>
            <w:tcBorders>
              <w:tl2br w:val="nil"/>
              <w:tr2bl w:val="nil"/>
            </w:tcBorders>
            <w:shd w:val="clear" w:color="auto" w:fill="auto"/>
            <w:tcMar>
              <w:top w:w="15" w:type="dxa"/>
              <w:left w:w="15" w:type="dxa"/>
              <w:right w:w="15" w:type="dxa"/>
            </w:tcMar>
            <w:vAlign w:val="center"/>
          </w:tcPr>
          <w:p w14:paraId="4AC14FC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城市照明亮灯率（%）</w:t>
            </w:r>
          </w:p>
        </w:tc>
        <w:tc>
          <w:tcPr>
            <w:tcW w:w="2430" w:type="dxa"/>
            <w:tcBorders>
              <w:tl2br w:val="nil"/>
              <w:tr2bl w:val="nil"/>
            </w:tcBorders>
            <w:shd w:val="clear" w:color="auto" w:fill="auto"/>
            <w:tcMar>
              <w:top w:w="15" w:type="dxa"/>
              <w:left w:w="15" w:type="dxa"/>
              <w:right w:w="15" w:type="dxa"/>
            </w:tcMar>
            <w:vAlign w:val="center"/>
          </w:tcPr>
          <w:p w14:paraId="64C310A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建成区功能性照明全部灯数</w:t>
            </w:r>
          </w:p>
        </w:tc>
        <w:tc>
          <w:tcPr>
            <w:tcW w:w="2818" w:type="dxa"/>
            <w:tcBorders>
              <w:tl2br w:val="nil"/>
              <w:tr2bl w:val="nil"/>
            </w:tcBorders>
            <w:shd w:val="clear" w:color="auto" w:fill="auto"/>
            <w:tcMar>
              <w:top w:w="15" w:type="dxa"/>
              <w:left w:w="15" w:type="dxa"/>
              <w:right w:w="15" w:type="dxa"/>
            </w:tcMar>
            <w:vAlign w:val="center"/>
          </w:tcPr>
          <w:p w14:paraId="63B5D25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福州市城乡建设局、福州市城市管理委员会</w:t>
            </w:r>
          </w:p>
        </w:tc>
      </w:tr>
      <w:tr w14:paraId="78442F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F011FED">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33</w:t>
            </w:r>
          </w:p>
        </w:tc>
        <w:tc>
          <w:tcPr>
            <w:tcW w:w="2350" w:type="dxa"/>
            <w:tcBorders>
              <w:tl2br w:val="nil"/>
              <w:tr2bl w:val="nil"/>
            </w:tcBorders>
            <w:shd w:val="clear" w:color="auto" w:fill="auto"/>
            <w:tcMar>
              <w:top w:w="15" w:type="dxa"/>
              <w:left w:w="15" w:type="dxa"/>
              <w:right w:w="15" w:type="dxa"/>
            </w:tcMar>
            <w:vAlign w:val="center"/>
          </w:tcPr>
          <w:p w14:paraId="1D32A1E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建成区街道绿视率（%）</w:t>
            </w:r>
          </w:p>
        </w:tc>
        <w:tc>
          <w:tcPr>
            <w:tcW w:w="2430" w:type="dxa"/>
            <w:tcBorders>
              <w:tl2br w:val="nil"/>
              <w:tr2bl w:val="nil"/>
            </w:tcBorders>
            <w:shd w:val="clear" w:color="auto" w:fill="auto"/>
            <w:tcMar>
              <w:top w:w="15" w:type="dxa"/>
              <w:left w:w="15" w:type="dxa"/>
              <w:right w:w="15" w:type="dxa"/>
            </w:tcMar>
            <w:vAlign w:val="center"/>
          </w:tcPr>
          <w:p w14:paraId="7600DCB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照片中绿色植物所占面积</w:t>
            </w:r>
          </w:p>
        </w:tc>
        <w:tc>
          <w:tcPr>
            <w:tcW w:w="2818" w:type="dxa"/>
            <w:tcBorders>
              <w:tl2br w:val="nil"/>
              <w:tr2bl w:val="nil"/>
            </w:tcBorders>
            <w:shd w:val="clear" w:color="auto" w:fill="auto"/>
            <w:tcMar>
              <w:top w:w="15" w:type="dxa"/>
              <w:left w:w="15" w:type="dxa"/>
              <w:right w:w="15" w:type="dxa"/>
            </w:tcMar>
            <w:vAlign w:val="center"/>
          </w:tcPr>
          <w:p w14:paraId="6D31CEB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福州市园林中心</w:t>
            </w:r>
          </w:p>
        </w:tc>
      </w:tr>
      <w:tr w14:paraId="4C6B76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66A7C7C">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34</w:t>
            </w:r>
          </w:p>
        </w:tc>
        <w:tc>
          <w:tcPr>
            <w:tcW w:w="2350" w:type="dxa"/>
            <w:tcBorders>
              <w:tl2br w:val="nil"/>
              <w:tr2bl w:val="nil"/>
            </w:tcBorders>
            <w:shd w:val="clear" w:color="auto" w:fill="auto"/>
            <w:tcMar>
              <w:top w:w="15" w:type="dxa"/>
              <w:left w:w="15" w:type="dxa"/>
              <w:right w:w="15" w:type="dxa"/>
            </w:tcMar>
            <w:vAlign w:val="center"/>
          </w:tcPr>
          <w:p w14:paraId="3E1DFA6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建成区街道绿视率（%）</w:t>
            </w:r>
          </w:p>
        </w:tc>
        <w:tc>
          <w:tcPr>
            <w:tcW w:w="2430" w:type="dxa"/>
            <w:tcBorders>
              <w:tl2br w:val="nil"/>
              <w:tr2bl w:val="nil"/>
            </w:tcBorders>
            <w:shd w:val="clear" w:color="auto" w:fill="auto"/>
            <w:tcMar>
              <w:top w:w="15" w:type="dxa"/>
              <w:left w:w="15" w:type="dxa"/>
              <w:right w:w="15" w:type="dxa"/>
            </w:tcMar>
            <w:vAlign w:val="center"/>
          </w:tcPr>
          <w:p w14:paraId="65408ED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照片视野面积</w:t>
            </w:r>
          </w:p>
        </w:tc>
        <w:tc>
          <w:tcPr>
            <w:tcW w:w="2818" w:type="dxa"/>
            <w:tcBorders>
              <w:tl2br w:val="nil"/>
              <w:tr2bl w:val="nil"/>
            </w:tcBorders>
            <w:shd w:val="clear" w:color="auto" w:fill="auto"/>
            <w:tcMar>
              <w:top w:w="15" w:type="dxa"/>
              <w:left w:w="15" w:type="dxa"/>
              <w:right w:w="15" w:type="dxa"/>
            </w:tcMar>
            <w:vAlign w:val="center"/>
          </w:tcPr>
          <w:p w14:paraId="1A3A2CA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　</w:t>
            </w:r>
          </w:p>
        </w:tc>
      </w:tr>
      <w:tr w14:paraId="280C3E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00936113">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35</w:t>
            </w:r>
          </w:p>
        </w:tc>
        <w:tc>
          <w:tcPr>
            <w:tcW w:w="2350" w:type="dxa"/>
            <w:tcBorders>
              <w:tl2br w:val="nil"/>
              <w:tr2bl w:val="nil"/>
            </w:tcBorders>
            <w:shd w:val="clear" w:color="auto" w:fill="auto"/>
            <w:tcMar>
              <w:top w:w="15" w:type="dxa"/>
              <w:left w:w="15" w:type="dxa"/>
              <w:right w:w="15" w:type="dxa"/>
            </w:tcMar>
            <w:vAlign w:val="center"/>
          </w:tcPr>
          <w:p w14:paraId="16BCA60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各类站亭设置规范</w:t>
            </w:r>
          </w:p>
        </w:tc>
        <w:tc>
          <w:tcPr>
            <w:tcW w:w="2430" w:type="dxa"/>
            <w:tcBorders>
              <w:tl2br w:val="nil"/>
              <w:tr2bl w:val="nil"/>
            </w:tcBorders>
            <w:shd w:val="clear" w:color="auto" w:fill="auto"/>
            <w:tcMar>
              <w:top w:w="15" w:type="dxa"/>
              <w:left w:w="15" w:type="dxa"/>
              <w:right w:w="15" w:type="dxa"/>
            </w:tcMar>
            <w:vAlign w:val="center"/>
          </w:tcPr>
          <w:p w14:paraId="3436592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3个公共服务设施评分（公交候车亭、治安亭、交通亭）</w:t>
            </w:r>
          </w:p>
        </w:tc>
        <w:tc>
          <w:tcPr>
            <w:tcW w:w="2818" w:type="dxa"/>
            <w:tcBorders>
              <w:tl2br w:val="nil"/>
              <w:tr2bl w:val="nil"/>
            </w:tcBorders>
            <w:shd w:val="clear" w:color="auto" w:fill="auto"/>
            <w:tcMar>
              <w:top w:w="15" w:type="dxa"/>
              <w:left w:w="15" w:type="dxa"/>
              <w:right w:w="15" w:type="dxa"/>
            </w:tcMar>
            <w:vAlign w:val="center"/>
          </w:tcPr>
          <w:p w14:paraId="5590E87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福州市交通局、福州市公安局</w:t>
            </w:r>
          </w:p>
        </w:tc>
      </w:tr>
      <w:tr w14:paraId="42DD8A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68CBBF4">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36</w:t>
            </w:r>
          </w:p>
        </w:tc>
        <w:tc>
          <w:tcPr>
            <w:tcW w:w="2350" w:type="dxa"/>
            <w:tcBorders>
              <w:tl2br w:val="nil"/>
              <w:tr2bl w:val="nil"/>
            </w:tcBorders>
            <w:shd w:val="clear" w:color="auto" w:fill="auto"/>
            <w:tcMar>
              <w:top w:w="15" w:type="dxa"/>
              <w:left w:w="15" w:type="dxa"/>
              <w:right w:w="15" w:type="dxa"/>
            </w:tcMar>
            <w:vAlign w:val="center"/>
          </w:tcPr>
          <w:p w14:paraId="40DAB58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各类站亭设置规范</w:t>
            </w:r>
          </w:p>
        </w:tc>
        <w:tc>
          <w:tcPr>
            <w:tcW w:w="2430" w:type="dxa"/>
            <w:tcBorders>
              <w:tl2br w:val="nil"/>
              <w:tr2bl w:val="nil"/>
            </w:tcBorders>
            <w:shd w:val="clear" w:color="auto" w:fill="auto"/>
            <w:tcMar>
              <w:top w:w="15" w:type="dxa"/>
              <w:left w:w="15" w:type="dxa"/>
              <w:right w:w="15" w:type="dxa"/>
            </w:tcMar>
            <w:vAlign w:val="center"/>
          </w:tcPr>
          <w:p w14:paraId="175F69F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5个街景小品评分</w:t>
            </w:r>
          </w:p>
        </w:tc>
        <w:tc>
          <w:tcPr>
            <w:tcW w:w="2818" w:type="dxa"/>
            <w:tcBorders>
              <w:tl2br w:val="nil"/>
              <w:tr2bl w:val="nil"/>
            </w:tcBorders>
            <w:shd w:val="clear" w:color="auto" w:fill="auto"/>
            <w:tcMar>
              <w:top w:w="15" w:type="dxa"/>
              <w:left w:w="15" w:type="dxa"/>
              <w:right w:w="15" w:type="dxa"/>
            </w:tcMar>
            <w:vAlign w:val="center"/>
          </w:tcPr>
          <w:p w14:paraId="51FDB661">
            <w:pPr>
              <w:autoSpaceDE w:val="0"/>
              <w:autoSpaceDN w:val="0"/>
              <w:textAlignment w:val="center"/>
              <w:rPr>
                <w:rFonts w:hint="eastAsia" w:ascii="宋体" w:hAnsi="宋体" w:eastAsia="宋体" w:cs="宋体"/>
                <w:bCs/>
                <w:color w:val="auto"/>
                <w:szCs w:val="21"/>
                <w:lang w:eastAsia="zh-CN"/>
              </w:rPr>
            </w:pPr>
            <w:r>
              <w:rPr>
                <w:rFonts w:hint="eastAsia" w:ascii="宋体" w:hAnsi="宋体" w:eastAsia="宋体" w:cs="宋体"/>
                <w:bCs/>
                <w:color w:val="auto"/>
                <w:szCs w:val="21"/>
              </w:rPr>
              <w:t>福州市园林中心、福州市</w:t>
            </w:r>
            <w:r>
              <w:rPr>
                <w:rFonts w:hint="eastAsia" w:ascii="宋体" w:hAnsi="宋体" w:eastAsia="宋体" w:cs="宋体"/>
                <w:bCs/>
                <w:color w:val="auto"/>
                <w:szCs w:val="21"/>
                <w:lang w:eastAsia="zh-CN"/>
              </w:rPr>
              <w:t>自然资源和规划局</w:t>
            </w:r>
          </w:p>
        </w:tc>
      </w:tr>
      <w:tr w14:paraId="2A4747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747E3732">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37</w:t>
            </w:r>
          </w:p>
        </w:tc>
        <w:tc>
          <w:tcPr>
            <w:tcW w:w="2350" w:type="dxa"/>
            <w:tcBorders>
              <w:tl2br w:val="nil"/>
              <w:tr2bl w:val="nil"/>
            </w:tcBorders>
            <w:shd w:val="clear" w:color="auto" w:fill="auto"/>
            <w:tcMar>
              <w:top w:w="15" w:type="dxa"/>
              <w:left w:w="15" w:type="dxa"/>
              <w:right w:w="15" w:type="dxa"/>
            </w:tcMar>
            <w:vAlign w:val="center"/>
          </w:tcPr>
          <w:p w14:paraId="3F9AF29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绿化整洁</w:t>
            </w:r>
          </w:p>
        </w:tc>
        <w:tc>
          <w:tcPr>
            <w:tcW w:w="2430" w:type="dxa"/>
            <w:tcBorders>
              <w:tl2br w:val="nil"/>
              <w:tr2bl w:val="nil"/>
            </w:tcBorders>
            <w:shd w:val="clear" w:color="auto" w:fill="auto"/>
            <w:tcMar>
              <w:top w:w="15" w:type="dxa"/>
              <w:left w:w="15" w:type="dxa"/>
              <w:right w:w="15" w:type="dxa"/>
            </w:tcMar>
            <w:vAlign w:val="center"/>
          </w:tcPr>
          <w:p w14:paraId="39B0049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主干道（800米长路段）、次干道（500米长路段）、街巷（300米长路段）评分</w:t>
            </w:r>
          </w:p>
        </w:tc>
        <w:tc>
          <w:tcPr>
            <w:tcW w:w="2818" w:type="dxa"/>
            <w:tcBorders>
              <w:tl2br w:val="nil"/>
              <w:tr2bl w:val="nil"/>
            </w:tcBorders>
            <w:shd w:val="clear" w:color="auto" w:fill="auto"/>
            <w:tcMar>
              <w:top w:w="15" w:type="dxa"/>
              <w:left w:w="15" w:type="dxa"/>
              <w:right w:w="15" w:type="dxa"/>
            </w:tcMar>
            <w:vAlign w:val="center"/>
          </w:tcPr>
          <w:p w14:paraId="794F172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福州市园林中心、福州市环境卫生中心</w:t>
            </w:r>
          </w:p>
        </w:tc>
      </w:tr>
      <w:tr w14:paraId="121C04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6954EC0D">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38</w:t>
            </w:r>
          </w:p>
        </w:tc>
        <w:tc>
          <w:tcPr>
            <w:tcW w:w="2350" w:type="dxa"/>
            <w:tcBorders>
              <w:tl2br w:val="nil"/>
              <w:tr2bl w:val="nil"/>
            </w:tcBorders>
            <w:shd w:val="clear" w:color="auto" w:fill="auto"/>
            <w:tcMar>
              <w:top w:w="15" w:type="dxa"/>
              <w:left w:w="15" w:type="dxa"/>
              <w:right w:w="15" w:type="dxa"/>
            </w:tcMar>
            <w:vAlign w:val="center"/>
          </w:tcPr>
          <w:p w14:paraId="1B909BE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广告招牌设施整洁</w:t>
            </w:r>
          </w:p>
        </w:tc>
        <w:tc>
          <w:tcPr>
            <w:tcW w:w="2430" w:type="dxa"/>
            <w:tcBorders>
              <w:tl2br w:val="nil"/>
              <w:tr2bl w:val="nil"/>
            </w:tcBorders>
            <w:shd w:val="clear" w:color="auto" w:fill="auto"/>
            <w:tcMar>
              <w:top w:w="15" w:type="dxa"/>
              <w:left w:w="15" w:type="dxa"/>
              <w:right w:w="15" w:type="dxa"/>
            </w:tcMar>
            <w:vAlign w:val="center"/>
          </w:tcPr>
          <w:p w14:paraId="62EB81C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主干道（800米路段）、次干道（500米路段）、街巷（300米路段）评分</w:t>
            </w:r>
          </w:p>
        </w:tc>
        <w:tc>
          <w:tcPr>
            <w:tcW w:w="2818" w:type="dxa"/>
            <w:tcBorders>
              <w:tl2br w:val="nil"/>
              <w:tr2bl w:val="nil"/>
            </w:tcBorders>
            <w:shd w:val="clear" w:color="auto" w:fill="auto"/>
            <w:tcMar>
              <w:top w:w="15" w:type="dxa"/>
              <w:left w:w="15" w:type="dxa"/>
              <w:right w:w="15" w:type="dxa"/>
            </w:tcMar>
            <w:vAlign w:val="center"/>
          </w:tcPr>
          <w:p w14:paraId="238C8F5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w:t>
            </w:r>
          </w:p>
        </w:tc>
      </w:tr>
      <w:tr w14:paraId="7E9F28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1B379F2">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39</w:t>
            </w:r>
          </w:p>
        </w:tc>
        <w:tc>
          <w:tcPr>
            <w:tcW w:w="2350" w:type="dxa"/>
            <w:tcBorders>
              <w:tl2br w:val="nil"/>
              <w:tr2bl w:val="nil"/>
            </w:tcBorders>
            <w:shd w:val="clear" w:color="auto" w:fill="auto"/>
            <w:tcMar>
              <w:top w:w="15" w:type="dxa"/>
              <w:left w:w="15" w:type="dxa"/>
              <w:right w:w="15" w:type="dxa"/>
            </w:tcMar>
            <w:vAlign w:val="center"/>
          </w:tcPr>
          <w:p w14:paraId="6604A17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立杆、空中线路规整性</w:t>
            </w:r>
          </w:p>
        </w:tc>
        <w:tc>
          <w:tcPr>
            <w:tcW w:w="2430" w:type="dxa"/>
            <w:tcBorders>
              <w:tl2br w:val="nil"/>
              <w:tr2bl w:val="nil"/>
            </w:tcBorders>
            <w:shd w:val="clear" w:color="auto" w:fill="auto"/>
            <w:tcMar>
              <w:top w:w="15" w:type="dxa"/>
              <w:left w:w="15" w:type="dxa"/>
              <w:right w:w="15" w:type="dxa"/>
            </w:tcMar>
            <w:vAlign w:val="center"/>
          </w:tcPr>
          <w:p w14:paraId="0026D06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主干道（800米路段）、次干道（500米路段）、街巷（300米路段）评分</w:t>
            </w:r>
          </w:p>
        </w:tc>
        <w:tc>
          <w:tcPr>
            <w:tcW w:w="2818" w:type="dxa"/>
            <w:tcBorders>
              <w:tl2br w:val="nil"/>
              <w:tr2bl w:val="nil"/>
            </w:tcBorders>
            <w:shd w:val="clear" w:color="auto" w:fill="auto"/>
            <w:tcMar>
              <w:top w:w="15" w:type="dxa"/>
              <w:left w:w="15" w:type="dxa"/>
              <w:right w:w="15" w:type="dxa"/>
            </w:tcMar>
            <w:vAlign w:val="center"/>
          </w:tcPr>
          <w:p w14:paraId="00888C2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福州市城乡建设局、福州市城市管理委员会、福州市公安局交通警察支队、福州市通信发展管理办公室、福州市供电公司、各区民政局</w:t>
            </w:r>
          </w:p>
        </w:tc>
      </w:tr>
      <w:tr w14:paraId="7523D6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2C5B8DA">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40</w:t>
            </w:r>
          </w:p>
        </w:tc>
        <w:tc>
          <w:tcPr>
            <w:tcW w:w="2350" w:type="dxa"/>
            <w:tcBorders>
              <w:tl2br w:val="nil"/>
              <w:tr2bl w:val="nil"/>
            </w:tcBorders>
            <w:shd w:val="clear" w:color="auto" w:fill="auto"/>
            <w:tcMar>
              <w:top w:w="15" w:type="dxa"/>
              <w:left w:w="15" w:type="dxa"/>
              <w:right w:w="15" w:type="dxa"/>
            </w:tcMar>
            <w:vAlign w:val="center"/>
          </w:tcPr>
          <w:p w14:paraId="734EA81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建成区道路网密度（公里/平方公里）</w:t>
            </w:r>
          </w:p>
        </w:tc>
        <w:tc>
          <w:tcPr>
            <w:tcW w:w="2430" w:type="dxa"/>
            <w:tcBorders>
              <w:tl2br w:val="nil"/>
              <w:tr2bl w:val="nil"/>
            </w:tcBorders>
            <w:shd w:val="clear" w:color="auto" w:fill="auto"/>
            <w:tcMar>
              <w:top w:w="15" w:type="dxa"/>
              <w:left w:w="15" w:type="dxa"/>
              <w:right w:w="15" w:type="dxa"/>
            </w:tcMar>
            <w:vAlign w:val="center"/>
          </w:tcPr>
          <w:p w14:paraId="27300F0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建成区内的主次支路道路长度（公里）</w:t>
            </w:r>
          </w:p>
        </w:tc>
        <w:tc>
          <w:tcPr>
            <w:tcW w:w="2818" w:type="dxa"/>
            <w:tcBorders>
              <w:tl2br w:val="nil"/>
              <w:tr2bl w:val="nil"/>
            </w:tcBorders>
            <w:shd w:val="clear" w:color="auto" w:fill="auto"/>
            <w:tcMar>
              <w:top w:w="15" w:type="dxa"/>
              <w:left w:w="15" w:type="dxa"/>
              <w:right w:w="15" w:type="dxa"/>
            </w:tcMar>
            <w:vAlign w:val="center"/>
          </w:tcPr>
          <w:p w14:paraId="5A0B7EB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w:t>
            </w:r>
          </w:p>
        </w:tc>
      </w:tr>
      <w:tr w14:paraId="778482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E6BD260">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41</w:t>
            </w:r>
          </w:p>
        </w:tc>
        <w:tc>
          <w:tcPr>
            <w:tcW w:w="2350" w:type="dxa"/>
            <w:tcBorders>
              <w:tl2br w:val="nil"/>
              <w:tr2bl w:val="nil"/>
            </w:tcBorders>
            <w:shd w:val="clear" w:color="auto" w:fill="auto"/>
            <w:tcMar>
              <w:top w:w="15" w:type="dxa"/>
              <w:left w:w="15" w:type="dxa"/>
              <w:right w:w="15" w:type="dxa"/>
            </w:tcMar>
            <w:vAlign w:val="center"/>
          </w:tcPr>
          <w:p w14:paraId="0B79874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建成区内道路面积率（%）</w:t>
            </w:r>
          </w:p>
        </w:tc>
        <w:tc>
          <w:tcPr>
            <w:tcW w:w="2430" w:type="dxa"/>
            <w:tcBorders>
              <w:tl2br w:val="nil"/>
              <w:tr2bl w:val="nil"/>
            </w:tcBorders>
            <w:shd w:val="clear" w:color="auto" w:fill="auto"/>
            <w:tcMar>
              <w:top w:w="15" w:type="dxa"/>
              <w:left w:w="15" w:type="dxa"/>
              <w:right w:w="15" w:type="dxa"/>
            </w:tcMar>
            <w:vAlign w:val="center"/>
          </w:tcPr>
          <w:p w14:paraId="59F6229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建成区内道路用地总面积</w:t>
            </w:r>
          </w:p>
        </w:tc>
        <w:tc>
          <w:tcPr>
            <w:tcW w:w="2818" w:type="dxa"/>
            <w:tcBorders>
              <w:tl2br w:val="nil"/>
              <w:tr2bl w:val="nil"/>
            </w:tcBorders>
            <w:shd w:val="clear" w:color="auto" w:fill="auto"/>
            <w:tcMar>
              <w:top w:w="15" w:type="dxa"/>
              <w:left w:w="15" w:type="dxa"/>
              <w:right w:w="15" w:type="dxa"/>
            </w:tcMar>
            <w:vAlign w:val="center"/>
          </w:tcPr>
          <w:p w14:paraId="118D973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w:t>
            </w:r>
          </w:p>
        </w:tc>
      </w:tr>
      <w:tr w14:paraId="61C71F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60C18F89">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42</w:t>
            </w:r>
          </w:p>
        </w:tc>
        <w:tc>
          <w:tcPr>
            <w:tcW w:w="2350" w:type="dxa"/>
            <w:tcBorders>
              <w:tl2br w:val="nil"/>
              <w:tr2bl w:val="nil"/>
            </w:tcBorders>
            <w:shd w:val="clear" w:color="auto" w:fill="auto"/>
            <w:tcMar>
              <w:top w:w="15" w:type="dxa"/>
              <w:left w:w="15" w:type="dxa"/>
              <w:right w:w="15" w:type="dxa"/>
            </w:tcMar>
            <w:vAlign w:val="center"/>
          </w:tcPr>
          <w:p w14:paraId="0050323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建成区完整居住社区覆盖率（%）</w:t>
            </w:r>
          </w:p>
        </w:tc>
        <w:tc>
          <w:tcPr>
            <w:tcW w:w="2430" w:type="dxa"/>
            <w:tcBorders>
              <w:tl2br w:val="nil"/>
              <w:tr2bl w:val="nil"/>
            </w:tcBorders>
            <w:shd w:val="clear" w:color="auto" w:fill="auto"/>
            <w:tcMar>
              <w:top w:w="15" w:type="dxa"/>
              <w:left w:w="15" w:type="dxa"/>
              <w:right w:w="15" w:type="dxa"/>
            </w:tcMar>
            <w:vAlign w:val="center"/>
          </w:tcPr>
          <w:p w14:paraId="65C6D01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抽查完整社区达标社区数量</w:t>
            </w:r>
          </w:p>
        </w:tc>
        <w:tc>
          <w:tcPr>
            <w:tcW w:w="2818" w:type="dxa"/>
            <w:tcBorders>
              <w:tl2br w:val="nil"/>
              <w:tr2bl w:val="nil"/>
            </w:tcBorders>
            <w:shd w:val="clear" w:color="auto" w:fill="auto"/>
            <w:tcMar>
              <w:top w:w="15" w:type="dxa"/>
              <w:left w:w="15" w:type="dxa"/>
              <w:right w:w="15" w:type="dxa"/>
            </w:tcMar>
            <w:vAlign w:val="center"/>
          </w:tcPr>
          <w:p w14:paraId="517C39E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福州市民政局、福州市自然资源规划局、福州市住房保障和房产管理局</w:t>
            </w:r>
          </w:p>
        </w:tc>
      </w:tr>
      <w:tr w14:paraId="4CD1C4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A72DC64">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43</w:t>
            </w:r>
          </w:p>
        </w:tc>
        <w:tc>
          <w:tcPr>
            <w:tcW w:w="2350" w:type="dxa"/>
            <w:tcBorders>
              <w:tl2br w:val="nil"/>
              <w:tr2bl w:val="nil"/>
            </w:tcBorders>
            <w:shd w:val="clear" w:color="auto" w:fill="auto"/>
            <w:tcMar>
              <w:top w:w="15" w:type="dxa"/>
              <w:left w:w="15" w:type="dxa"/>
              <w:right w:w="15" w:type="dxa"/>
            </w:tcMar>
            <w:vAlign w:val="center"/>
          </w:tcPr>
          <w:p w14:paraId="0792EA7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社区养老服务设施覆盖率（%）</w:t>
            </w:r>
          </w:p>
        </w:tc>
        <w:tc>
          <w:tcPr>
            <w:tcW w:w="2430" w:type="dxa"/>
            <w:tcBorders>
              <w:tl2br w:val="nil"/>
              <w:tr2bl w:val="nil"/>
            </w:tcBorders>
            <w:shd w:val="clear" w:color="auto" w:fill="auto"/>
            <w:tcMar>
              <w:top w:w="15" w:type="dxa"/>
              <w:left w:w="15" w:type="dxa"/>
              <w:right w:w="15" w:type="dxa"/>
            </w:tcMar>
            <w:vAlign w:val="center"/>
          </w:tcPr>
          <w:p w14:paraId="3ED1A87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建成区内有养老服务设施的社区数</w:t>
            </w:r>
          </w:p>
        </w:tc>
        <w:tc>
          <w:tcPr>
            <w:tcW w:w="2818" w:type="dxa"/>
            <w:tcBorders>
              <w:tl2br w:val="nil"/>
              <w:tr2bl w:val="nil"/>
            </w:tcBorders>
            <w:shd w:val="clear" w:color="auto" w:fill="auto"/>
            <w:tcMar>
              <w:top w:w="15" w:type="dxa"/>
              <w:left w:w="15" w:type="dxa"/>
              <w:right w:w="15" w:type="dxa"/>
            </w:tcMar>
            <w:vAlign w:val="center"/>
          </w:tcPr>
          <w:p w14:paraId="3D8D8DE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福州市民政局</w:t>
            </w:r>
          </w:p>
        </w:tc>
      </w:tr>
      <w:tr w14:paraId="0E1A19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1145A437">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44</w:t>
            </w:r>
          </w:p>
        </w:tc>
        <w:tc>
          <w:tcPr>
            <w:tcW w:w="2350" w:type="dxa"/>
            <w:tcBorders>
              <w:tl2br w:val="nil"/>
              <w:tr2bl w:val="nil"/>
            </w:tcBorders>
            <w:shd w:val="clear" w:color="auto" w:fill="auto"/>
            <w:tcMar>
              <w:top w:w="15" w:type="dxa"/>
              <w:left w:w="15" w:type="dxa"/>
              <w:right w:w="15" w:type="dxa"/>
            </w:tcMar>
            <w:vAlign w:val="center"/>
          </w:tcPr>
          <w:p w14:paraId="13745E6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建成区慢行道密度（公里/平方公里）</w:t>
            </w:r>
          </w:p>
        </w:tc>
        <w:tc>
          <w:tcPr>
            <w:tcW w:w="2430" w:type="dxa"/>
            <w:tcBorders>
              <w:tl2br w:val="nil"/>
              <w:tr2bl w:val="nil"/>
            </w:tcBorders>
            <w:shd w:val="clear" w:color="auto" w:fill="auto"/>
            <w:tcMar>
              <w:top w:w="15" w:type="dxa"/>
              <w:left w:w="15" w:type="dxa"/>
              <w:right w:w="15" w:type="dxa"/>
            </w:tcMar>
            <w:vAlign w:val="center"/>
          </w:tcPr>
          <w:p w14:paraId="250FFE8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建成区内人行道长度</w:t>
            </w:r>
          </w:p>
        </w:tc>
        <w:tc>
          <w:tcPr>
            <w:tcW w:w="2818" w:type="dxa"/>
            <w:tcBorders>
              <w:tl2br w:val="nil"/>
              <w:tr2bl w:val="nil"/>
            </w:tcBorders>
            <w:shd w:val="clear" w:color="auto" w:fill="auto"/>
            <w:tcMar>
              <w:top w:w="15" w:type="dxa"/>
              <w:left w:w="15" w:type="dxa"/>
              <w:right w:w="15" w:type="dxa"/>
            </w:tcMar>
            <w:vAlign w:val="center"/>
          </w:tcPr>
          <w:p w14:paraId="188EFAD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福州市城乡建设局、福州市城市管理委员会、福州市自然资源和规划局、福州市交通局</w:t>
            </w:r>
          </w:p>
        </w:tc>
      </w:tr>
      <w:tr w14:paraId="408DC6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5DD2FDCC">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45</w:t>
            </w:r>
          </w:p>
        </w:tc>
        <w:tc>
          <w:tcPr>
            <w:tcW w:w="2350" w:type="dxa"/>
            <w:tcBorders>
              <w:tl2br w:val="nil"/>
              <w:tr2bl w:val="nil"/>
            </w:tcBorders>
            <w:shd w:val="clear" w:color="auto" w:fill="auto"/>
            <w:tcMar>
              <w:top w:w="15" w:type="dxa"/>
              <w:left w:w="15" w:type="dxa"/>
              <w:right w:w="15" w:type="dxa"/>
            </w:tcMar>
            <w:vAlign w:val="center"/>
          </w:tcPr>
          <w:p w14:paraId="65F2E97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建成区慢行道密度（公里/平方公里）</w:t>
            </w:r>
          </w:p>
        </w:tc>
        <w:tc>
          <w:tcPr>
            <w:tcW w:w="2430" w:type="dxa"/>
            <w:tcBorders>
              <w:tl2br w:val="nil"/>
              <w:tr2bl w:val="nil"/>
            </w:tcBorders>
            <w:shd w:val="clear" w:color="auto" w:fill="auto"/>
            <w:tcMar>
              <w:top w:w="15" w:type="dxa"/>
              <w:left w:w="15" w:type="dxa"/>
              <w:right w:w="15" w:type="dxa"/>
            </w:tcMar>
            <w:vAlign w:val="center"/>
          </w:tcPr>
          <w:p w14:paraId="30CD468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建成区内非机动车道长度</w:t>
            </w:r>
          </w:p>
        </w:tc>
        <w:tc>
          <w:tcPr>
            <w:tcW w:w="2818" w:type="dxa"/>
            <w:tcBorders>
              <w:tl2br w:val="nil"/>
              <w:tr2bl w:val="nil"/>
            </w:tcBorders>
            <w:shd w:val="clear" w:color="auto" w:fill="auto"/>
            <w:tcMar>
              <w:top w:w="15" w:type="dxa"/>
              <w:left w:w="15" w:type="dxa"/>
              <w:right w:w="15" w:type="dxa"/>
            </w:tcMar>
            <w:vAlign w:val="center"/>
          </w:tcPr>
          <w:p w14:paraId="66F363E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福州市城乡建设局、福州市城市管理委员会、福州市自然资源和规划局、福州市交通局</w:t>
            </w:r>
          </w:p>
        </w:tc>
      </w:tr>
      <w:tr w14:paraId="55ECCD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12D29BF">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46</w:t>
            </w:r>
          </w:p>
        </w:tc>
        <w:tc>
          <w:tcPr>
            <w:tcW w:w="2350" w:type="dxa"/>
            <w:tcBorders>
              <w:tl2br w:val="nil"/>
              <w:tr2bl w:val="nil"/>
            </w:tcBorders>
            <w:shd w:val="clear" w:color="auto" w:fill="auto"/>
            <w:tcMar>
              <w:top w:w="15" w:type="dxa"/>
              <w:left w:w="15" w:type="dxa"/>
              <w:right w:w="15" w:type="dxa"/>
            </w:tcMar>
            <w:vAlign w:val="center"/>
          </w:tcPr>
          <w:p w14:paraId="15E5589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人行道步行适宜性</w:t>
            </w:r>
          </w:p>
        </w:tc>
        <w:tc>
          <w:tcPr>
            <w:tcW w:w="2430" w:type="dxa"/>
            <w:tcBorders>
              <w:tl2br w:val="nil"/>
              <w:tr2bl w:val="nil"/>
            </w:tcBorders>
            <w:shd w:val="clear" w:color="auto" w:fill="auto"/>
            <w:tcMar>
              <w:top w:w="15" w:type="dxa"/>
              <w:left w:w="15" w:type="dxa"/>
              <w:right w:w="15" w:type="dxa"/>
            </w:tcMar>
            <w:vAlign w:val="center"/>
          </w:tcPr>
          <w:p w14:paraId="642D3A8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5条人行道评分</w:t>
            </w:r>
          </w:p>
        </w:tc>
        <w:tc>
          <w:tcPr>
            <w:tcW w:w="2818" w:type="dxa"/>
            <w:tcBorders>
              <w:tl2br w:val="nil"/>
              <w:tr2bl w:val="nil"/>
            </w:tcBorders>
            <w:shd w:val="clear" w:color="auto" w:fill="auto"/>
            <w:tcMar>
              <w:top w:w="15" w:type="dxa"/>
              <w:left w:w="15" w:type="dxa"/>
              <w:right w:w="15" w:type="dxa"/>
            </w:tcMar>
            <w:vAlign w:val="center"/>
          </w:tcPr>
          <w:p w14:paraId="45637A9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福州市城乡建设局、福州市城市管理委员会、福州市自然资源和规划局、福州市交通局</w:t>
            </w:r>
          </w:p>
        </w:tc>
      </w:tr>
      <w:tr w14:paraId="6FFAC8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76071537">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47</w:t>
            </w:r>
          </w:p>
        </w:tc>
        <w:tc>
          <w:tcPr>
            <w:tcW w:w="2350" w:type="dxa"/>
            <w:tcBorders>
              <w:tl2br w:val="nil"/>
              <w:tr2bl w:val="nil"/>
            </w:tcBorders>
            <w:shd w:val="clear" w:color="auto" w:fill="auto"/>
            <w:tcMar>
              <w:top w:w="15" w:type="dxa"/>
              <w:left w:w="15" w:type="dxa"/>
              <w:right w:w="15" w:type="dxa"/>
            </w:tcMar>
            <w:vAlign w:val="center"/>
          </w:tcPr>
          <w:p w14:paraId="2D89FC6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建成区公交站点（或轨道交通站点）覆盖率</w:t>
            </w:r>
          </w:p>
        </w:tc>
        <w:tc>
          <w:tcPr>
            <w:tcW w:w="2430" w:type="dxa"/>
            <w:tcBorders>
              <w:tl2br w:val="nil"/>
              <w:tr2bl w:val="nil"/>
            </w:tcBorders>
            <w:shd w:val="clear" w:color="auto" w:fill="auto"/>
            <w:tcMar>
              <w:top w:w="15" w:type="dxa"/>
              <w:left w:w="15" w:type="dxa"/>
              <w:right w:w="15" w:type="dxa"/>
            </w:tcMar>
            <w:vAlign w:val="center"/>
          </w:tcPr>
          <w:p w14:paraId="144FA22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城市建成区公交站点（或轨道交通站点）服务半径覆盖面积</w:t>
            </w:r>
          </w:p>
        </w:tc>
        <w:tc>
          <w:tcPr>
            <w:tcW w:w="2818" w:type="dxa"/>
            <w:tcBorders>
              <w:tl2br w:val="nil"/>
              <w:tr2bl w:val="nil"/>
            </w:tcBorders>
            <w:shd w:val="clear" w:color="auto" w:fill="auto"/>
            <w:tcMar>
              <w:top w:w="15" w:type="dxa"/>
              <w:left w:w="15" w:type="dxa"/>
              <w:right w:w="15" w:type="dxa"/>
            </w:tcMar>
            <w:vAlign w:val="center"/>
          </w:tcPr>
          <w:p w14:paraId="37DE82C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福州市交通局、福州市地铁集团</w:t>
            </w:r>
          </w:p>
        </w:tc>
      </w:tr>
      <w:tr w14:paraId="30C9AC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C13B033">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48</w:t>
            </w:r>
          </w:p>
        </w:tc>
        <w:tc>
          <w:tcPr>
            <w:tcW w:w="2350" w:type="dxa"/>
            <w:tcBorders>
              <w:tl2br w:val="nil"/>
              <w:tr2bl w:val="nil"/>
            </w:tcBorders>
            <w:shd w:val="clear" w:color="auto" w:fill="auto"/>
            <w:tcMar>
              <w:top w:w="15" w:type="dxa"/>
              <w:left w:w="15" w:type="dxa"/>
              <w:right w:w="15" w:type="dxa"/>
            </w:tcMar>
            <w:vAlign w:val="center"/>
          </w:tcPr>
          <w:p w14:paraId="502D8E8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每万人拥有公共汽（电）车（标台）</w:t>
            </w:r>
          </w:p>
        </w:tc>
        <w:tc>
          <w:tcPr>
            <w:tcW w:w="2430" w:type="dxa"/>
            <w:tcBorders>
              <w:tl2br w:val="nil"/>
              <w:tr2bl w:val="nil"/>
            </w:tcBorders>
            <w:shd w:val="clear" w:color="auto" w:fill="auto"/>
            <w:tcMar>
              <w:top w:w="15" w:type="dxa"/>
              <w:left w:w="15" w:type="dxa"/>
              <w:right w:w="15" w:type="dxa"/>
            </w:tcMar>
            <w:vAlign w:val="center"/>
          </w:tcPr>
          <w:p w14:paraId="451D585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共汽电车辆标台数</w:t>
            </w:r>
          </w:p>
        </w:tc>
        <w:tc>
          <w:tcPr>
            <w:tcW w:w="2818" w:type="dxa"/>
            <w:tcBorders>
              <w:tl2br w:val="nil"/>
              <w:tr2bl w:val="nil"/>
            </w:tcBorders>
            <w:shd w:val="clear" w:color="auto" w:fill="auto"/>
            <w:tcMar>
              <w:top w:w="15" w:type="dxa"/>
              <w:left w:w="15" w:type="dxa"/>
              <w:right w:w="15" w:type="dxa"/>
            </w:tcMar>
            <w:vAlign w:val="center"/>
          </w:tcPr>
          <w:p w14:paraId="0E1186E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福州市交通局</w:t>
            </w:r>
          </w:p>
        </w:tc>
      </w:tr>
      <w:tr w14:paraId="766954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C3C0D8E">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49</w:t>
            </w:r>
          </w:p>
        </w:tc>
        <w:tc>
          <w:tcPr>
            <w:tcW w:w="2350" w:type="dxa"/>
            <w:tcBorders>
              <w:tl2br w:val="nil"/>
              <w:tr2bl w:val="nil"/>
            </w:tcBorders>
            <w:shd w:val="clear" w:color="auto" w:fill="auto"/>
            <w:tcMar>
              <w:top w:w="15" w:type="dxa"/>
              <w:left w:w="15" w:type="dxa"/>
              <w:right w:w="15" w:type="dxa"/>
            </w:tcMar>
            <w:vAlign w:val="center"/>
          </w:tcPr>
          <w:p w14:paraId="4D113DC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小汽车保有量与停车位的比例</w:t>
            </w:r>
          </w:p>
        </w:tc>
        <w:tc>
          <w:tcPr>
            <w:tcW w:w="2430" w:type="dxa"/>
            <w:tcBorders>
              <w:tl2br w:val="nil"/>
              <w:tr2bl w:val="nil"/>
            </w:tcBorders>
            <w:shd w:val="clear" w:color="auto" w:fill="auto"/>
            <w:tcMar>
              <w:top w:w="15" w:type="dxa"/>
              <w:left w:w="15" w:type="dxa"/>
              <w:right w:w="15" w:type="dxa"/>
            </w:tcMar>
            <w:vAlign w:val="center"/>
          </w:tcPr>
          <w:p w14:paraId="23EF713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小汽车的数量（一般是指在当地登记的车辆）</w:t>
            </w:r>
          </w:p>
        </w:tc>
        <w:tc>
          <w:tcPr>
            <w:tcW w:w="2818" w:type="dxa"/>
            <w:tcBorders>
              <w:tl2br w:val="nil"/>
              <w:tr2bl w:val="nil"/>
            </w:tcBorders>
            <w:shd w:val="clear" w:color="auto" w:fill="auto"/>
            <w:tcMar>
              <w:top w:w="15" w:type="dxa"/>
              <w:left w:w="15" w:type="dxa"/>
              <w:right w:w="15" w:type="dxa"/>
            </w:tcMar>
            <w:vAlign w:val="center"/>
          </w:tcPr>
          <w:p w14:paraId="4B2202B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福州市公安局交通警察支队、福州市自然资源和规划局</w:t>
            </w:r>
          </w:p>
        </w:tc>
      </w:tr>
      <w:tr w14:paraId="6276D1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1B330CFB">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50</w:t>
            </w:r>
          </w:p>
        </w:tc>
        <w:tc>
          <w:tcPr>
            <w:tcW w:w="2350" w:type="dxa"/>
            <w:tcBorders>
              <w:tl2br w:val="nil"/>
              <w:tr2bl w:val="nil"/>
            </w:tcBorders>
            <w:shd w:val="clear" w:color="auto" w:fill="auto"/>
            <w:tcMar>
              <w:top w:w="15" w:type="dxa"/>
              <w:left w:w="15" w:type="dxa"/>
              <w:right w:w="15" w:type="dxa"/>
            </w:tcMar>
            <w:vAlign w:val="center"/>
          </w:tcPr>
          <w:p w14:paraId="49157BE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小汽车保有量与停车位的比例</w:t>
            </w:r>
          </w:p>
        </w:tc>
        <w:tc>
          <w:tcPr>
            <w:tcW w:w="2430" w:type="dxa"/>
            <w:tcBorders>
              <w:tl2br w:val="nil"/>
              <w:tr2bl w:val="nil"/>
            </w:tcBorders>
            <w:shd w:val="clear" w:color="auto" w:fill="auto"/>
            <w:tcMar>
              <w:top w:w="15" w:type="dxa"/>
              <w:left w:w="15" w:type="dxa"/>
              <w:right w:w="15" w:type="dxa"/>
            </w:tcMar>
            <w:vAlign w:val="center"/>
          </w:tcPr>
          <w:p w14:paraId="17DF2B3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停车位数量</w:t>
            </w:r>
          </w:p>
        </w:tc>
        <w:tc>
          <w:tcPr>
            <w:tcW w:w="2818" w:type="dxa"/>
            <w:tcBorders>
              <w:tl2br w:val="nil"/>
              <w:tr2bl w:val="nil"/>
            </w:tcBorders>
            <w:shd w:val="clear" w:color="auto" w:fill="auto"/>
            <w:tcMar>
              <w:top w:w="15" w:type="dxa"/>
              <w:left w:w="15" w:type="dxa"/>
              <w:right w:w="15" w:type="dxa"/>
            </w:tcMar>
            <w:vAlign w:val="center"/>
          </w:tcPr>
          <w:p w14:paraId="5A31129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福州市公安局交通警察支队、福州市自然资源和规划局</w:t>
            </w:r>
          </w:p>
        </w:tc>
      </w:tr>
      <w:tr w14:paraId="5F4E18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10DBD984">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51</w:t>
            </w:r>
          </w:p>
        </w:tc>
        <w:tc>
          <w:tcPr>
            <w:tcW w:w="2350" w:type="dxa"/>
            <w:tcBorders>
              <w:tl2br w:val="nil"/>
              <w:tr2bl w:val="nil"/>
            </w:tcBorders>
            <w:shd w:val="clear" w:color="auto" w:fill="auto"/>
            <w:tcMar>
              <w:top w:w="15" w:type="dxa"/>
              <w:left w:w="15" w:type="dxa"/>
              <w:right w:w="15" w:type="dxa"/>
            </w:tcMar>
            <w:vAlign w:val="center"/>
          </w:tcPr>
          <w:p w14:paraId="6F058F5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建成区公共空间无障碍设施覆盖率（%）</w:t>
            </w:r>
          </w:p>
        </w:tc>
        <w:tc>
          <w:tcPr>
            <w:tcW w:w="2430" w:type="dxa"/>
            <w:tcBorders>
              <w:tl2br w:val="nil"/>
              <w:tr2bl w:val="nil"/>
            </w:tcBorders>
            <w:shd w:val="clear" w:color="auto" w:fill="auto"/>
            <w:tcMar>
              <w:top w:w="15" w:type="dxa"/>
              <w:left w:w="15" w:type="dxa"/>
              <w:right w:w="15" w:type="dxa"/>
            </w:tcMar>
            <w:vAlign w:val="center"/>
          </w:tcPr>
          <w:p w14:paraId="178569F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无障碍设施覆盖公共建筑数</w:t>
            </w:r>
          </w:p>
        </w:tc>
        <w:tc>
          <w:tcPr>
            <w:tcW w:w="2818" w:type="dxa"/>
            <w:tcBorders>
              <w:tl2br w:val="nil"/>
              <w:tr2bl w:val="nil"/>
            </w:tcBorders>
            <w:shd w:val="clear" w:color="auto" w:fill="auto"/>
            <w:tcMar>
              <w:top w:w="15" w:type="dxa"/>
              <w:left w:w="15" w:type="dxa"/>
              <w:right w:w="15" w:type="dxa"/>
            </w:tcMar>
            <w:vAlign w:val="center"/>
          </w:tcPr>
          <w:p w14:paraId="6366E1C0">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福州市城乡建设局、福州市残联、福州市自然资源和规划局</w:t>
            </w:r>
          </w:p>
        </w:tc>
      </w:tr>
      <w:tr w14:paraId="6E2088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D1C0531">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52</w:t>
            </w:r>
          </w:p>
        </w:tc>
        <w:tc>
          <w:tcPr>
            <w:tcW w:w="2350" w:type="dxa"/>
            <w:tcBorders>
              <w:tl2br w:val="nil"/>
              <w:tr2bl w:val="nil"/>
            </w:tcBorders>
            <w:shd w:val="clear" w:color="auto" w:fill="auto"/>
            <w:tcMar>
              <w:top w:w="15" w:type="dxa"/>
              <w:left w:w="15" w:type="dxa"/>
              <w:right w:w="15" w:type="dxa"/>
            </w:tcMar>
            <w:vAlign w:val="center"/>
          </w:tcPr>
          <w:p w14:paraId="40E5895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建成区公共空间无障碍设施覆盖率（%）</w:t>
            </w:r>
          </w:p>
        </w:tc>
        <w:tc>
          <w:tcPr>
            <w:tcW w:w="2430" w:type="dxa"/>
            <w:tcBorders>
              <w:tl2br w:val="nil"/>
              <w:tr2bl w:val="nil"/>
            </w:tcBorders>
            <w:shd w:val="clear" w:color="auto" w:fill="auto"/>
            <w:tcMar>
              <w:top w:w="15" w:type="dxa"/>
              <w:left w:w="15" w:type="dxa"/>
              <w:right w:w="15" w:type="dxa"/>
            </w:tcMar>
            <w:vAlign w:val="center"/>
          </w:tcPr>
          <w:p w14:paraId="23E5814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总公共建筑数</w:t>
            </w:r>
          </w:p>
        </w:tc>
        <w:tc>
          <w:tcPr>
            <w:tcW w:w="2818" w:type="dxa"/>
            <w:tcBorders>
              <w:tl2br w:val="nil"/>
              <w:tr2bl w:val="nil"/>
            </w:tcBorders>
            <w:shd w:val="clear" w:color="auto" w:fill="auto"/>
            <w:tcMar>
              <w:top w:w="15" w:type="dxa"/>
              <w:left w:w="15" w:type="dxa"/>
              <w:right w:w="15" w:type="dxa"/>
            </w:tcMar>
            <w:vAlign w:val="center"/>
          </w:tcPr>
          <w:p w14:paraId="68E6DDB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福州市城乡建设局、福州市残联、福州市自然资源和规划局</w:t>
            </w:r>
          </w:p>
        </w:tc>
      </w:tr>
      <w:tr w14:paraId="57C910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48B73E1">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53</w:t>
            </w:r>
          </w:p>
        </w:tc>
        <w:tc>
          <w:tcPr>
            <w:tcW w:w="2350" w:type="dxa"/>
            <w:tcBorders>
              <w:tl2br w:val="nil"/>
              <w:tr2bl w:val="nil"/>
            </w:tcBorders>
            <w:shd w:val="clear" w:color="auto" w:fill="auto"/>
            <w:tcMar>
              <w:top w:w="15" w:type="dxa"/>
              <w:left w:w="15" w:type="dxa"/>
              <w:right w:w="15" w:type="dxa"/>
            </w:tcMar>
            <w:vAlign w:val="center"/>
          </w:tcPr>
          <w:p w14:paraId="4CDA8EB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建成区公共空间无障碍设施覆盖率（%）</w:t>
            </w:r>
          </w:p>
        </w:tc>
        <w:tc>
          <w:tcPr>
            <w:tcW w:w="2430" w:type="dxa"/>
            <w:tcBorders>
              <w:tl2br w:val="nil"/>
              <w:tr2bl w:val="nil"/>
            </w:tcBorders>
            <w:shd w:val="clear" w:color="auto" w:fill="auto"/>
            <w:tcMar>
              <w:top w:w="15" w:type="dxa"/>
              <w:left w:w="15" w:type="dxa"/>
              <w:right w:w="15" w:type="dxa"/>
            </w:tcMar>
            <w:vAlign w:val="center"/>
          </w:tcPr>
          <w:p w14:paraId="0FC1E9C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无障碍设施覆盖路段长度</w:t>
            </w:r>
          </w:p>
        </w:tc>
        <w:tc>
          <w:tcPr>
            <w:tcW w:w="2818" w:type="dxa"/>
            <w:tcBorders>
              <w:tl2br w:val="nil"/>
              <w:tr2bl w:val="nil"/>
            </w:tcBorders>
            <w:shd w:val="clear" w:color="auto" w:fill="auto"/>
            <w:tcMar>
              <w:top w:w="15" w:type="dxa"/>
              <w:left w:w="15" w:type="dxa"/>
              <w:right w:w="15" w:type="dxa"/>
            </w:tcMar>
            <w:vAlign w:val="center"/>
          </w:tcPr>
          <w:p w14:paraId="7F77AC7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福州市城乡建设局、福州市残联、福州市自然资源和规划局</w:t>
            </w:r>
          </w:p>
        </w:tc>
      </w:tr>
      <w:tr w14:paraId="34E9D9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8F3DC8C">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54</w:t>
            </w:r>
          </w:p>
        </w:tc>
        <w:tc>
          <w:tcPr>
            <w:tcW w:w="2350" w:type="dxa"/>
            <w:tcBorders>
              <w:tl2br w:val="nil"/>
              <w:tr2bl w:val="nil"/>
            </w:tcBorders>
            <w:shd w:val="clear" w:color="auto" w:fill="auto"/>
            <w:tcMar>
              <w:top w:w="15" w:type="dxa"/>
              <w:left w:w="15" w:type="dxa"/>
              <w:right w:w="15" w:type="dxa"/>
            </w:tcMar>
            <w:vAlign w:val="center"/>
          </w:tcPr>
          <w:p w14:paraId="039B2590">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建成区公共空间无障碍设施覆盖率（%）</w:t>
            </w:r>
          </w:p>
        </w:tc>
        <w:tc>
          <w:tcPr>
            <w:tcW w:w="2430" w:type="dxa"/>
            <w:tcBorders>
              <w:tl2br w:val="nil"/>
              <w:tr2bl w:val="nil"/>
            </w:tcBorders>
            <w:shd w:val="clear" w:color="auto" w:fill="auto"/>
            <w:tcMar>
              <w:top w:w="15" w:type="dxa"/>
              <w:left w:w="15" w:type="dxa"/>
              <w:right w:w="15" w:type="dxa"/>
            </w:tcMar>
            <w:vAlign w:val="center"/>
          </w:tcPr>
          <w:p w14:paraId="32267A9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总路段长度</w:t>
            </w:r>
          </w:p>
        </w:tc>
        <w:tc>
          <w:tcPr>
            <w:tcW w:w="2818" w:type="dxa"/>
            <w:tcBorders>
              <w:tl2br w:val="nil"/>
              <w:tr2bl w:val="nil"/>
            </w:tcBorders>
            <w:shd w:val="clear" w:color="auto" w:fill="auto"/>
            <w:tcMar>
              <w:top w:w="15" w:type="dxa"/>
              <w:left w:w="15" w:type="dxa"/>
              <w:right w:w="15" w:type="dxa"/>
            </w:tcMar>
            <w:vAlign w:val="center"/>
          </w:tcPr>
          <w:p w14:paraId="1F83199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福州市城乡建设局、福州市残联、福州市自然资源和规划局</w:t>
            </w:r>
          </w:p>
        </w:tc>
      </w:tr>
      <w:tr w14:paraId="16ED9C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56540198">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55</w:t>
            </w:r>
          </w:p>
        </w:tc>
        <w:tc>
          <w:tcPr>
            <w:tcW w:w="2350" w:type="dxa"/>
            <w:tcBorders>
              <w:tl2br w:val="nil"/>
              <w:tr2bl w:val="nil"/>
            </w:tcBorders>
            <w:shd w:val="clear" w:color="auto" w:fill="auto"/>
            <w:tcMar>
              <w:top w:w="15" w:type="dxa"/>
              <w:left w:w="15" w:type="dxa"/>
              <w:right w:w="15" w:type="dxa"/>
            </w:tcMar>
            <w:vAlign w:val="center"/>
          </w:tcPr>
          <w:p w14:paraId="004E025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建成区高峰时段主干道平均车速（公里/小时）</w:t>
            </w:r>
          </w:p>
        </w:tc>
        <w:tc>
          <w:tcPr>
            <w:tcW w:w="2430" w:type="dxa"/>
            <w:tcBorders>
              <w:tl2br w:val="nil"/>
              <w:tr2bl w:val="nil"/>
            </w:tcBorders>
            <w:shd w:val="clear" w:color="auto" w:fill="auto"/>
            <w:tcMar>
              <w:top w:w="15" w:type="dxa"/>
              <w:left w:w="15" w:type="dxa"/>
              <w:right w:w="15" w:type="dxa"/>
            </w:tcMar>
            <w:vAlign w:val="center"/>
          </w:tcPr>
          <w:p w14:paraId="0C907DA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建成区高峰时段主干道平均车速</w:t>
            </w:r>
          </w:p>
        </w:tc>
        <w:tc>
          <w:tcPr>
            <w:tcW w:w="2818" w:type="dxa"/>
            <w:tcBorders>
              <w:tl2br w:val="nil"/>
              <w:tr2bl w:val="nil"/>
            </w:tcBorders>
            <w:shd w:val="clear" w:color="auto" w:fill="auto"/>
            <w:tcMar>
              <w:top w:w="15" w:type="dxa"/>
              <w:left w:w="15" w:type="dxa"/>
              <w:right w:w="15" w:type="dxa"/>
            </w:tcMar>
            <w:vAlign w:val="center"/>
          </w:tcPr>
          <w:p w14:paraId="65DD023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福州市公安局交通警察支队</w:t>
            </w:r>
          </w:p>
        </w:tc>
      </w:tr>
      <w:tr w14:paraId="39F09F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5A35B84D">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56</w:t>
            </w:r>
          </w:p>
        </w:tc>
        <w:tc>
          <w:tcPr>
            <w:tcW w:w="2350" w:type="dxa"/>
            <w:tcBorders>
              <w:tl2br w:val="nil"/>
              <w:tr2bl w:val="nil"/>
            </w:tcBorders>
            <w:shd w:val="clear" w:color="auto" w:fill="auto"/>
            <w:tcMar>
              <w:top w:w="15" w:type="dxa"/>
              <w:left w:w="15" w:type="dxa"/>
              <w:right w:w="15" w:type="dxa"/>
            </w:tcMar>
            <w:vAlign w:val="center"/>
          </w:tcPr>
          <w:p w14:paraId="2C5CCEA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高峰时段主要交叉口守法率（%）</w:t>
            </w:r>
          </w:p>
        </w:tc>
        <w:tc>
          <w:tcPr>
            <w:tcW w:w="2430" w:type="dxa"/>
            <w:tcBorders>
              <w:tl2br w:val="nil"/>
              <w:tr2bl w:val="nil"/>
            </w:tcBorders>
            <w:shd w:val="clear" w:color="auto" w:fill="auto"/>
            <w:tcMar>
              <w:top w:w="15" w:type="dxa"/>
              <w:left w:w="15" w:type="dxa"/>
              <w:right w:w="15" w:type="dxa"/>
            </w:tcMar>
            <w:vAlign w:val="center"/>
          </w:tcPr>
          <w:p w14:paraId="2396D79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高峰时段主要交叉口守法通行数</w:t>
            </w:r>
          </w:p>
        </w:tc>
        <w:tc>
          <w:tcPr>
            <w:tcW w:w="2818" w:type="dxa"/>
            <w:tcBorders>
              <w:tl2br w:val="nil"/>
              <w:tr2bl w:val="nil"/>
            </w:tcBorders>
            <w:shd w:val="clear" w:color="auto" w:fill="auto"/>
            <w:tcMar>
              <w:top w:w="15" w:type="dxa"/>
              <w:left w:w="15" w:type="dxa"/>
              <w:right w:w="15" w:type="dxa"/>
            </w:tcMar>
            <w:vAlign w:val="center"/>
          </w:tcPr>
          <w:p w14:paraId="661AF79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福州市公安局交通警察支队</w:t>
            </w:r>
          </w:p>
        </w:tc>
      </w:tr>
      <w:tr w14:paraId="06F120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E7072AE">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57</w:t>
            </w:r>
          </w:p>
        </w:tc>
        <w:tc>
          <w:tcPr>
            <w:tcW w:w="2350" w:type="dxa"/>
            <w:tcBorders>
              <w:tl2br w:val="nil"/>
              <w:tr2bl w:val="nil"/>
            </w:tcBorders>
            <w:shd w:val="clear" w:color="auto" w:fill="auto"/>
            <w:tcMar>
              <w:top w:w="15" w:type="dxa"/>
              <w:left w:w="15" w:type="dxa"/>
              <w:right w:w="15" w:type="dxa"/>
            </w:tcMar>
            <w:vAlign w:val="center"/>
          </w:tcPr>
          <w:p w14:paraId="353645C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高峰时段主要交叉口守法率（%）</w:t>
            </w:r>
          </w:p>
        </w:tc>
        <w:tc>
          <w:tcPr>
            <w:tcW w:w="2430" w:type="dxa"/>
            <w:tcBorders>
              <w:tl2br w:val="nil"/>
              <w:tr2bl w:val="nil"/>
            </w:tcBorders>
            <w:shd w:val="clear" w:color="auto" w:fill="auto"/>
            <w:tcMar>
              <w:top w:w="15" w:type="dxa"/>
              <w:left w:w="15" w:type="dxa"/>
              <w:right w:w="15" w:type="dxa"/>
            </w:tcMar>
            <w:vAlign w:val="center"/>
          </w:tcPr>
          <w:p w14:paraId="0CC0106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高峰时段主要交叉口总通行数</w:t>
            </w:r>
          </w:p>
        </w:tc>
        <w:tc>
          <w:tcPr>
            <w:tcW w:w="2818" w:type="dxa"/>
            <w:tcBorders>
              <w:tl2br w:val="nil"/>
              <w:tr2bl w:val="nil"/>
            </w:tcBorders>
            <w:shd w:val="clear" w:color="auto" w:fill="auto"/>
            <w:tcMar>
              <w:top w:w="15" w:type="dxa"/>
              <w:left w:w="15" w:type="dxa"/>
              <w:right w:w="15" w:type="dxa"/>
            </w:tcMar>
            <w:vAlign w:val="center"/>
          </w:tcPr>
          <w:p w14:paraId="1C317D6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福州市公安局交通警察支队</w:t>
            </w:r>
          </w:p>
        </w:tc>
      </w:tr>
      <w:tr w14:paraId="667713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A496623">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58</w:t>
            </w:r>
          </w:p>
        </w:tc>
        <w:tc>
          <w:tcPr>
            <w:tcW w:w="2350" w:type="dxa"/>
            <w:tcBorders>
              <w:tl2br w:val="nil"/>
              <w:tr2bl w:val="nil"/>
            </w:tcBorders>
            <w:shd w:val="clear" w:color="auto" w:fill="auto"/>
            <w:tcMar>
              <w:top w:w="15" w:type="dxa"/>
              <w:left w:w="15" w:type="dxa"/>
              <w:right w:w="15" w:type="dxa"/>
            </w:tcMar>
            <w:vAlign w:val="center"/>
          </w:tcPr>
          <w:p w14:paraId="7093987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非机动车道、行人路口守法率（%）</w:t>
            </w:r>
          </w:p>
        </w:tc>
        <w:tc>
          <w:tcPr>
            <w:tcW w:w="2430" w:type="dxa"/>
            <w:tcBorders>
              <w:tl2br w:val="nil"/>
              <w:tr2bl w:val="nil"/>
            </w:tcBorders>
            <w:shd w:val="clear" w:color="auto" w:fill="auto"/>
            <w:tcMar>
              <w:top w:w="15" w:type="dxa"/>
              <w:left w:w="15" w:type="dxa"/>
              <w:right w:w="15" w:type="dxa"/>
            </w:tcMar>
            <w:vAlign w:val="center"/>
          </w:tcPr>
          <w:p w14:paraId="4659014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非机动车守法通行数</w:t>
            </w:r>
          </w:p>
        </w:tc>
        <w:tc>
          <w:tcPr>
            <w:tcW w:w="2818" w:type="dxa"/>
            <w:tcBorders>
              <w:tl2br w:val="nil"/>
              <w:tr2bl w:val="nil"/>
            </w:tcBorders>
            <w:shd w:val="clear" w:color="auto" w:fill="auto"/>
            <w:tcMar>
              <w:top w:w="15" w:type="dxa"/>
              <w:left w:w="15" w:type="dxa"/>
              <w:right w:w="15" w:type="dxa"/>
            </w:tcMar>
            <w:vAlign w:val="center"/>
          </w:tcPr>
          <w:p w14:paraId="2D2924D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福州市公安局交通警察支队</w:t>
            </w:r>
          </w:p>
        </w:tc>
      </w:tr>
      <w:tr w14:paraId="045544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7418FADE">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59</w:t>
            </w:r>
          </w:p>
        </w:tc>
        <w:tc>
          <w:tcPr>
            <w:tcW w:w="2350" w:type="dxa"/>
            <w:tcBorders>
              <w:tl2br w:val="nil"/>
              <w:tr2bl w:val="nil"/>
            </w:tcBorders>
            <w:shd w:val="clear" w:color="auto" w:fill="auto"/>
            <w:tcMar>
              <w:top w:w="15" w:type="dxa"/>
              <w:left w:w="15" w:type="dxa"/>
              <w:right w:w="15" w:type="dxa"/>
            </w:tcMar>
            <w:vAlign w:val="center"/>
          </w:tcPr>
          <w:p w14:paraId="28022AD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非机动车道、行人路口守法率（%）</w:t>
            </w:r>
          </w:p>
        </w:tc>
        <w:tc>
          <w:tcPr>
            <w:tcW w:w="2430" w:type="dxa"/>
            <w:tcBorders>
              <w:tl2br w:val="nil"/>
              <w:tr2bl w:val="nil"/>
            </w:tcBorders>
            <w:shd w:val="clear" w:color="auto" w:fill="auto"/>
            <w:tcMar>
              <w:top w:w="15" w:type="dxa"/>
              <w:left w:w="15" w:type="dxa"/>
              <w:right w:w="15" w:type="dxa"/>
            </w:tcMar>
            <w:vAlign w:val="center"/>
          </w:tcPr>
          <w:p w14:paraId="446FDE1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非机动车总通行数</w:t>
            </w:r>
          </w:p>
        </w:tc>
        <w:tc>
          <w:tcPr>
            <w:tcW w:w="2818" w:type="dxa"/>
            <w:tcBorders>
              <w:tl2br w:val="nil"/>
              <w:tr2bl w:val="nil"/>
            </w:tcBorders>
            <w:shd w:val="clear" w:color="auto" w:fill="auto"/>
            <w:tcMar>
              <w:top w:w="15" w:type="dxa"/>
              <w:left w:w="15" w:type="dxa"/>
              <w:right w:w="15" w:type="dxa"/>
            </w:tcMar>
            <w:vAlign w:val="center"/>
          </w:tcPr>
          <w:p w14:paraId="798C64D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福州市公安局交通警察支队</w:t>
            </w:r>
          </w:p>
        </w:tc>
      </w:tr>
      <w:tr w14:paraId="5293A5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47E116E">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60</w:t>
            </w:r>
          </w:p>
        </w:tc>
        <w:tc>
          <w:tcPr>
            <w:tcW w:w="2350" w:type="dxa"/>
            <w:tcBorders>
              <w:tl2br w:val="nil"/>
              <w:tr2bl w:val="nil"/>
            </w:tcBorders>
            <w:shd w:val="clear" w:color="auto" w:fill="auto"/>
            <w:tcMar>
              <w:top w:w="15" w:type="dxa"/>
              <w:left w:w="15" w:type="dxa"/>
              <w:right w:w="15" w:type="dxa"/>
            </w:tcMar>
            <w:vAlign w:val="center"/>
          </w:tcPr>
          <w:p w14:paraId="50BF0D2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非机动车道、行人路口守法率（%）</w:t>
            </w:r>
          </w:p>
        </w:tc>
        <w:tc>
          <w:tcPr>
            <w:tcW w:w="2430" w:type="dxa"/>
            <w:tcBorders>
              <w:tl2br w:val="nil"/>
              <w:tr2bl w:val="nil"/>
            </w:tcBorders>
            <w:shd w:val="clear" w:color="auto" w:fill="auto"/>
            <w:tcMar>
              <w:top w:w="15" w:type="dxa"/>
              <w:left w:w="15" w:type="dxa"/>
              <w:right w:w="15" w:type="dxa"/>
            </w:tcMar>
            <w:vAlign w:val="center"/>
          </w:tcPr>
          <w:p w14:paraId="2959A97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行人路口守法通行数</w:t>
            </w:r>
          </w:p>
        </w:tc>
        <w:tc>
          <w:tcPr>
            <w:tcW w:w="2818" w:type="dxa"/>
            <w:tcBorders>
              <w:tl2br w:val="nil"/>
              <w:tr2bl w:val="nil"/>
            </w:tcBorders>
            <w:shd w:val="clear" w:color="auto" w:fill="auto"/>
            <w:tcMar>
              <w:top w:w="15" w:type="dxa"/>
              <w:left w:w="15" w:type="dxa"/>
              <w:right w:w="15" w:type="dxa"/>
            </w:tcMar>
            <w:vAlign w:val="center"/>
          </w:tcPr>
          <w:p w14:paraId="240B155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福州市公安局交通警察支队</w:t>
            </w:r>
          </w:p>
        </w:tc>
      </w:tr>
      <w:tr w14:paraId="14AEDE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F3D654A">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61</w:t>
            </w:r>
          </w:p>
        </w:tc>
        <w:tc>
          <w:tcPr>
            <w:tcW w:w="2350" w:type="dxa"/>
            <w:tcBorders>
              <w:tl2br w:val="nil"/>
              <w:tr2bl w:val="nil"/>
            </w:tcBorders>
            <w:shd w:val="clear" w:color="auto" w:fill="auto"/>
            <w:tcMar>
              <w:top w:w="15" w:type="dxa"/>
              <w:left w:w="15" w:type="dxa"/>
              <w:right w:w="15" w:type="dxa"/>
            </w:tcMar>
            <w:vAlign w:val="center"/>
          </w:tcPr>
          <w:p w14:paraId="33AF1A2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非机动车道、行人路口守法率（%）</w:t>
            </w:r>
          </w:p>
        </w:tc>
        <w:tc>
          <w:tcPr>
            <w:tcW w:w="2430" w:type="dxa"/>
            <w:tcBorders>
              <w:tl2br w:val="nil"/>
              <w:tr2bl w:val="nil"/>
            </w:tcBorders>
            <w:shd w:val="clear" w:color="auto" w:fill="auto"/>
            <w:tcMar>
              <w:top w:w="15" w:type="dxa"/>
              <w:left w:w="15" w:type="dxa"/>
              <w:right w:w="15" w:type="dxa"/>
            </w:tcMar>
            <w:vAlign w:val="center"/>
          </w:tcPr>
          <w:p w14:paraId="0080C39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行人路口总通行数</w:t>
            </w:r>
          </w:p>
        </w:tc>
        <w:tc>
          <w:tcPr>
            <w:tcW w:w="2818" w:type="dxa"/>
            <w:tcBorders>
              <w:tl2br w:val="nil"/>
              <w:tr2bl w:val="nil"/>
            </w:tcBorders>
            <w:shd w:val="clear" w:color="auto" w:fill="auto"/>
            <w:tcMar>
              <w:top w:w="15" w:type="dxa"/>
              <w:left w:w="15" w:type="dxa"/>
              <w:right w:w="15" w:type="dxa"/>
            </w:tcMar>
            <w:vAlign w:val="center"/>
          </w:tcPr>
          <w:p w14:paraId="61AF7FE0">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福州市公安局交通警察支队</w:t>
            </w:r>
          </w:p>
        </w:tc>
      </w:tr>
      <w:tr w14:paraId="042185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16F1E1CB">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62</w:t>
            </w:r>
          </w:p>
        </w:tc>
        <w:tc>
          <w:tcPr>
            <w:tcW w:w="2350" w:type="dxa"/>
            <w:tcBorders>
              <w:tl2br w:val="nil"/>
              <w:tr2bl w:val="nil"/>
            </w:tcBorders>
            <w:shd w:val="clear" w:color="auto" w:fill="auto"/>
            <w:tcMar>
              <w:top w:w="15" w:type="dxa"/>
              <w:left w:w="15" w:type="dxa"/>
              <w:right w:w="15" w:type="dxa"/>
            </w:tcMar>
            <w:vAlign w:val="center"/>
          </w:tcPr>
          <w:p w14:paraId="69F320E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建成区人均信息点（POI）数（个/千人）</w:t>
            </w:r>
          </w:p>
        </w:tc>
        <w:tc>
          <w:tcPr>
            <w:tcW w:w="2430" w:type="dxa"/>
            <w:tcBorders>
              <w:tl2br w:val="nil"/>
              <w:tr2bl w:val="nil"/>
            </w:tcBorders>
            <w:shd w:val="clear" w:color="auto" w:fill="auto"/>
            <w:tcMar>
              <w:top w:w="15" w:type="dxa"/>
              <w:left w:w="15" w:type="dxa"/>
              <w:right w:w="15" w:type="dxa"/>
            </w:tcMar>
            <w:vAlign w:val="center"/>
          </w:tcPr>
          <w:p w14:paraId="5F36269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建成区信息点数（个）</w:t>
            </w:r>
          </w:p>
        </w:tc>
        <w:tc>
          <w:tcPr>
            <w:tcW w:w="2818" w:type="dxa"/>
            <w:tcBorders>
              <w:tl2br w:val="nil"/>
              <w:tr2bl w:val="nil"/>
            </w:tcBorders>
            <w:shd w:val="clear" w:color="auto" w:fill="auto"/>
            <w:tcMar>
              <w:top w:w="15" w:type="dxa"/>
              <w:left w:w="15" w:type="dxa"/>
              <w:right w:w="15" w:type="dxa"/>
            </w:tcMar>
            <w:vAlign w:val="center"/>
          </w:tcPr>
          <w:p w14:paraId="1569F12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高德地图</w:t>
            </w:r>
          </w:p>
        </w:tc>
      </w:tr>
      <w:tr w14:paraId="1D4FA4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6B461461">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63</w:t>
            </w:r>
          </w:p>
        </w:tc>
        <w:tc>
          <w:tcPr>
            <w:tcW w:w="2350" w:type="dxa"/>
            <w:tcBorders>
              <w:tl2br w:val="nil"/>
              <w:tr2bl w:val="nil"/>
            </w:tcBorders>
            <w:shd w:val="clear" w:color="auto" w:fill="auto"/>
            <w:tcMar>
              <w:top w:w="15" w:type="dxa"/>
              <w:left w:w="15" w:type="dxa"/>
              <w:right w:w="15" w:type="dxa"/>
            </w:tcMar>
            <w:vAlign w:val="center"/>
          </w:tcPr>
          <w:p w14:paraId="205F3E70">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建成区人均信息点（POI）数（个/千人）</w:t>
            </w:r>
          </w:p>
        </w:tc>
        <w:tc>
          <w:tcPr>
            <w:tcW w:w="2430" w:type="dxa"/>
            <w:tcBorders>
              <w:tl2br w:val="nil"/>
              <w:tr2bl w:val="nil"/>
            </w:tcBorders>
            <w:shd w:val="clear" w:color="auto" w:fill="auto"/>
            <w:tcMar>
              <w:top w:w="15" w:type="dxa"/>
              <w:left w:w="15" w:type="dxa"/>
              <w:right w:w="15" w:type="dxa"/>
            </w:tcMar>
            <w:vAlign w:val="center"/>
          </w:tcPr>
          <w:p w14:paraId="124BFAB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建成区常住人口（千人）</w:t>
            </w:r>
          </w:p>
        </w:tc>
        <w:tc>
          <w:tcPr>
            <w:tcW w:w="2818" w:type="dxa"/>
            <w:tcBorders>
              <w:tl2br w:val="nil"/>
              <w:tr2bl w:val="nil"/>
            </w:tcBorders>
            <w:shd w:val="clear" w:color="auto" w:fill="auto"/>
            <w:tcMar>
              <w:top w:w="15" w:type="dxa"/>
              <w:left w:w="15" w:type="dxa"/>
              <w:right w:w="15" w:type="dxa"/>
            </w:tcMar>
            <w:vAlign w:val="center"/>
          </w:tcPr>
          <w:p w14:paraId="2D5353F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福州统计年鉴</w:t>
            </w:r>
          </w:p>
        </w:tc>
      </w:tr>
      <w:tr w14:paraId="1257B7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512BEF65">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64</w:t>
            </w:r>
          </w:p>
        </w:tc>
        <w:tc>
          <w:tcPr>
            <w:tcW w:w="2350" w:type="dxa"/>
            <w:tcBorders>
              <w:tl2br w:val="nil"/>
              <w:tr2bl w:val="nil"/>
            </w:tcBorders>
            <w:shd w:val="clear" w:color="auto" w:fill="auto"/>
            <w:tcMar>
              <w:top w:w="15" w:type="dxa"/>
              <w:left w:w="15" w:type="dxa"/>
              <w:right w:w="15" w:type="dxa"/>
            </w:tcMar>
            <w:vAlign w:val="center"/>
          </w:tcPr>
          <w:p w14:paraId="48C5B11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便民摊点规范性</w:t>
            </w:r>
          </w:p>
        </w:tc>
        <w:tc>
          <w:tcPr>
            <w:tcW w:w="2430" w:type="dxa"/>
            <w:tcBorders>
              <w:tl2br w:val="nil"/>
              <w:tr2bl w:val="nil"/>
            </w:tcBorders>
            <w:shd w:val="clear" w:color="auto" w:fill="auto"/>
            <w:tcMar>
              <w:top w:w="15" w:type="dxa"/>
              <w:left w:w="15" w:type="dxa"/>
              <w:right w:w="15" w:type="dxa"/>
            </w:tcMar>
            <w:vAlign w:val="center"/>
          </w:tcPr>
          <w:p w14:paraId="3062597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便民摊点规范性评分</w:t>
            </w:r>
          </w:p>
        </w:tc>
        <w:tc>
          <w:tcPr>
            <w:tcW w:w="2818" w:type="dxa"/>
            <w:tcBorders>
              <w:tl2br w:val="nil"/>
              <w:tr2bl w:val="nil"/>
            </w:tcBorders>
            <w:shd w:val="clear" w:color="auto" w:fill="auto"/>
            <w:tcMar>
              <w:top w:w="15" w:type="dxa"/>
              <w:left w:w="15" w:type="dxa"/>
              <w:right w:w="15" w:type="dxa"/>
            </w:tcMar>
            <w:vAlign w:val="center"/>
          </w:tcPr>
          <w:p w14:paraId="2AC8F32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639B8E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09D2EE12">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65</w:t>
            </w:r>
          </w:p>
        </w:tc>
        <w:tc>
          <w:tcPr>
            <w:tcW w:w="2350" w:type="dxa"/>
            <w:tcBorders>
              <w:tl2br w:val="nil"/>
              <w:tr2bl w:val="nil"/>
            </w:tcBorders>
            <w:shd w:val="clear" w:color="auto" w:fill="auto"/>
            <w:tcMar>
              <w:top w:w="15" w:type="dxa"/>
              <w:left w:w="15" w:type="dxa"/>
              <w:right w:w="15" w:type="dxa"/>
            </w:tcMar>
            <w:vAlign w:val="center"/>
          </w:tcPr>
          <w:p w14:paraId="562D2CE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无乱搭乱建</w:t>
            </w:r>
          </w:p>
        </w:tc>
        <w:tc>
          <w:tcPr>
            <w:tcW w:w="2430" w:type="dxa"/>
            <w:tcBorders>
              <w:tl2br w:val="nil"/>
              <w:tr2bl w:val="nil"/>
            </w:tcBorders>
            <w:shd w:val="clear" w:color="auto" w:fill="auto"/>
            <w:tcMar>
              <w:top w:w="15" w:type="dxa"/>
              <w:left w:w="15" w:type="dxa"/>
              <w:right w:w="15" w:type="dxa"/>
            </w:tcMar>
            <w:vAlign w:val="center"/>
          </w:tcPr>
          <w:p w14:paraId="42C0ABB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无乱搭乱建评分</w:t>
            </w:r>
          </w:p>
        </w:tc>
        <w:tc>
          <w:tcPr>
            <w:tcW w:w="2818" w:type="dxa"/>
            <w:tcBorders>
              <w:tl2br w:val="nil"/>
              <w:tr2bl w:val="nil"/>
            </w:tcBorders>
            <w:shd w:val="clear" w:color="auto" w:fill="auto"/>
            <w:tcMar>
              <w:top w:w="15" w:type="dxa"/>
              <w:left w:w="15" w:type="dxa"/>
              <w:right w:w="15" w:type="dxa"/>
            </w:tcMar>
            <w:vAlign w:val="center"/>
          </w:tcPr>
          <w:p w14:paraId="13E63C6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福州市城市管理委员会、福州市自然资源和规划局、福州市住房保障和房产管理局、福州市水利局、福州市园林中心</w:t>
            </w:r>
          </w:p>
        </w:tc>
      </w:tr>
      <w:tr w14:paraId="401D5C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45D2837">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66</w:t>
            </w:r>
          </w:p>
        </w:tc>
        <w:tc>
          <w:tcPr>
            <w:tcW w:w="2350" w:type="dxa"/>
            <w:tcBorders>
              <w:tl2br w:val="nil"/>
              <w:tr2bl w:val="nil"/>
            </w:tcBorders>
            <w:shd w:val="clear" w:color="auto" w:fill="auto"/>
            <w:tcMar>
              <w:top w:w="15" w:type="dxa"/>
              <w:left w:w="15" w:type="dxa"/>
              <w:right w:w="15" w:type="dxa"/>
            </w:tcMar>
            <w:vAlign w:val="center"/>
          </w:tcPr>
          <w:p w14:paraId="0BDB1F2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无沿街晾挂</w:t>
            </w:r>
          </w:p>
        </w:tc>
        <w:tc>
          <w:tcPr>
            <w:tcW w:w="2430" w:type="dxa"/>
            <w:tcBorders>
              <w:tl2br w:val="nil"/>
              <w:tr2bl w:val="nil"/>
            </w:tcBorders>
            <w:shd w:val="clear" w:color="auto" w:fill="auto"/>
            <w:tcMar>
              <w:top w:w="15" w:type="dxa"/>
              <w:left w:w="15" w:type="dxa"/>
              <w:right w:w="15" w:type="dxa"/>
            </w:tcMar>
            <w:vAlign w:val="center"/>
          </w:tcPr>
          <w:p w14:paraId="47BFB8F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沿街晾挂评分</w:t>
            </w:r>
          </w:p>
        </w:tc>
        <w:tc>
          <w:tcPr>
            <w:tcW w:w="2818" w:type="dxa"/>
            <w:tcBorders>
              <w:tl2br w:val="nil"/>
              <w:tr2bl w:val="nil"/>
            </w:tcBorders>
            <w:shd w:val="clear" w:color="auto" w:fill="auto"/>
            <w:tcMar>
              <w:top w:w="15" w:type="dxa"/>
              <w:left w:w="15" w:type="dxa"/>
              <w:right w:w="15" w:type="dxa"/>
            </w:tcMar>
            <w:vAlign w:val="center"/>
          </w:tcPr>
          <w:p w14:paraId="1875342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w:t>
            </w:r>
          </w:p>
        </w:tc>
      </w:tr>
      <w:tr w14:paraId="53D5F4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54FB8D46">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67</w:t>
            </w:r>
          </w:p>
        </w:tc>
        <w:tc>
          <w:tcPr>
            <w:tcW w:w="2350" w:type="dxa"/>
            <w:tcBorders>
              <w:tl2br w:val="nil"/>
              <w:tr2bl w:val="nil"/>
            </w:tcBorders>
            <w:shd w:val="clear" w:color="auto" w:fill="auto"/>
            <w:tcMar>
              <w:top w:w="15" w:type="dxa"/>
              <w:left w:w="15" w:type="dxa"/>
              <w:right w:w="15" w:type="dxa"/>
            </w:tcMar>
            <w:vAlign w:val="center"/>
          </w:tcPr>
          <w:p w14:paraId="2A07614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车辆停放有序性</w:t>
            </w:r>
          </w:p>
        </w:tc>
        <w:tc>
          <w:tcPr>
            <w:tcW w:w="2430" w:type="dxa"/>
            <w:tcBorders>
              <w:tl2br w:val="nil"/>
              <w:tr2bl w:val="nil"/>
            </w:tcBorders>
            <w:shd w:val="clear" w:color="auto" w:fill="auto"/>
            <w:tcMar>
              <w:top w:w="15" w:type="dxa"/>
              <w:left w:w="15" w:type="dxa"/>
              <w:right w:w="15" w:type="dxa"/>
            </w:tcMar>
            <w:vAlign w:val="center"/>
          </w:tcPr>
          <w:p w14:paraId="250DD1A0">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主干道（800米路段）、次干道（500米路段）、街巷（300米路段）各1条，路段内的机动车、非机动车停放情况评分值</w:t>
            </w:r>
          </w:p>
        </w:tc>
        <w:tc>
          <w:tcPr>
            <w:tcW w:w="2818" w:type="dxa"/>
            <w:tcBorders>
              <w:tl2br w:val="nil"/>
              <w:tr2bl w:val="nil"/>
            </w:tcBorders>
            <w:shd w:val="clear" w:color="auto" w:fill="auto"/>
            <w:tcMar>
              <w:top w:w="15" w:type="dxa"/>
              <w:left w:w="15" w:type="dxa"/>
              <w:right w:w="15" w:type="dxa"/>
            </w:tcMar>
            <w:vAlign w:val="center"/>
          </w:tcPr>
          <w:p w14:paraId="7556A57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福州市城市管理委员会、福州市公安局交通警察支队</w:t>
            </w:r>
          </w:p>
        </w:tc>
      </w:tr>
      <w:tr w14:paraId="3A1C3D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454F1DA">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68</w:t>
            </w:r>
          </w:p>
        </w:tc>
        <w:tc>
          <w:tcPr>
            <w:tcW w:w="2350" w:type="dxa"/>
            <w:tcBorders>
              <w:tl2br w:val="nil"/>
              <w:tr2bl w:val="nil"/>
            </w:tcBorders>
            <w:shd w:val="clear" w:color="auto" w:fill="auto"/>
            <w:tcMar>
              <w:top w:w="15" w:type="dxa"/>
              <w:left w:w="15" w:type="dxa"/>
              <w:right w:w="15" w:type="dxa"/>
            </w:tcMar>
            <w:vAlign w:val="center"/>
          </w:tcPr>
          <w:p w14:paraId="4AE549F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夜景灯光照明有序评价</w:t>
            </w:r>
          </w:p>
        </w:tc>
        <w:tc>
          <w:tcPr>
            <w:tcW w:w="2430" w:type="dxa"/>
            <w:tcBorders>
              <w:tl2br w:val="nil"/>
              <w:tr2bl w:val="nil"/>
            </w:tcBorders>
            <w:shd w:val="clear" w:color="auto" w:fill="auto"/>
            <w:tcMar>
              <w:top w:w="15" w:type="dxa"/>
              <w:left w:w="15" w:type="dxa"/>
              <w:right w:w="15" w:type="dxa"/>
            </w:tcMar>
            <w:vAlign w:val="center"/>
          </w:tcPr>
          <w:p w14:paraId="3E4DDD7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主要街道（500米路段），夜景照明状况评分值</w:t>
            </w:r>
          </w:p>
        </w:tc>
        <w:tc>
          <w:tcPr>
            <w:tcW w:w="2818" w:type="dxa"/>
            <w:tcBorders>
              <w:tl2br w:val="nil"/>
              <w:tr2bl w:val="nil"/>
            </w:tcBorders>
            <w:shd w:val="clear" w:color="auto" w:fill="auto"/>
            <w:tcMar>
              <w:top w:w="15" w:type="dxa"/>
              <w:left w:w="15" w:type="dxa"/>
              <w:right w:w="15" w:type="dxa"/>
            </w:tcMar>
            <w:vAlign w:val="center"/>
          </w:tcPr>
          <w:p w14:paraId="0C7D24E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福州市城乡建设局、福州市城市管理委员会</w:t>
            </w:r>
          </w:p>
        </w:tc>
      </w:tr>
      <w:tr w14:paraId="5BBB3C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769E7180">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69</w:t>
            </w:r>
          </w:p>
        </w:tc>
        <w:tc>
          <w:tcPr>
            <w:tcW w:w="2350" w:type="dxa"/>
            <w:tcBorders>
              <w:tl2br w:val="nil"/>
              <w:tr2bl w:val="nil"/>
            </w:tcBorders>
            <w:shd w:val="clear" w:color="auto" w:fill="auto"/>
            <w:tcMar>
              <w:top w:w="15" w:type="dxa"/>
              <w:left w:w="15" w:type="dxa"/>
              <w:right w:w="15" w:type="dxa"/>
            </w:tcMar>
            <w:vAlign w:val="center"/>
          </w:tcPr>
          <w:p w14:paraId="7D62CEE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用户龙头水合格率（%）</w:t>
            </w:r>
          </w:p>
        </w:tc>
        <w:tc>
          <w:tcPr>
            <w:tcW w:w="2430" w:type="dxa"/>
            <w:tcBorders>
              <w:tl2br w:val="nil"/>
              <w:tr2bl w:val="nil"/>
            </w:tcBorders>
            <w:shd w:val="clear" w:color="auto" w:fill="auto"/>
            <w:tcMar>
              <w:top w:w="15" w:type="dxa"/>
              <w:left w:w="15" w:type="dxa"/>
              <w:right w:w="15" w:type="dxa"/>
            </w:tcMar>
            <w:vAlign w:val="center"/>
          </w:tcPr>
          <w:p w14:paraId="1782B06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检测饮用水末梢水常规指标达标的水样数</w:t>
            </w:r>
          </w:p>
        </w:tc>
        <w:tc>
          <w:tcPr>
            <w:tcW w:w="2818" w:type="dxa"/>
            <w:tcBorders>
              <w:tl2br w:val="nil"/>
              <w:tr2bl w:val="nil"/>
            </w:tcBorders>
            <w:shd w:val="clear" w:color="auto" w:fill="auto"/>
            <w:tcMar>
              <w:top w:w="15" w:type="dxa"/>
              <w:left w:w="15" w:type="dxa"/>
              <w:right w:w="15" w:type="dxa"/>
            </w:tcMar>
            <w:vAlign w:val="center"/>
          </w:tcPr>
          <w:p w14:paraId="3E9AB2F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w:t>
            </w:r>
          </w:p>
        </w:tc>
      </w:tr>
      <w:tr w14:paraId="55C3BC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77128EA">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70</w:t>
            </w:r>
          </w:p>
        </w:tc>
        <w:tc>
          <w:tcPr>
            <w:tcW w:w="2350" w:type="dxa"/>
            <w:tcBorders>
              <w:tl2br w:val="nil"/>
              <w:tr2bl w:val="nil"/>
            </w:tcBorders>
            <w:shd w:val="clear" w:color="auto" w:fill="auto"/>
            <w:tcMar>
              <w:top w:w="15" w:type="dxa"/>
              <w:left w:w="15" w:type="dxa"/>
              <w:right w:w="15" w:type="dxa"/>
            </w:tcMar>
            <w:vAlign w:val="center"/>
          </w:tcPr>
          <w:p w14:paraId="2C408D5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用户龙头水合格率（%）</w:t>
            </w:r>
          </w:p>
        </w:tc>
        <w:tc>
          <w:tcPr>
            <w:tcW w:w="2430" w:type="dxa"/>
            <w:tcBorders>
              <w:tl2br w:val="nil"/>
              <w:tr2bl w:val="nil"/>
            </w:tcBorders>
            <w:shd w:val="clear" w:color="auto" w:fill="auto"/>
            <w:tcMar>
              <w:top w:w="15" w:type="dxa"/>
              <w:left w:w="15" w:type="dxa"/>
              <w:right w:w="15" w:type="dxa"/>
            </w:tcMar>
            <w:vAlign w:val="center"/>
          </w:tcPr>
          <w:p w14:paraId="6624BC3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检测饮用水末梢水总水样数</w:t>
            </w:r>
          </w:p>
        </w:tc>
        <w:tc>
          <w:tcPr>
            <w:tcW w:w="2818" w:type="dxa"/>
            <w:tcBorders>
              <w:tl2br w:val="nil"/>
              <w:tr2bl w:val="nil"/>
            </w:tcBorders>
            <w:shd w:val="clear" w:color="auto" w:fill="auto"/>
            <w:tcMar>
              <w:top w:w="15" w:type="dxa"/>
              <w:left w:w="15" w:type="dxa"/>
              <w:right w:w="15" w:type="dxa"/>
            </w:tcMar>
            <w:vAlign w:val="center"/>
          </w:tcPr>
          <w:p w14:paraId="1D0A4C9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w:t>
            </w:r>
          </w:p>
        </w:tc>
      </w:tr>
      <w:tr w14:paraId="6B93E4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17497C9">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71</w:t>
            </w:r>
          </w:p>
        </w:tc>
        <w:tc>
          <w:tcPr>
            <w:tcW w:w="2350" w:type="dxa"/>
            <w:tcBorders>
              <w:tl2br w:val="nil"/>
              <w:tr2bl w:val="nil"/>
            </w:tcBorders>
            <w:shd w:val="clear" w:color="auto" w:fill="auto"/>
            <w:tcMar>
              <w:top w:w="15" w:type="dxa"/>
              <w:left w:w="15" w:type="dxa"/>
              <w:right w:w="15" w:type="dxa"/>
            </w:tcMar>
            <w:vAlign w:val="center"/>
          </w:tcPr>
          <w:p w14:paraId="4DB62E2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供水管网末梢服务压力达标率（%）</w:t>
            </w:r>
          </w:p>
        </w:tc>
        <w:tc>
          <w:tcPr>
            <w:tcW w:w="2430" w:type="dxa"/>
            <w:tcBorders>
              <w:tl2br w:val="nil"/>
              <w:tr2bl w:val="nil"/>
            </w:tcBorders>
            <w:shd w:val="clear" w:color="auto" w:fill="auto"/>
            <w:tcMar>
              <w:top w:w="15" w:type="dxa"/>
              <w:left w:w="15" w:type="dxa"/>
              <w:right w:w="15" w:type="dxa"/>
            </w:tcMar>
            <w:vAlign w:val="center"/>
          </w:tcPr>
          <w:p w14:paraId="57D6CD9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供水管网末梢服务压力达标检验合格次数</w:t>
            </w:r>
          </w:p>
        </w:tc>
        <w:tc>
          <w:tcPr>
            <w:tcW w:w="2818" w:type="dxa"/>
            <w:tcBorders>
              <w:tl2br w:val="nil"/>
              <w:tr2bl w:val="nil"/>
            </w:tcBorders>
            <w:shd w:val="clear" w:color="auto" w:fill="auto"/>
            <w:tcMar>
              <w:top w:w="15" w:type="dxa"/>
              <w:left w:w="15" w:type="dxa"/>
              <w:right w:w="15" w:type="dxa"/>
            </w:tcMar>
            <w:vAlign w:val="center"/>
          </w:tcPr>
          <w:p w14:paraId="3D0F010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w:t>
            </w:r>
          </w:p>
        </w:tc>
      </w:tr>
      <w:tr w14:paraId="71973E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53260E51">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72</w:t>
            </w:r>
          </w:p>
        </w:tc>
        <w:tc>
          <w:tcPr>
            <w:tcW w:w="2350" w:type="dxa"/>
            <w:tcBorders>
              <w:tl2br w:val="nil"/>
              <w:tr2bl w:val="nil"/>
            </w:tcBorders>
            <w:shd w:val="clear" w:color="auto" w:fill="auto"/>
            <w:tcMar>
              <w:top w:w="15" w:type="dxa"/>
              <w:left w:w="15" w:type="dxa"/>
              <w:right w:w="15" w:type="dxa"/>
            </w:tcMar>
            <w:vAlign w:val="center"/>
          </w:tcPr>
          <w:p w14:paraId="34C9F26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　</w:t>
            </w:r>
          </w:p>
        </w:tc>
        <w:tc>
          <w:tcPr>
            <w:tcW w:w="2430" w:type="dxa"/>
            <w:tcBorders>
              <w:tl2br w:val="nil"/>
              <w:tr2bl w:val="nil"/>
            </w:tcBorders>
            <w:shd w:val="clear" w:color="auto" w:fill="auto"/>
            <w:tcMar>
              <w:top w:w="15" w:type="dxa"/>
              <w:left w:w="15" w:type="dxa"/>
              <w:right w:w="15" w:type="dxa"/>
            </w:tcMar>
            <w:vAlign w:val="center"/>
          </w:tcPr>
          <w:p w14:paraId="40565C7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供水管网末梢服务压力达标检验总次数</w:t>
            </w:r>
          </w:p>
        </w:tc>
        <w:tc>
          <w:tcPr>
            <w:tcW w:w="2818" w:type="dxa"/>
            <w:tcBorders>
              <w:tl2br w:val="nil"/>
              <w:tr2bl w:val="nil"/>
            </w:tcBorders>
            <w:shd w:val="clear" w:color="auto" w:fill="auto"/>
            <w:tcMar>
              <w:top w:w="15" w:type="dxa"/>
              <w:left w:w="15" w:type="dxa"/>
              <w:right w:w="15" w:type="dxa"/>
            </w:tcMar>
            <w:vAlign w:val="center"/>
          </w:tcPr>
          <w:p w14:paraId="29080F0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w:t>
            </w:r>
          </w:p>
        </w:tc>
      </w:tr>
      <w:tr w14:paraId="79B609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95E1388">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73</w:t>
            </w:r>
          </w:p>
        </w:tc>
        <w:tc>
          <w:tcPr>
            <w:tcW w:w="2350" w:type="dxa"/>
            <w:tcBorders>
              <w:tl2br w:val="nil"/>
              <w:tr2bl w:val="nil"/>
            </w:tcBorders>
            <w:shd w:val="clear" w:color="auto" w:fill="auto"/>
            <w:tcMar>
              <w:top w:w="15" w:type="dxa"/>
              <w:left w:w="15" w:type="dxa"/>
              <w:right w:w="15" w:type="dxa"/>
            </w:tcMar>
            <w:vAlign w:val="center"/>
          </w:tcPr>
          <w:p w14:paraId="2CAB9BA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生活污水集中收集率（%）</w:t>
            </w:r>
          </w:p>
        </w:tc>
        <w:tc>
          <w:tcPr>
            <w:tcW w:w="2430" w:type="dxa"/>
            <w:tcBorders>
              <w:tl2br w:val="nil"/>
              <w:tr2bl w:val="nil"/>
            </w:tcBorders>
            <w:shd w:val="clear" w:color="auto" w:fill="auto"/>
            <w:tcMar>
              <w:top w:w="15" w:type="dxa"/>
              <w:left w:w="15" w:type="dxa"/>
              <w:right w:w="15" w:type="dxa"/>
            </w:tcMar>
            <w:vAlign w:val="center"/>
          </w:tcPr>
          <w:p w14:paraId="418FAE9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向污水处理厂排水的城区人口</w:t>
            </w:r>
          </w:p>
        </w:tc>
        <w:tc>
          <w:tcPr>
            <w:tcW w:w="2818" w:type="dxa"/>
            <w:tcBorders>
              <w:tl2br w:val="nil"/>
              <w:tr2bl w:val="nil"/>
            </w:tcBorders>
            <w:shd w:val="clear" w:color="auto" w:fill="auto"/>
            <w:tcMar>
              <w:top w:w="15" w:type="dxa"/>
              <w:left w:w="15" w:type="dxa"/>
              <w:right w:w="15" w:type="dxa"/>
            </w:tcMar>
            <w:vAlign w:val="center"/>
          </w:tcPr>
          <w:p w14:paraId="078E23C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w:t>
            </w:r>
          </w:p>
        </w:tc>
      </w:tr>
      <w:tr w14:paraId="3E2345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44A9D83">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74</w:t>
            </w:r>
          </w:p>
        </w:tc>
        <w:tc>
          <w:tcPr>
            <w:tcW w:w="2350" w:type="dxa"/>
            <w:tcBorders>
              <w:tl2br w:val="nil"/>
              <w:tr2bl w:val="nil"/>
            </w:tcBorders>
            <w:shd w:val="clear" w:color="auto" w:fill="auto"/>
            <w:tcMar>
              <w:top w:w="15" w:type="dxa"/>
              <w:left w:w="15" w:type="dxa"/>
              <w:right w:w="15" w:type="dxa"/>
            </w:tcMar>
            <w:vAlign w:val="center"/>
          </w:tcPr>
          <w:p w14:paraId="0CA1D6E0">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生活污水集中收集率（%）</w:t>
            </w:r>
          </w:p>
        </w:tc>
        <w:tc>
          <w:tcPr>
            <w:tcW w:w="2430" w:type="dxa"/>
            <w:tcBorders>
              <w:tl2br w:val="nil"/>
              <w:tr2bl w:val="nil"/>
            </w:tcBorders>
            <w:shd w:val="clear" w:color="auto" w:fill="auto"/>
            <w:tcMar>
              <w:top w:w="15" w:type="dxa"/>
              <w:left w:w="15" w:type="dxa"/>
              <w:right w:w="15" w:type="dxa"/>
            </w:tcMar>
            <w:vAlign w:val="center"/>
          </w:tcPr>
          <w:p w14:paraId="4F1E7F7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城区用水总人口</w:t>
            </w:r>
          </w:p>
        </w:tc>
        <w:tc>
          <w:tcPr>
            <w:tcW w:w="2818" w:type="dxa"/>
            <w:tcBorders>
              <w:tl2br w:val="nil"/>
              <w:tr2bl w:val="nil"/>
            </w:tcBorders>
            <w:shd w:val="clear" w:color="auto" w:fill="auto"/>
            <w:tcMar>
              <w:top w:w="15" w:type="dxa"/>
              <w:left w:w="15" w:type="dxa"/>
              <w:right w:w="15" w:type="dxa"/>
            </w:tcMar>
            <w:vAlign w:val="center"/>
          </w:tcPr>
          <w:p w14:paraId="142355E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w:t>
            </w:r>
          </w:p>
        </w:tc>
      </w:tr>
      <w:tr w14:paraId="41B3FE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433003E">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75</w:t>
            </w:r>
          </w:p>
        </w:tc>
        <w:tc>
          <w:tcPr>
            <w:tcW w:w="2350" w:type="dxa"/>
            <w:tcBorders>
              <w:tl2br w:val="nil"/>
              <w:tr2bl w:val="nil"/>
            </w:tcBorders>
            <w:shd w:val="clear" w:color="auto" w:fill="auto"/>
            <w:tcMar>
              <w:top w:w="15" w:type="dxa"/>
              <w:left w:w="15" w:type="dxa"/>
              <w:right w:w="15" w:type="dxa"/>
            </w:tcMar>
            <w:vAlign w:val="center"/>
          </w:tcPr>
          <w:p w14:paraId="4140999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重要管网监测监控设备安装率（%）</w:t>
            </w:r>
          </w:p>
        </w:tc>
        <w:tc>
          <w:tcPr>
            <w:tcW w:w="2430" w:type="dxa"/>
            <w:tcBorders>
              <w:tl2br w:val="nil"/>
              <w:tr2bl w:val="nil"/>
            </w:tcBorders>
            <w:shd w:val="clear" w:color="auto" w:fill="auto"/>
            <w:tcMar>
              <w:top w:w="15" w:type="dxa"/>
              <w:left w:w="15" w:type="dxa"/>
              <w:right w:w="15" w:type="dxa"/>
            </w:tcMar>
            <w:vAlign w:val="center"/>
          </w:tcPr>
          <w:p w14:paraId="7F9EA29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建城区内安装检测监控设备的供电、供水、供热管网数</w:t>
            </w:r>
          </w:p>
        </w:tc>
        <w:tc>
          <w:tcPr>
            <w:tcW w:w="2818" w:type="dxa"/>
            <w:tcBorders>
              <w:tl2br w:val="nil"/>
              <w:tr2bl w:val="nil"/>
            </w:tcBorders>
            <w:shd w:val="clear" w:color="auto" w:fill="auto"/>
            <w:tcMar>
              <w:top w:w="15" w:type="dxa"/>
              <w:left w:w="15" w:type="dxa"/>
              <w:right w:w="15" w:type="dxa"/>
            </w:tcMar>
            <w:vAlign w:val="center"/>
          </w:tcPr>
          <w:p w14:paraId="74E4EB9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w:t>
            </w:r>
          </w:p>
        </w:tc>
      </w:tr>
      <w:tr w14:paraId="1A71C6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0E489E3">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76</w:t>
            </w:r>
          </w:p>
        </w:tc>
        <w:tc>
          <w:tcPr>
            <w:tcW w:w="2350" w:type="dxa"/>
            <w:tcBorders>
              <w:tl2br w:val="nil"/>
              <w:tr2bl w:val="nil"/>
            </w:tcBorders>
            <w:shd w:val="clear" w:color="auto" w:fill="auto"/>
            <w:tcMar>
              <w:top w:w="15" w:type="dxa"/>
              <w:left w:w="15" w:type="dxa"/>
              <w:right w:w="15" w:type="dxa"/>
            </w:tcMar>
            <w:vAlign w:val="center"/>
          </w:tcPr>
          <w:p w14:paraId="3E3BA6E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重要管网监测监控设备安装率（%）</w:t>
            </w:r>
          </w:p>
        </w:tc>
        <w:tc>
          <w:tcPr>
            <w:tcW w:w="2430" w:type="dxa"/>
            <w:tcBorders>
              <w:tl2br w:val="nil"/>
              <w:tr2bl w:val="nil"/>
            </w:tcBorders>
            <w:shd w:val="clear" w:color="auto" w:fill="auto"/>
            <w:tcMar>
              <w:top w:w="15" w:type="dxa"/>
              <w:left w:w="15" w:type="dxa"/>
              <w:right w:w="15" w:type="dxa"/>
            </w:tcMar>
            <w:vAlign w:val="center"/>
          </w:tcPr>
          <w:p w14:paraId="3D7B572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建成区内供电、供水、供热管网总数</w:t>
            </w:r>
          </w:p>
        </w:tc>
        <w:tc>
          <w:tcPr>
            <w:tcW w:w="2818" w:type="dxa"/>
            <w:tcBorders>
              <w:tl2br w:val="nil"/>
              <w:tr2bl w:val="nil"/>
            </w:tcBorders>
            <w:shd w:val="clear" w:color="auto" w:fill="auto"/>
            <w:tcMar>
              <w:top w:w="15" w:type="dxa"/>
              <w:left w:w="15" w:type="dxa"/>
              <w:right w:w="15" w:type="dxa"/>
            </w:tcMar>
            <w:vAlign w:val="center"/>
          </w:tcPr>
          <w:p w14:paraId="537C669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福州市城乡建设局</w:t>
            </w:r>
          </w:p>
        </w:tc>
      </w:tr>
      <w:tr w14:paraId="4240CE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C26C02B">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77</w:t>
            </w:r>
          </w:p>
        </w:tc>
        <w:tc>
          <w:tcPr>
            <w:tcW w:w="2350" w:type="dxa"/>
            <w:tcBorders>
              <w:tl2br w:val="nil"/>
              <w:tr2bl w:val="nil"/>
            </w:tcBorders>
            <w:shd w:val="clear" w:color="auto" w:fill="auto"/>
            <w:tcMar>
              <w:top w:w="15" w:type="dxa"/>
              <w:left w:w="15" w:type="dxa"/>
              <w:right w:w="15" w:type="dxa"/>
            </w:tcMar>
            <w:vAlign w:val="center"/>
          </w:tcPr>
          <w:p w14:paraId="0431F3E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建成区人均避难场所面积（平方米/人）</w:t>
            </w:r>
          </w:p>
        </w:tc>
        <w:tc>
          <w:tcPr>
            <w:tcW w:w="2430" w:type="dxa"/>
            <w:tcBorders>
              <w:tl2br w:val="nil"/>
              <w:tr2bl w:val="nil"/>
            </w:tcBorders>
            <w:shd w:val="clear" w:color="auto" w:fill="auto"/>
            <w:tcMar>
              <w:top w:w="15" w:type="dxa"/>
              <w:left w:w="15" w:type="dxa"/>
              <w:right w:w="15" w:type="dxa"/>
            </w:tcMar>
            <w:vAlign w:val="center"/>
          </w:tcPr>
          <w:p w14:paraId="31A8281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城市应急避难场所总面积</w:t>
            </w:r>
          </w:p>
        </w:tc>
        <w:tc>
          <w:tcPr>
            <w:tcW w:w="2818" w:type="dxa"/>
            <w:tcBorders>
              <w:tl2br w:val="nil"/>
              <w:tr2bl w:val="nil"/>
            </w:tcBorders>
            <w:shd w:val="clear" w:color="auto" w:fill="auto"/>
            <w:tcMar>
              <w:top w:w="15" w:type="dxa"/>
              <w:left w:w="15" w:type="dxa"/>
              <w:right w:w="15" w:type="dxa"/>
            </w:tcMar>
            <w:vAlign w:val="center"/>
          </w:tcPr>
          <w:p w14:paraId="1E59EC3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福州市防震减灾中心</w:t>
            </w:r>
          </w:p>
        </w:tc>
      </w:tr>
      <w:tr w14:paraId="6C5034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6BDBC0F5">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78</w:t>
            </w:r>
          </w:p>
        </w:tc>
        <w:tc>
          <w:tcPr>
            <w:tcW w:w="2350" w:type="dxa"/>
            <w:tcBorders>
              <w:tl2br w:val="nil"/>
              <w:tr2bl w:val="nil"/>
            </w:tcBorders>
            <w:shd w:val="clear" w:color="auto" w:fill="auto"/>
            <w:tcMar>
              <w:top w:w="15" w:type="dxa"/>
              <w:left w:w="15" w:type="dxa"/>
              <w:right w:w="15" w:type="dxa"/>
            </w:tcMar>
            <w:vAlign w:val="center"/>
          </w:tcPr>
          <w:p w14:paraId="2D00F25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建成区人均避难场所面积（平方米/人）</w:t>
            </w:r>
          </w:p>
        </w:tc>
        <w:tc>
          <w:tcPr>
            <w:tcW w:w="2430" w:type="dxa"/>
            <w:tcBorders>
              <w:tl2br w:val="nil"/>
              <w:tr2bl w:val="nil"/>
            </w:tcBorders>
            <w:shd w:val="clear" w:color="auto" w:fill="auto"/>
            <w:tcMar>
              <w:top w:w="15" w:type="dxa"/>
              <w:left w:w="15" w:type="dxa"/>
              <w:right w:w="15" w:type="dxa"/>
            </w:tcMar>
            <w:vAlign w:val="center"/>
          </w:tcPr>
          <w:p w14:paraId="421EB87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城市常住人口数量</w:t>
            </w:r>
          </w:p>
        </w:tc>
        <w:tc>
          <w:tcPr>
            <w:tcW w:w="2818" w:type="dxa"/>
            <w:tcBorders>
              <w:tl2br w:val="nil"/>
              <w:tr2bl w:val="nil"/>
            </w:tcBorders>
            <w:shd w:val="clear" w:color="auto" w:fill="auto"/>
            <w:tcMar>
              <w:top w:w="15" w:type="dxa"/>
              <w:left w:w="15" w:type="dxa"/>
              <w:right w:w="15" w:type="dxa"/>
            </w:tcMar>
            <w:vAlign w:val="center"/>
          </w:tcPr>
          <w:p w14:paraId="4A98D28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福州市统计年鉴</w:t>
            </w:r>
          </w:p>
        </w:tc>
      </w:tr>
      <w:tr w14:paraId="3A88C2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72A1FA4">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79</w:t>
            </w:r>
          </w:p>
        </w:tc>
        <w:tc>
          <w:tcPr>
            <w:tcW w:w="2350" w:type="dxa"/>
            <w:tcBorders>
              <w:tl2br w:val="nil"/>
              <w:tr2bl w:val="nil"/>
            </w:tcBorders>
            <w:shd w:val="clear" w:color="auto" w:fill="auto"/>
            <w:tcMar>
              <w:top w:w="15" w:type="dxa"/>
              <w:left w:w="15" w:type="dxa"/>
              <w:right w:w="15" w:type="dxa"/>
            </w:tcMar>
            <w:vAlign w:val="center"/>
          </w:tcPr>
          <w:p w14:paraId="6180D72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建成区常见内涝积水点密度（个/平方公里）</w:t>
            </w:r>
          </w:p>
        </w:tc>
        <w:tc>
          <w:tcPr>
            <w:tcW w:w="2430" w:type="dxa"/>
            <w:tcBorders>
              <w:tl2br w:val="nil"/>
              <w:tr2bl w:val="nil"/>
            </w:tcBorders>
            <w:shd w:val="clear" w:color="auto" w:fill="auto"/>
            <w:tcMar>
              <w:top w:w="15" w:type="dxa"/>
              <w:left w:w="15" w:type="dxa"/>
              <w:right w:w="15" w:type="dxa"/>
            </w:tcMar>
            <w:vAlign w:val="center"/>
          </w:tcPr>
          <w:p w14:paraId="50FDC1B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建成区内常见内涝积水点数量（个）</w:t>
            </w:r>
          </w:p>
        </w:tc>
        <w:tc>
          <w:tcPr>
            <w:tcW w:w="2818" w:type="dxa"/>
            <w:tcBorders>
              <w:tl2br w:val="nil"/>
              <w:tr2bl w:val="nil"/>
            </w:tcBorders>
            <w:shd w:val="clear" w:color="auto" w:fill="auto"/>
            <w:tcMar>
              <w:top w:w="15" w:type="dxa"/>
              <w:left w:w="15" w:type="dxa"/>
              <w:right w:w="15" w:type="dxa"/>
            </w:tcMar>
            <w:vAlign w:val="center"/>
          </w:tcPr>
          <w:p w14:paraId="3E3283E0">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福州市建设局、福州市水利局、福州市自来水公司</w:t>
            </w:r>
          </w:p>
        </w:tc>
      </w:tr>
      <w:tr w14:paraId="1DDB3B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1156A829">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80</w:t>
            </w:r>
          </w:p>
        </w:tc>
        <w:tc>
          <w:tcPr>
            <w:tcW w:w="2350" w:type="dxa"/>
            <w:tcBorders>
              <w:tl2br w:val="nil"/>
              <w:tr2bl w:val="nil"/>
            </w:tcBorders>
            <w:shd w:val="clear" w:color="auto" w:fill="auto"/>
            <w:tcMar>
              <w:top w:w="15" w:type="dxa"/>
              <w:left w:w="15" w:type="dxa"/>
              <w:right w:w="15" w:type="dxa"/>
            </w:tcMar>
            <w:vAlign w:val="center"/>
          </w:tcPr>
          <w:p w14:paraId="1A00CC0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城市空气质量优良率（%）</w:t>
            </w:r>
          </w:p>
        </w:tc>
        <w:tc>
          <w:tcPr>
            <w:tcW w:w="2430" w:type="dxa"/>
            <w:tcBorders>
              <w:tl2br w:val="nil"/>
              <w:tr2bl w:val="nil"/>
            </w:tcBorders>
            <w:shd w:val="clear" w:color="auto" w:fill="auto"/>
            <w:tcMar>
              <w:top w:w="15" w:type="dxa"/>
              <w:left w:w="15" w:type="dxa"/>
              <w:right w:w="15" w:type="dxa"/>
            </w:tcMar>
            <w:vAlign w:val="center"/>
          </w:tcPr>
          <w:p w14:paraId="7CEF5DB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城市建成区全年空气质量指数（AQI指数）≤100的天数</w:t>
            </w:r>
          </w:p>
        </w:tc>
        <w:tc>
          <w:tcPr>
            <w:tcW w:w="2818" w:type="dxa"/>
            <w:tcBorders>
              <w:tl2br w:val="nil"/>
              <w:tr2bl w:val="nil"/>
            </w:tcBorders>
            <w:shd w:val="clear" w:color="auto" w:fill="auto"/>
            <w:tcMar>
              <w:top w:w="15" w:type="dxa"/>
              <w:left w:w="15" w:type="dxa"/>
              <w:right w:w="15" w:type="dxa"/>
            </w:tcMar>
            <w:vAlign w:val="center"/>
          </w:tcPr>
          <w:p w14:paraId="7C55C2B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福州市生态环境局</w:t>
            </w:r>
          </w:p>
        </w:tc>
      </w:tr>
      <w:tr w14:paraId="23ABFF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50E8C506">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81</w:t>
            </w:r>
          </w:p>
        </w:tc>
        <w:tc>
          <w:tcPr>
            <w:tcW w:w="2350" w:type="dxa"/>
            <w:tcBorders>
              <w:tl2br w:val="nil"/>
              <w:tr2bl w:val="nil"/>
            </w:tcBorders>
            <w:shd w:val="clear" w:color="auto" w:fill="auto"/>
            <w:tcMar>
              <w:top w:w="15" w:type="dxa"/>
              <w:left w:w="15" w:type="dxa"/>
              <w:right w:w="15" w:type="dxa"/>
            </w:tcMar>
            <w:vAlign w:val="center"/>
          </w:tcPr>
          <w:p w14:paraId="5EFDE91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城市空气质量优良率（%）</w:t>
            </w:r>
          </w:p>
        </w:tc>
        <w:tc>
          <w:tcPr>
            <w:tcW w:w="2430" w:type="dxa"/>
            <w:tcBorders>
              <w:tl2br w:val="nil"/>
              <w:tr2bl w:val="nil"/>
            </w:tcBorders>
            <w:shd w:val="clear" w:color="auto" w:fill="auto"/>
            <w:tcMar>
              <w:top w:w="15" w:type="dxa"/>
              <w:left w:w="15" w:type="dxa"/>
              <w:right w:w="15" w:type="dxa"/>
            </w:tcMar>
            <w:vAlign w:val="center"/>
          </w:tcPr>
          <w:p w14:paraId="288D88F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城市建成区全年空气质量指数（AQI指数）监测天数</w:t>
            </w:r>
          </w:p>
        </w:tc>
        <w:tc>
          <w:tcPr>
            <w:tcW w:w="2818" w:type="dxa"/>
            <w:tcBorders>
              <w:tl2br w:val="nil"/>
              <w:tr2bl w:val="nil"/>
            </w:tcBorders>
            <w:shd w:val="clear" w:color="auto" w:fill="auto"/>
            <w:tcMar>
              <w:top w:w="15" w:type="dxa"/>
              <w:left w:w="15" w:type="dxa"/>
              <w:right w:w="15" w:type="dxa"/>
            </w:tcMar>
            <w:vAlign w:val="center"/>
          </w:tcPr>
          <w:p w14:paraId="033C3BB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福州市生态环境局</w:t>
            </w:r>
          </w:p>
        </w:tc>
      </w:tr>
      <w:tr w14:paraId="6DF08A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A159398">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82</w:t>
            </w:r>
          </w:p>
        </w:tc>
        <w:tc>
          <w:tcPr>
            <w:tcW w:w="2350" w:type="dxa"/>
            <w:tcBorders>
              <w:tl2br w:val="nil"/>
              <w:tr2bl w:val="nil"/>
            </w:tcBorders>
            <w:shd w:val="clear" w:color="auto" w:fill="auto"/>
            <w:tcMar>
              <w:top w:w="15" w:type="dxa"/>
              <w:left w:w="15" w:type="dxa"/>
              <w:right w:w="15" w:type="dxa"/>
            </w:tcMar>
            <w:vAlign w:val="center"/>
          </w:tcPr>
          <w:p w14:paraId="7EB4B76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好于Ⅴ类水体比例（%）</w:t>
            </w:r>
          </w:p>
        </w:tc>
        <w:tc>
          <w:tcPr>
            <w:tcW w:w="2430" w:type="dxa"/>
            <w:tcBorders>
              <w:tl2br w:val="nil"/>
              <w:tr2bl w:val="nil"/>
            </w:tcBorders>
            <w:shd w:val="clear" w:color="auto" w:fill="auto"/>
            <w:tcMar>
              <w:top w:w="15" w:type="dxa"/>
              <w:left w:w="15" w:type="dxa"/>
              <w:right w:w="15" w:type="dxa"/>
            </w:tcMar>
            <w:vAlign w:val="center"/>
          </w:tcPr>
          <w:p w14:paraId="6B4706B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Ⅰ、Ⅱ、Ⅲ、Ⅳ类水体数</w:t>
            </w:r>
          </w:p>
        </w:tc>
        <w:tc>
          <w:tcPr>
            <w:tcW w:w="2818" w:type="dxa"/>
            <w:tcBorders>
              <w:tl2br w:val="nil"/>
              <w:tr2bl w:val="nil"/>
            </w:tcBorders>
            <w:shd w:val="clear" w:color="auto" w:fill="auto"/>
            <w:tcMar>
              <w:top w:w="15" w:type="dxa"/>
              <w:left w:w="15" w:type="dxa"/>
              <w:right w:w="15" w:type="dxa"/>
            </w:tcMar>
            <w:vAlign w:val="center"/>
          </w:tcPr>
          <w:p w14:paraId="556AFCC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福州市生态环境局、福州市水利局</w:t>
            </w:r>
          </w:p>
        </w:tc>
      </w:tr>
      <w:tr w14:paraId="0EEFFD6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035D0912">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83</w:t>
            </w:r>
          </w:p>
        </w:tc>
        <w:tc>
          <w:tcPr>
            <w:tcW w:w="2350" w:type="dxa"/>
            <w:tcBorders>
              <w:tl2br w:val="nil"/>
              <w:tr2bl w:val="nil"/>
            </w:tcBorders>
            <w:shd w:val="clear" w:color="auto" w:fill="auto"/>
            <w:tcMar>
              <w:top w:w="15" w:type="dxa"/>
              <w:left w:w="15" w:type="dxa"/>
              <w:right w:w="15" w:type="dxa"/>
            </w:tcMar>
            <w:vAlign w:val="center"/>
          </w:tcPr>
          <w:p w14:paraId="75E862B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好于Ⅴ类水体比例（%）</w:t>
            </w:r>
          </w:p>
        </w:tc>
        <w:tc>
          <w:tcPr>
            <w:tcW w:w="2430" w:type="dxa"/>
            <w:tcBorders>
              <w:tl2br w:val="nil"/>
              <w:tr2bl w:val="nil"/>
            </w:tcBorders>
            <w:shd w:val="clear" w:color="auto" w:fill="auto"/>
            <w:tcMar>
              <w:top w:w="15" w:type="dxa"/>
              <w:left w:w="15" w:type="dxa"/>
              <w:right w:w="15" w:type="dxa"/>
            </w:tcMar>
            <w:vAlign w:val="center"/>
          </w:tcPr>
          <w:p w14:paraId="735C75F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城市建成区水体数</w:t>
            </w:r>
          </w:p>
        </w:tc>
        <w:tc>
          <w:tcPr>
            <w:tcW w:w="2818" w:type="dxa"/>
            <w:tcBorders>
              <w:tl2br w:val="nil"/>
              <w:tr2bl w:val="nil"/>
            </w:tcBorders>
            <w:shd w:val="clear" w:color="auto" w:fill="auto"/>
            <w:tcMar>
              <w:top w:w="15" w:type="dxa"/>
              <w:left w:w="15" w:type="dxa"/>
              <w:right w:w="15" w:type="dxa"/>
            </w:tcMar>
            <w:vAlign w:val="center"/>
          </w:tcPr>
          <w:p w14:paraId="0656BA2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福州市生态环境局、福州市水利局</w:t>
            </w:r>
          </w:p>
        </w:tc>
      </w:tr>
      <w:tr w14:paraId="0A98FB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308373B">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84</w:t>
            </w:r>
          </w:p>
        </w:tc>
        <w:tc>
          <w:tcPr>
            <w:tcW w:w="2350" w:type="dxa"/>
            <w:tcBorders>
              <w:tl2br w:val="nil"/>
              <w:tr2bl w:val="nil"/>
            </w:tcBorders>
            <w:shd w:val="clear" w:color="auto" w:fill="auto"/>
            <w:tcMar>
              <w:top w:w="15" w:type="dxa"/>
              <w:left w:w="15" w:type="dxa"/>
              <w:right w:w="15" w:type="dxa"/>
            </w:tcMar>
            <w:vAlign w:val="center"/>
          </w:tcPr>
          <w:p w14:paraId="2EBB64A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常住人口万人“八类”暴力案件发案率（%）</w:t>
            </w:r>
          </w:p>
        </w:tc>
        <w:tc>
          <w:tcPr>
            <w:tcW w:w="2430" w:type="dxa"/>
            <w:tcBorders>
              <w:tl2br w:val="nil"/>
              <w:tr2bl w:val="nil"/>
            </w:tcBorders>
            <w:shd w:val="clear" w:color="auto" w:fill="auto"/>
            <w:tcMar>
              <w:top w:w="15" w:type="dxa"/>
              <w:left w:w="15" w:type="dxa"/>
              <w:right w:w="15" w:type="dxa"/>
            </w:tcMar>
            <w:vAlign w:val="center"/>
          </w:tcPr>
          <w:p w14:paraId="26CE03B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年度“八类”暴力案件数（件）</w:t>
            </w:r>
          </w:p>
        </w:tc>
        <w:tc>
          <w:tcPr>
            <w:tcW w:w="2818" w:type="dxa"/>
            <w:tcBorders>
              <w:tl2br w:val="nil"/>
              <w:tr2bl w:val="nil"/>
            </w:tcBorders>
            <w:shd w:val="clear" w:color="auto" w:fill="auto"/>
            <w:tcMar>
              <w:top w:w="15" w:type="dxa"/>
              <w:left w:w="15" w:type="dxa"/>
              <w:right w:w="15" w:type="dxa"/>
            </w:tcMar>
            <w:vAlign w:val="center"/>
          </w:tcPr>
          <w:p w14:paraId="24392F9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福州市公安局</w:t>
            </w:r>
          </w:p>
        </w:tc>
      </w:tr>
      <w:tr w14:paraId="17EE1D2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376F48B">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85</w:t>
            </w:r>
          </w:p>
        </w:tc>
        <w:tc>
          <w:tcPr>
            <w:tcW w:w="2350" w:type="dxa"/>
            <w:tcBorders>
              <w:tl2br w:val="nil"/>
              <w:tr2bl w:val="nil"/>
            </w:tcBorders>
            <w:shd w:val="clear" w:color="auto" w:fill="auto"/>
            <w:tcMar>
              <w:top w:w="15" w:type="dxa"/>
              <w:left w:w="15" w:type="dxa"/>
              <w:right w:w="15" w:type="dxa"/>
            </w:tcMar>
            <w:vAlign w:val="center"/>
          </w:tcPr>
          <w:p w14:paraId="4AA1CF4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常住人口万人“八类”暴力案件发案率（%）</w:t>
            </w:r>
          </w:p>
        </w:tc>
        <w:tc>
          <w:tcPr>
            <w:tcW w:w="2430" w:type="dxa"/>
            <w:tcBorders>
              <w:tl2br w:val="nil"/>
              <w:tr2bl w:val="nil"/>
            </w:tcBorders>
            <w:shd w:val="clear" w:color="auto" w:fill="auto"/>
            <w:tcMar>
              <w:top w:w="15" w:type="dxa"/>
              <w:left w:w="15" w:type="dxa"/>
              <w:right w:w="15" w:type="dxa"/>
            </w:tcMar>
            <w:vAlign w:val="center"/>
          </w:tcPr>
          <w:p w14:paraId="436627A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福州市常住人口</w:t>
            </w:r>
          </w:p>
        </w:tc>
        <w:tc>
          <w:tcPr>
            <w:tcW w:w="2818" w:type="dxa"/>
            <w:tcBorders>
              <w:tl2br w:val="nil"/>
              <w:tr2bl w:val="nil"/>
            </w:tcBorders>
            <w:shd w:val="clear" w:color="auto" w:fill="auto"/>
            <w:tcMar>
              <w:top w:w="15" w:type="dxa"/>
              <w:left w:w="15" w:type="dxa"/>
              <w:right w:w="15" w:type="dxa"/>
            </w:tcMar>
            <w:vAlign w:val="center"/>
          </w:tcPr>
          <w:p w14:paraId="719D435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福州市统计年鉴</w:t>
            </w:r>
          </w:p>
        </w:tc>
      </w:tr>
      <w:tr w14:paraId="2F7F74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50CB363">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86</w:t>
            </w:r>
          </w:p>
        </w:tc>
        <w:tc>
          <w:tcPr>
            <w:tcW w:w="2350" w:type="dxa"/>
            <w:tcBorders>
              <w:tl2br w:val="nil"/>
              <w:tr2bl w:val="nil"/>
            </w:tcBorders>
            <w:shd w:val="clear" w:color="auto" w:fill="auto"/>
            <w:tcMar>
              <w:top w:w="15" w:type="dxa"/>
              <w:left w:w="15" w:type="dxa"/>
              <w:right w:w="15" w:type="dxa"/>
            </w:tcMar>
            <w:vAlign w:val="center"/>
          </w:tcPr>
          <w:p w14:paraId="2049162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亿元国内生产总值生产安全事故死亡率</w:t>
            </w:r>
          </w:p>
        </w:tc>
        <w:tc>
          <w:tcPr>
            <w:tcW w:w="2430" w:type="dxa"/>
            <w:tcBorders>
              <w:tl2br w:val="nil"/>
              <w:tr2bl w:val="nil"/>
            </w:tcBorders>
            <w:shd w:val="clear" w:color="auto" w:fill="auto"/>
            <w:tcMar>
              <w:top w:w="15" w:type="dxa"/>
              <w:left w:w="15" w:type="dxa"/>
              <w:right w:w="15" w:type="dxa"/>
            </w:tcMar>
            <w:vAlign w:val="center"/>
          </w:tcPr>
          <w:p w14:paraId="13FF081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年度当地生产安全事故死亡总人数</w:t>
            </w:r>
          </w:p>
        </w:tc>
        <w:tc>
          <w:tcPr>
            <w:tcW w:w="2818" w:type="dxa"/>
            <w:tcBorders>
              <w:tl2br w:val="nil"/>
              <w:tr2bl w:val="nil"/>
            </w:tcBorders>
            <w:shd w:val="clear" w:color="auto" w:fill="auto"/>
            <w:tcMar>
              <w:top w:w="15" w:type="dxa"/>
              <w:left w:w="15" w:type="dxa"/>
              <w:right w:w="15" w:type="dxa"/>
            </w:tcMar>
            <w:vAlign w:val="center"/>
          </w:tcPr>
          <w:p w14:paraId="1C5F77C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福州市应急管理局</w:t>
            </w:r>
          </w:p>
        </w:tc>
      </w:tr>
      <w:tr w14:paraId="7E9F6A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91E7DEA">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87</w:t>
            </w:r>
          </w:p>
        </w:tc>
        <w:tc>
          <w:tcPr>
            <w:tcW w:w="2350" w:type="dxa"/>
            <w:tcBorders>
              <w:tl2br w:val="nil"/>
              <w:tr2bl w:val="nil"/>
            </w:tcBorders>
            <w:shd w:val="clear" w:color="auto" w:fill="auto"/>
            <w:tcMar>
              <w:top w:w="15" w:type="dxa"/>
              <w:left w:w="15" w:type="dxa"/>
              <w:right w:w="15" w:type="dxa"/>
            </w:tcMar>
            <w:vAlign w:val="center"/>
          </w:tcPr>
          <w:p w14:paraId="78D4E89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亿元国内生产总值生产安全事故死亡率</w:t>
            </w:r>
          </w:p>
        </w:tc>
        <w:tc>
          <w:tcPr>
            <w:tcW w:w="2430" w:type="dxa"/>
            <w:tcBorders>
              <w:tl2br w:val="nil"/>
              <w:tr2bl w:val="nil"/>
            </w:tcBorders>
            <w:shd w:val="clear" w:color="auto" w:fill="auto"/>
            <w:tcMar>
              <w:top w:w="15" w:type="dxa"/>
              <w:left w:w="15" w:type="dxa"/>
              <w:right w:w="15" w:type="dxa"/>
            </w:tcMar>
            <w:vAlign w:val="center"/>
          </w:tcPr>
          <w:p w14:paraId="6959145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年度当地亿元GDP（以亿元为单位）</w:t>
            </w:r>
          </w:p>
        </w:tc>
        <w:tc>
          <w:tcPr>
            <w:tcW w:w="2818" w:type="dxa"/>
            <w:tcBorders>
              <w:tl2br w:val="nil"/>
              <w:tr2bl w:val="nil"/>
            </w:tcBorders>
            <w:shd w:val="clear" w:color="auto" w:fill="auto"/>
            <w:tcMar>
              <w:top w:w="15" w:type="dxa"/>
              <w:left w:w="15" w:type="dxa"/>
              <w:right w:w="15" w:type="dxa"/>
            </w:tcMar>
            <w:vAlign w:val="center"/>
          </w:tcPr>
          <w:p w14:paraId="55F68D6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福州市统计年鉴</w:t>
            </w:r>
          </w:p>
        </w:tc>
      </w:tr>
      <w:tr w14:paraId="34C6FF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C5F4B13">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88</w:t>
            </w:r>
          </w:p>
        </w:tc>
        <w:tc>
          <w:tcPr>
            <w:tcW w:w="2350" w:type="dxa"/>
            <w:tcBorders>
              <w:tl2br w:val="nil"/>
              <w:tr2bl w:val="nil"/>
            </w:tcBorders>
            <w:shd w:val="clear" w:color="auto" w:fill="auto"/>
            <w:tcMar>
              <w:top w:w="15" w:type="dxa"/>
              <w:left w:w="15" w:type="dxa"/>
              <w:right w:w="15" w:type="dxa"/>
            </w:tcMar>
            <w:vAlign w:val="center"/>
          </w:tcPr>
          <w:p w14:paraId="1F6FA35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万车死亡率（%）</w:t>
            </w:r>
          </w:p>
        </w:tc>
        <w:tc>
          <w:tcPr>
            <w:tcW w:w="2430" w:type="dxa"/>
            <w:tcBorders>
              <w:tl2br w:val="nil"/>
              <w:tr2bl w:val="nil"/>
            </w:tcBorders>
            <w:shd w:val="clear" w:color="auto" w:fill="auto"/>
            <w:tcMar>
              <w:top w:w="15" w:type="dxa"/>
              <w:left w:w="15" w:type="dxa"/>
              <w:right w:w="15" w:type="dxa"/>
            </w:tcMar>
            <w:vAlign w:val="center"/>
          </w:tcPr>
          <w:p w14:paraId="6CB2C39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交通事故死亡人数</w:t>
            </w:r>
          </w:p>
        </w:tc>
        <w:tc>
          <w:tcPr>
            <w:tcW w:w="2818" w:type="dxa"/>
            <w:tcBorders>
              <w:tl2br w:val="nil"/>
              <w:tr2bl w:val="nil"/>
            </w:tcBorders>
            <w:shd w:val="clear" w:color="auto" w:fill="auto"/>
            <w:tcMar>
              <w:top w:w="15" w:type="dxa"/>
              <w:left w:w="15" w:type="dxa"/>
              <w:right w:w="15" w:type="dxa"/>
            </w:tcMar>
            <w:vAlign w:val="center"/>
          </w:tcPr>
          <w:p w14:paraId="2DFFA82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福州市公安局交通警察支队</w:t>
            </w:r>
          </w:p>
        </w:tc>
      </w:tr>
      <w:tr w14:paraId="184410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6930E85C">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89</w:t>
            </w:r>
          </w:p>
        </w:tc>
        <w:tc>
          <w:tcPr>
            <w:tcW w:w="2350" w:type="dxa"/>
            <w:tcBorders>
              <w:tl2br w:val="nil"/>
              <w:tr2bl w:val="nil"/>
            </w:tcBorders>
            <w:shd w:val="clear" w:color="auto" w:fill="auto"/>
            <w:tcMar>
              <w:top w:w="15" w:type="dxa"/>
              <w:left w:w="15" w:type="dxa"/>
              <w:right w:w="15" w:type="dxa"/>
            </w:tcMar>
            <w:vAlign w:val="center"/>
          </w:tcPr>
          <w:p w14:paraId="3FE60DD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万车死亡率（%）</w:t>
            </w:r>
          </w:p>
        </w:tc>
        <w:tc>
          <w:tcPr>
            <w:tcW w:w="2430" w:type="dxa"/>
            <w:tcBorders>
              <w:tl2br w:val="nil"/>
              <w:tr2bl w:val="nil"/>
            </w:tcBorders>
            <w:shd w:val="clear" w:color="auto" w:fill="auto"/>
            <w:tcMar>
              <w:top w:w="15" w:type="dxa"/>
              <w:left w:w="15" w:type="dxa"/>
              <w:right w:w="15" w:type="dxa"/>
            </w:tcMar>
            <w:vAlign w:val="center"/>
          </w:tcPr>
          <w:p w14:paraId="22F90EE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机动车拥有量（万车）</w:t>
            </w:r>
          </w:p>
        </w:tc>
        <w:tc>
          <w:tcPr>
            <w:tcW w:w="2818" w:type="dxa"/>
            <w:tcBorders>
              <w:tl2br w:val="nil"/>
              <w:tr2bl w:val="nil"/>
            </w:tcBorders>
            <w:shd w:val="clear" w:color="auto" w:fill="auto"/>
            <w:tcMar>
              <w:top w:w="15" w:type="dxa"/>
              <w:left w:w="15" w:type="dxa"/>
              <w:right w:w="15" w:type="dxa"/>
            </w:tcMar>
            <w:vAlign w:val="center"/>
          </w:tcPr>
          <w:p w14:paraId="6AF0F695">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福州市公安局交通警察支队</w:t>
            </w:r>
          </w:p>
        </w:tc>
      </w:tr>
      <w:tr w14:paraId="297DB7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47E1C7D7">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90</w:t>
            </w:r>
          </w:p>
        </w:tc>
        <w:tc>
          <w:tcPr>
            <w:tcW w:w="2350" w:type="dxa"/>
            <w:tcBorders>
              <w:tl2br w:val="nil"/>
              <w:tr2bl w:val="nil"/>
            </w:tcBorders>
            <w:shd w:val="clear" w:color="auto" w:fill="auto"/>
            <w:tcMar>
              <w:top w:w="15" w:type="dxa"/>
              <w:left w:w="15" w:type="dxa"/>
              <w:right w:w="15" w:type="dxa"/>
            </w:tcMar>
            <w:vAlign w:val="center"/>
          </w:tcPr>
          <w:p w14:paraId="0960AE6D">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年度“生命线”事故数</w:t>
            </w:r>
          </w:p>
        </w:tc>
        <w:tc>
          <w:tcPr>
            <w:tcW w:w="2430" w:type="dxa"/>
            <w:tcBorders>
              <w:tl2br w:val="nil"/>
              <w:tr2bl w:val="nil"/>
            </w:tcBorders>
            <w:shd w:val="clear" w:color="auto" w:fill="auto"/>
            <w:tcMar>
              <w:top w:w="15" w:type="dxa"/>
              <w:left w:w="15" w:type="dxa"/>
              <w:right w:w="15" w:type="dxa"/>
            </w:tcMar>
            <w:vAlign w:val="center"/>
          </w:tcPr>
          <w:p w14:paraId="2AA9983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年度因城市“生命线”建设、管理、运行维护方面的问题，导致城市发生内涝、管线泄漏爆炸、路面塌陷等事故数</w:t>
            </w:r>
          </w:p>
        </w:tc>
        <w:tc>
          <w:tcPr>
            <w:tcW w:w="2818" w:type="dxa"/>
            <w:tcBorders>
              <w:tl2br w:val="nil"/>
              <w:tr2bl w:val="nil"/>
            </w:tcBorders>
            <w:shd w:val="clear" w:color="auto" w:fill="auto"/>
            <w:tcMar>
              <w:top w:w="15" w:type="dxa"/>
              <w:left w:w="15" w:type="dxa"/>
              <w:right w:w="15" w:type="dxa"/>
            </w:tcMar>
            <w:vAlign w:val="center"/>
          </w:tcPr>
          <w:p w14:paraId="174E8A3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福州市应急管理局</w:t>
            </w:r>
          </w:p>
        </w:tc>
      </w:tr>
      <w:tr w14:paraId="1480C2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71C565EB">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91</w:t>
            </w:r>
          </w:p>
        </w:tc>
        <w:tc>
          <w:tcPr>
            <w:tcW w:w="2350" w:type="dxa"/>
            <w:tcBorders>
              <w:tl2br w:val="nil"/>
              <w:tr2bl w:val="nil"/>
            </w:tcBorders>
            <w:shd w:val="clear" w:color="auto" w:fill="auto"/>
            <w:tcMar>
              <w:top w:w="15" w:type="dxa"/>
              <w:left w:w="15" w:type="dxa"/>
              <w:right w:w="15" w:type="dxa"/>
            </w:tcMar>
            <w:vAlign w:val="center"/>
          </w:tcPr>
          <w:p w14:paraId="3C3164C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窨井盖完好率（%）</w:t>
            </w:r>
          </w:p>
        </w:tc>
        <w:tc>
          <w:tcPr>
            <w:tcW w:w="2430" w:type="dxa"/>
            <w:tcBorders>
              <w:tl2br w:val="nil"/>
              <w:tr2bl w:val="nil"/>
            </w:tcBorders>
            <w:shd w:val="clear" w:color="auto" w:fill="auto"/>
            <w:tcMar>
              <w:top w:w="15" w:type="dxa"/>
              <w:left w:w="15" w:type="dxa"/>
              <w:right w:w="15" w:type="dxa"/>
            </w:tcMar>
            <w:vAlign w:val="center"/>
          </w:tcPr>
          <w:p w14:paraId="2D01E7D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年度窨井盖问题数量</w:t>
            </w:r>
          </w:p>
        </w:tc>
        <w:tc>
          <w:tcPr>
            <w:tcW w:w="2818" w:type="dxa"/>
            <w:tcBorders>
              <w:tl2br w:val="nil"/>
              <w:tr2bl w:val="nil"/>
            </w:tcBorders>
            <w:shd w:val="clear" w:color="auto" w:fill="auto"/>
            <w:tcMar>
              <w:top w:w="15" w:type="dxa"/>
              <w:left w:w="15" w:type="dxa"/>
              <w:right w:w="15" w:type="dxa"/>
            </w:tcMar>
            <w:vAlign w:val="center"/>
          </w:tcPr>
          <w:p w14:paraId="25E4E6A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　</w:t>
            </w:r>
          </w:p>
        </w:tc>
      </w:tr>
      <w:tr w14:paraId="247C2A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15D1A2A">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92</w:t>
            </w:r>
          </w:p>
        </w:tc>
        <w:tc>
          <w:tcPr>
            <w:tcW w:w="2350" w:type="dxa"/>
            <w:tcBorders>
              <w:tl2br w:val="nil"/>
              <w:tr2bl w:val="nil"/>
            </w:tcBorders>
            <w:shd w:val="clear" w:color="auto" w:fill="auto"/>
            <w:tcMar>
              <w:top w:w="15" w:type="dxa"/>
              <w:left w:w="15" w:type="dxa"/>
              <w:right w:w="15" w:type="dxa"/>
            </w:tcMar>
            <w:vAlign w:val="center"/>
          </w:tcPr>
          <w:p w14:paraId="7FAE5C2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窨井盖完好率（%）</w:t>
            </w:r>
          </w:p>
        </w:tc>
        <w:tc>
          <w:tcPr>
            <w:tcW w:w="2430" w:type="dxa"/>
            <w:tcBorders>
              <w:tl2br w:val="nil"/>
              <w:tr2bl w:val="nil"/>
            </w:tcBorders>
            <w:shd w:val="clear" w:color="auto" w:fill="auto"/>
            <w:tcMar>
              <w:top w:w="15" w:type="dxa"/>
              <w:left w:w="15" w:type="dxa"/>
              <w:right w:w="15" w:type="dxa"/>
            </w:tcMar>
            <w:vAlign w:val="center"/>
          </w:tcPr>
          <w:p w14:paraId="2D736D8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窨井盖总数</w:t>
            </w:r>
          </w:p>
        </w:tc>
        <w:tc>
          <w:tcPr>
            <w:tcW w:w="2818" w:type="dxa"/>
            <w:tcBorders>
              <w:tl2br w:val="nil"/>
              <w:tr2bl w:val="nil"/>
            </w:tcBorders>
            <w:shd w:val="clear" w:color="auto" w:fill="auto"/>
            <w:tcMar>
              <w:top w:w="15" w:type="dxa"/>
              <w:left w:w="15" w:type="dxa"/>
              <w:right w:w="15" w:type="dxa"/>
            </w:tcMar>
            <w:vAlign w:val="center"/>
          </w:tcPr>
          <w:p w14:paraId="733CCB3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　</w:t>
            </w:r>
          </w:p>
        </w:tc>
      </w:tr>
      <w:tr w14:paraId="6DCBB08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4A638E5">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93</w:t>
            </w:r>
          </w:p>
        </w:tc>
        <w:tc>
          <w:tcPr>
            <w:tcW w:w="2350" w:type="dxa"/>
            <w:tcBorders>
              <w:tl2br w:val="nil"/>
              <w:tr2bl w:val="nil"/>
            </w:tcBorders>
            <w:shd w:val="clear" w:color="auto" w:fill="auto"/>
            <w:tcMar>
              <w:top w:w="15" w:type="dxa"/>
              <w:left w:w="15" w:type="dxa"/>
              <w:right w:w="15" w:type="dxa"/>
            </w:tcMar>
            <w:vAlign w:val="center"/>
          </w:tcPr>
          <w:p w14:paraId="7A82C11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120平均到达时间</w:t>
            </w:r>
          </w:p>
        </w:tc>
        <w:tc>
          <w:tcPr>
            <w:tcW w:w="2430" w:type="dxa"/>
            <w:tcBorders>
              <w:tl2br w:val="nil"/>
              <w:tr2bl w:val="nil"/>
            </w:tcBorders>
            <w:shd w:val="clear" w:color="auto" w:fill="auto"/>
            <w:tcMar>
              <w:top w:w="15" w:type="dxa"/>
              <w:left w:w="15" w:type="dxa"/>
              <w:right w:w="15" w:type="dxa"/>
            </w:tcMar>
            <w:vAlign w:val="center"/>
          </w:tcPr>
          <w:p w14:paraId="75E6C63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120平均到达时间</w:t>
            </w:r>
          </w:p>
        </w:tc>
        <w:tc>
          <w:tcPr>
            <w:tcW w:w="2818" w:type="dxa"/>
            <w:tcBorders>
              <w:tl2br w:val="nil"/>
              <w:tr2bl w:val="nil"/>
            </w:tcBorders>
            <w:shd w:val="clear" w:color="auto" w:fill="auto"/>
            <w:tcMar>
              <w:top w:w="15" w:type="dxa"/>
              <w:left w:w="15" w:type="dxa"/>
              <w:right w:w="15" w:type="dxa"/>
            </w:tcMar>
            <w:vAlign w:val="center"/>
          </w:tcPr>
          <w:p w14:paraId="05770D0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福州市卫生健康委员会、福州市消防救援支队、福州市公安局</w:t>
            </w:r>
          </w:p>
        </w:tc>
      </w:tr>
      <w:tr w14:paraId="179B4A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0C04E2F">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94</w:t>
            </w:r>
          </w:p>
        </w:tc>
        <w:tc>
          <w:tcPr>
            <w:tcW w:w="2350" w:type="dxa"/>
            <w:tcBorders>
              <w:tl2br w:val="nil"/>
              <w:tr2bl w:val="nil"/>
            </w:tcBorders>
            <w:shd w:val="clear" w:color="auto" w:fill="auto"/>
            <w:tcMar>
              <w:top w:w="15" w:type="dxa"/>
              <w:left w:w="15" w:type="dxa"/>
              <w:right w:w="15" w:type="dxa"/>
            </w:tcMar>
            <w:vAlign w:val="center"/>
          </w:tcPr>
          <w:p w14:paraId="527B8A2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119平均到达时间</w:t>
            </w:r>
          </w:p>
        </w:tc>
        <w:tc>
          <w:tcPr>
            <w:tcW w:w="2430" w:type="dxa"/>
            <w:tcBorders>
              <w:tl2br w:val="nil"/>
              <w:tr2bl w:val="nil"/>
            </w:tcBorders>
            <w:shd w:val="clear" w:color="auto" w:fill="auto"/>
            <w:tcMar>
              <w:top w:w="15" w:type="dxa"/>
              <w:left w:w="15" w:type="dxa"/>
              <w:right w:w="15" w:type="dxa"/>
            </w:tcMar>
            <w:vAlign w:val="center"/>
          </w:tcPr>
          <w:p w14:paraId="0B05153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119平均到达时间</w:t>
            </w:r>
          </w:p>
        </w:tc>
        <w:tc>
          <w:tcPr>
            <w:tcW w:w="2818" w:type="dxa"/>
            <w:tcBorders>
              <w:tl2br w:val="nil"/>
              <w:tr2bl w:val="nil"/>
            </w:tcBorders>
            <w:shd w:val="clear" w:color="auto" w:fill="auto"/>
            <w:tcMar>
              <w:top w:w="15" w:type="dxa"/>
              <w:left w:w="15" w:type="dxa"/>
              <w:right w:w="15" w:type="dxa"/>
            </w:tcMar>
            <w:vAlign w:val="center"/>
          </w:tcPr>
          <w:p w14:paraId="77E3BA6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福州市卫生健康委员会、福州市消防救援支队、福州市公安局</w:t>
            </w:r>
          </w:p>
        </w:tc>
      </w:tr>
      <w:tr w14:paraId="11C007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A5A40AB">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95</w:t>
            </w:r>
          </w:p>
        </w:tc>
        <w:tc>
          <w:tcPr>
            <w:tcW w:w="2350" w:type="dxa"/>
            <w:tcBorders>
              <w:tl2br w:val="nil"/>
              <w:tr2bl w:val="nil"/>
            </w:tcBorders>
            <w:shd w:val="clear" w:color="auto" w:fill="auto"/>
            <w:tcMar>
              <w:top w:w="15" w:type="dxa"/>
              <w:left w:w="15" w:type="dxa"/>
              <w:right w:w="15" w:type="dxa"/>
            </w:tcMar>
            <w:vAlign w:val="center"/>
          </w:tcPr>
          <w:p w14:paraId="64ECAD5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市区消防员占常住人口比例</w:t>
            </w:r>
          </w:p>
        </w:tc>
        <w:tc>
          <w:tcPr>
            <w:tcW w:w="2430" w:type="dxa"/>
            <w:tcBorders>
              <w:tl2br w:val="nil"/>
              <w:tr2bl w:val="nil"/>
            </w:tcBorders>
            <w:shd w:val="clear" w:color="auto" w:fill="auto"/>
            <w:tcMar>
              <w:top w:w="15" w:type="dxa"/>
              <w:left w:w="15" w:type="dxa"/>
              <w:right w:w="15" w:type="dxa"/>
            </w:tcMar>
            <w:vAlign w:val="center"/>
          </w:tcPr>
          <w:p w14:paraId="2997D38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市区总消防员数（人）</w:t>
            </w:r>
          </w:p>
        </w:tc>
        <w:tc>
          <w:tcPr>
            <w:tcW w:w="2818" w:type="dxa"/>
            <w:tcBorders>
              <w:tl2br w:val="nil"/>
              <w:tr2bl w:val="nil"/>
            </w:tcBorders>
            <w:shd w:val="clear" w:color="auto" w:fill="auto"/>
            <w:tcMar>
              <w:top w:w="15" w:type="dxa"/>
              <w:left w:w="15" w:type="dxa"/>
              <w:right w:w="15" w:type="dxa"/>
            </w:tcMar>
            <w:vAlign w:val="center"/>
          </w:tcPr>
          <w:p w14:paraId="2883C7E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福州市消防救援支队</w:t>
            </w:r>
          </w:p>
        </w:tc>
      </w:tr>
      <w:tr w14:paraId="2916516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6C2332D">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96</w:t>
            </w:r>
          </w:p>
        </w:tc>
        <w:tc>
          <w:tcPr>
            <w:tcW w:w="2350" w:type="dxa"/>
            <w:tcBorders>
              <w:tl2br w:val="nil"/>
              <w:tr2bl w:val="nil"/>
            </w:tcBorders>
            <w:shd w:val="clear" w:color="auto" w:fill="auto"/>
            <w:tcMar>
              <w:top w:w="15" w:type="dxa"/>
              <w:left w:w="15" w:type="dxa"/>
              <w:right w:w="15" w:type="dxa"/>
            </w:tcMar>
            <w:vAlign w:val="center"/>
          </w:tcPr>
          <w:p w14:paraId="24B894A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市区消防员占常住人口比例</w:t>
            </w:r>
          </w:p>
        </w:tc>
        <w:tc>
          <w:tcPr>
            <w:tcW w:w="2430" w:type="dxa"/>
            <w:tcBorders>
              <w:tl2br w:val="nil"/>
              <w:tr2bl w:val="nil"/>
            </w:tcBorders>
            <w:shd w:val="clear" w:color="auto" w:fill="auto"/>
            <w:tcMar>
              <w:top w:w="15" w:type="dxa"/>
              <w:left w:w="15" w:type="dxa"/>
              <w:right w:w="15" w:type="dxa"/>
            </w:tcMar>
            <w:vAlign w:val="center"/>
          </w:tcPr>
          <w:p w14:paraId="3F280AF0">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城市常住人口数（万人）</w:t>
            </w:r>
          </w:p>
        </w:tc>
        <w:tc>
          <w:tcPr>
            <w:tcW w:w="2818" w:type="dxa"/>
            <w:tcBorders>
              <w:tl2br w:val="nil"/>
              <w:tr2bl w:val="nil"/>
            </w:tcBorders>
            <w:shd w:val="clear" w:color="auto" w:fill="auto"/>
            <w:tcMar>
              <w:top w:w="15" w:type="dxa"/>
              <w:left w:w="15" w:type="dxa"/>
              <w:right w:w="15" w:type="dxa"/>
            </w:tcMar>
            <w:vAlign w:val="center"/>
          </w:tcPr>
          <w:p w14:paraId="114DE15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福州市统计年鉴</w:t>
            </w:r>
          </w:p>
        </w:tc>
      </w:tr>
      <w:tr w14:paraId="4BEE44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6D26F724">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97</w:t>
            </w:r>
          </w:p>
        </w:tc>
        <w:tc>
          <w:tcPr>
            <w:tcW w:w="2350" w:type="dxa"/>
            <w:tcBorders>
              <w:tl2br w:val="nil"/>
              <w:tr2bl w:val="nil"/>
            </w:tcBorders>
            <w:shd w:val="clear" w:color="auto" w:fill="auto"/>
            <w:tcMar>
              <w:top w:w="15" w:type="dxa"/>
              <w:left w:w="15" w:type="dxa"/>
              <w:right w:w="15" w:type="dxa"/>
            </w:tcMar>
            <w:vAlign w:val="center"/>
          </w:tcPr>
          <w:p w14:paraId="6A1C547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每万人医生数、每万人护士数（人/万人），每千人医疗机构床位数（张/千人）</w:t>
            </w:r>
          </w:p>
        </w:tc>
        <w:tc>
          <w:tcPr>
            <w:tcW w:w="2430" w:type="dxa"/>
            <w:tcBorders>
              <w:tl2br w:val="nil"/>
              <w:tr2bl w:val="nil"/>
            </w:tcBorders>
            <w:shd w:val="clear" w:color="auto" w:fill="auto"/>
            <w:tcMar>
              <w:top w:w="15" w:type="dxa"/>
              <w:left w:w="15" w:type="dxa"/>
              <w:right w:w="15" w:type="dxa"/>
            </w:tcMar>
            <w:vAlign w:val="center"/>
          </w:tcPr>
          <w:p w14:paraId="28DCA78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医生数</w:t>
            </w:r>
          </w:p>
        </w:tc>
        <w:tc>
          <w:tcPr>
            <w:tcW w:w="2818" w:type="dxa"/>
            <w:tcBorders>
              <w:tl2br w:val="nil"/>
              <w:tr2bl w:val="nil"/>
            </w:tcBorders>
            <w:shd w:val="clear" w:color="auto" w:fill="auto"/>
            <w:tcMar>
              <w:top w:w="15" w:type="dxa"/>
              <w:left w:w="15" w:type="dxa"/>
              <w:right w:w="15" w:type="dxa"/>
            </w:tcMar>
            <w:vAlign w:val="center"/>
          </w:tcPr>
          <w:p w14:paraId="7C3A776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福州市统计年鉴</w:t>
            </w:r>
          </w:p>
        </w:tc>
      </w:tr>
      <w:tr w14:paraId="5450B5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0A1E0D5">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98</w:t>
            </w:r>
          </w:p>
        </w:tc>
        <w:tc>
          <w:tcPr>
            <w:tcW w:w="2350" w:type="dxa"/>
            <w:tcBorders>
              <w:tl2br w:val="nil"/>
              <w:tr2bl w:val="nil"/>
            </w:tcBorders>
            <w:shd w:val="clear" w:color="auto" w:fill="auto"/>
            <w:tcMar>
              <w:top w:w="15" w:type="dxa"/>
              <w:left w:w="15" w:type="dxa"/>
              <w:right w:w="15" w:type="dxa"/>
            </w:tcMar>
            <w:vAlign w:val="center"/>
          </w:tcPr>
          <w:p w14:paraId="636C36B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每万人医生数、每万人护士数（人/万人），每千人医疗机构床位数（张/千人）</w:t>
            </w:r>
          </w:p>
        </w:tc>
        <w:tc>
          <w:tcPr>
            <w:tcW w:w="2430" w:type="dxa"/>
            <w:tcBorders>
              <w:tl2br w:val="nil"/>
              <w:tr2bl w:val="nil"/>
            </w:tcBorders>
            <w:shd w:val="clear" w:color="auto" w:fill="auto"/>
            <w:tcMar>
              <w:top w:w="15" w:type="dxa"/>
              <w:left w:w="15" w:type="dxa"/>
              <w:right w:w="15" w:type="dxa"/>
            </w:tcMar>
            <w:vAlign w:val="center"/>
          </w:tcPr>
          <w:p w14:paraId="2161F93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护士数</w:t>
            </w:r>
          </w:p>
        </w:tc>
        <w:tc>
          <w:tcPr>
            <w:tcW w:w="2818" w:type="dxa"/>
            <w:tcBorders>
              <w:tl2br w:val="nil"/>
              <w:tr2bl w:val="nil"/>
            </w:tcBorders>
            <w:shd w:val="clear" w:color="auto" w:fill="auto"/>
            <w:tcMar>
              <w:top w:w="15" w:type="dxa"/>
              <w:left w:w="15" w:type="dxa"/>
              <w:right w:w="15" w:type="dxa"/>
            </w:tcMar>
            <w:vAlign w:val="center"/>
          </w:tcPr>
          <w:p w14:paraId="254EFBF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福州市统计年鉴</w:t>
            </w:r>
          </w:p>
        </w:tc>
      </w:tr>
      <w:tr w14:paraId="503801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56FEA4EC">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99</w:t>
            </w:r>
          </w:p>
        </w:tc>
        <w:tc>
          <w:tcPr>
            <w:tcW w:w="2350" w:type="dxa"/>
            <w:tcBorders>
              <w:tl2br w:val="nil"/>
              <w:tr2bl w:val="nil"/>
            </w:tcBorders>
            <w:shd w:val="clear" w:color="auto" w:fill="auto"/>
            <w:tcMar>
              <w:top w:w="15" w:type="dxa"/>
              <w:left w:w="15" w:type="dxa"/>
              <w:right w:w="15" w:type="dxa"/>
            </w:tcMar>
            <w:vAlign w:val="center"/>
          </w:tcPr>
          <w:p w14:paraId="00F71B2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每万人医生数、每万人护士数（人/万人），每千人医疗机构床位数（张/千人）</w:t>
            </w:r>
          </w:p>
        </w:tc>
        <w:tc>
          <w:tcPr>
            <w:tcW w:w="2430" w:type="dxa"/>
            <w:tcBorders>
              <w:tl2br w:val="nil"/>
              <w:tr2bl w:val="nil"/>
            </w:tcBorders>
            <w:shd w:val="clear" w:color="auto" w:fill="auto"/>
            <w:tcMar>
              <w:top w:w="15" w:type="dxa"/>
              <w:left w:w="15" w:type="dxa"/>
              <w:right w:w="15" w:type="dxa"/>
            </w:tcMar>
            <w:vAlign w:val="center"/>
          </w:tcPr>
          <w:p w14:paraId="315A542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医疗机构床位数</w:t>
            </w:r>
          </w:p>
        </w:tc>
        <w:tc>
          <w:tcPr>
            <w:tcW w:w="2818" w:type="dxa"/>
            <w:tcBorders>
              <w:tl2br w:val="nil"/>
              <w:tr2bl w:val="nil"/>
            </w:tcBorders>
            <w:shd w:val="clear" w:color="auto" w:fill="auto"/>
            <w:tcMar>
              <w:top w:w="15" w:type="dxa"/>
              <w:left w:w="15" w:type="dxa"/>
              <w:right w:w="15" w:type="dxa"/>
            </w:tcMar>
            <w:vAlign w:val="center"/>
          </w:tcPr>
          <w:p w14:paraId="3AFBFF0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福州市统计年鉴</w:t>
            </w:r>
          </w:p>
        </w:tc>
      </w:tr>
      <w:tr w14:paraId="3EC8CF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558608E9">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100</w:t>
            </w:r>
          </w:p>
        </w:tc>
        <w:tc>
          <w:tcPr>
            <w:tcW w:w="2350" w:type="dxa"/>
            <w:tcBorders>
              <w:tl2br w:val="nil"/>
              <w:tr2bl w:val="nil"/>
            </w:tcBorders>
            <w:shd w:val="clear" w:color="auto" w:fill="auto"/>
            <w:tcMar>
              <w:top w:w="15" w:type="dxa"/>
              <w:left w:w="15" w:type="dxa"/>
              <w:right w:w="15" w:type="dxa"/>
            </w:tcMar>
            <w:vAlign w:val="center"/>
          </w:tcPr>
          <w:p w14:paraId="5143A7F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城市管理信息化平台覆盖率（%）</w:t>
            </w:r>
          </w:p>
        </w:tc>
        <w:tc>
          <w:tcPr>
            <w:tcW w:w="2430" w:type="dxa"/>
            <w:tcBorders>
              <w:tl2br w:val="nil"/>
              <w:tr2bl w:val="nil"/>
            </w:tcBorders>
            <w:shd w:val="clear" w:color="auto" w:fill="auto"/>
            <w:tcMar>
              <w:top w:w="15" w:type="dxa"/>
              <w:left w:w="15" w:type="dxa"/>
              <w:right w:w="15" w:type="dxa"/>
            </w:tcMar>
            <w:vAlign w:val="center"/>
          </w:tcPr>
          <w:p w14:paraId="501449E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建成使用城市管理信息化平台的市辖区数量</w:t>
            </w:r>
          </w:p>
        </w:tc>
        <w:tc>
          <w:tcPr>
            <w:tcW w:w="2818" w:type="dxa"/>
            <w:tcBorders>
              <w:tl2br w:val="nil"/>
              <w:tr2bl w:val="nil"/>
            </w:tcBorders>
            <w:shd w:val="clear" w:color="auto" w:fill="auto"/>
            <w:tcMar>
              <w:top w:w="15" w:type="dxa"/>
              <w:left w:w="15" w:type="dxa"/>
              <w:right w:w="15" w:type="dxa"/>
            </w:tcMar>
            <w:vAlign w:val="center"/>
          </w:tcPr>
          <w:p w14:paraId="09BA178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福州市智慧福州中心</w:t>
            </w:r>
          </w:p>
        </w:tc>
      </w:tr>
      <w:tr w14:paraId="515788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6ED7FF13">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101</w:t>
            </w:r>
          </w:p>
        </w:tc>
        <w:tc>
          <w:tcPr>
            <w:tcW w:w="2350" w:type="dxa"/>
            <w:tcBorders>
              <w:tl2br w:val="nil"/>
              <w:tr2bl w:val="nil"/>
            </w:tcBorders>
            <w:shd w:val="clear" w:color="auto" w:fill="auto"/>
            <w:tcMar>
              <w:top w:w="15" w:type="dxa"/>
              <w:left w:w="15" w:type="dxa"/>
              <w:right w:w="15" w:type="dxa"/>
            </w:tcMar>
            <w:vAlign w:val="center"/>
          </w:tcPr>
          <w:p w14:paraId="123E5F4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按期处置率（%）</w:t>
            </w:r>
          </w:p>
        </w:tc>
        <w:tc>
          <w:tcPr>
            <w:tcW w:w="2430" w:type="dxa"/>
            <w:tcBorders>
              <w:tl2br w:val="nil"/>
              <w:tr2bl w:val="nil"/>
            </w:tcBorders>
            <w:shd w:val="clear" w:color="auto" w:fill="auto"/>
            <w:tcMar>
              <w:top w:w="15" w:type="dxa"/>
              <w:left w:w="15" w:type="dxa"/>
              <w:right w:w="15" w:type="dxa"/>
            </w:tcMar>
            <w:vAlign w:val="center"/>
          </w:tcPr>
          <w:p w14:paraId="1C8279B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按期处置率</w:t>
            </w:r>
          </w:p>
        </w:tc>
        <w:tc>
          <w:tcPr>
            <w:tcW w:w="2818" w:type="dxa"/>
            <w:tcBorders>
              <w:tl2br w:val="nil"/>
              <w:tr2bl w:val="nil"/>
            </w:tcBorders>
            <w:shd w:val="clear" w:color="auto" w:fill="auto"/>
            <w:tcMar>
              <w:top w:w="15" w:type="dxa"/>
              <w:left w:w="15" w:type="dxa"/>
              <w:right w:w="15" w:type="dxa"/>
            </w:tcMar>
            <w:vAlign w:val="center"/>
          </w:tcPr>
          <w:p w14:paraId="1B5E099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福州市智慧福州中心</w:t>
            </w:r>
          </w:p>
        </w:tc>
      </w:tr>
      <w:tr w14:paraId="59A5C1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41D5653">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102</w:t>
            </w:r>
          </w:p>
        </w:tc>
        <w:tc>
          <w:tcPr>
            <w:tcW w:w="2350" w:type="dxa"/>
            <w:tcBorders>
              <w:tl2br w:val="nil"/>
              <w:tr2bl w:val="nil"/>
            </w:tcBorders>
            <w:shd w:val="clear" w:color="auto" w:fill="auto"/>
            <w:tcMar>
              <w:top w:w="15" w:type="dxa"/>
              <w:left w:w="15" w:type="dxa"/>
              <w:right w:w="15" w:type="dxa"/>
            </w:tcMar>
            <w:vAlign w:val="center"/>
          </w:tcPr>
          <w:p w14:paraId="098D03F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群众诉求处置回访满意度</w:t>
            </w:r>
          </w:p>
        </w:tc>
        <w:tc>
          <w:tcPr>
            <w:tcW w:w="2430" w:type="dxa"/>
            <w:tcBorders>
              <w:tl2br w:val="nil"/>
              <w:tr2bl w:val="nil"/>
            </w:tcBorders>
            <w:shd w:val="clear" w:color="auto" w:fill="auto"/>
            <w:tcMar>
              <w:top w:w="15" w:type="dxa"/>
              <w:left w:w="15" w:type="dxa"/>
              <w:right w:w="15" w:type="dxa"/>
            </w:tcMar>
            <w:vAlign w:val="center"/>
          </w:tcPr>
          <w:p w14:paraId="444A4F7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群众诉求处置回访满意度</w:t>
            </w:r>
          </w:p>
        </w:tc>
        <w:tc>
          <w:tcPr>
            <w:tcW w:w="2818" w:type="dxa"/>
            <w:tcBorders>
              <w:tl2br w:val="nil"/>
              <w:tr2bl w:val="nil"/>
            </w:tcBorders>
            <w:shd w:val="clear" w:color="auto" w:fill="auto"/>
            <w:tcMar>
              <w:top w:w="15" w:type="dxa"/>
              <w:left w:w="15" w:type="dxa"/>
              <w:right w:w="15" w:type="dxa"/>
            </w:tcMar>
            <w:vAlign w:val="center"/>
          </w:tcPr>
          <w:p w14:paraId="2E4C0230">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福州市智慧福州中心</w:t>
            </w:r>
          </w:p>
        </w:tc>
      </w:tr>
      <w:tr w14:paraId="4A902B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0EE7A23">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103</w:t>
            </w:r>
          </w:p>
        </w:tc>
        <w:tc>
          <w:tcPr>
            <w:tcW w:w="2350" w:type="dxa"/>
            <w:tcBorders>
              <w:tl2br w:val="nil"/>
              <w:tr2bl w:val="nil"/>
            </w:tcBorders>
            <w:shd w:val="clear" w:color="auto" w:fill="auto"/>
            <w:tcMar>
              <w:top w:w="15" w:type="dxa"/>
              <w:left w:w="15" w:type="dxa"/>
              <w:right w:w="15" w:type="dxa"/>
            </w:tcMar>
            <w:vAlign w:val="center"/>
          </w:tcPr>
          <w:p w14:paraId="7902370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志愿者参与度</w:t>
            </w:r>
          </w:p>
        </w:tc>
        <w:tc>
          <w:tcPr>
            <w:tcW w:w="2430" w:type="dxa"/>
            <w:tcBorders>
              <w:tl2br w:val="nil"/>
              <w:tr2bl w:val="nil"/>
            </w:tcBorders>
            <w:shd w:val="clear" w:color="auto" w:fill="auto"/>
            <w:tcMar>
              <w:top w:w="15" w:type="dxa"/>
              <w:left w:w="15" w:type="dxa"/>
              <w:right w:w="15" w:type="dxa"/>
            </w:tcMar>
            <w:vAlign w:val="center"/>
          </w:tcPr>
          <w:p w14:paraId="77C4837E">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注册志愿者人数</w:t>
            </w:r>
          </w:p>
        </w:tc>
        <w:tc>
          <w:tcPr>
            <w:tcW w:w="2818" w:type="dxa"/>
            <w:tcBorders>
              <w:tl2br w:val="nil"/>
              <w:tr2bl w:val="nil"/>
            </w:tcBorders>
            <w:shd w:val="clear" w:color="auto" w:fill="auto"/>
            <w:tcMar>
              <w:top w:w="15" w:type="dxa"/>
              <w:left w:w="15" w:type="dxa"/>
              <w:right w:w="15" w:type="dxa"/>
            </w:tcMar>
            <w:vAlign w:val="center"/>
          </w:tcPr>
          <w:p w14:paraId="59861408">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中共福州市委精神文明建设办公室</w:t>
            </w:r>
          </w:p>
        </w:tc>
      </w:tr>
      <w:tr w14:paraId="5B94D3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0A96CE10">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104</w:t>
            </w:r>
          </w:p>
        </w:tc>
        <w:tc>
          <w:tcPr>
            <w:tcW w:w="2350" w:type="dxa"/>
            <w:tcBorders>
              <w:tl2br w:val="nil"/>
              <w:tr2bl w:val="nil"/>
            </w:tcBorders>
            <w:shd w:val="clear" w:color="auto" w:fill="auto"/>
            <w:tcMar>
              <w:top w:w="15" w:type="dxa"/>
              <w:left w:w="15" w:type="dxa"/>
              <w:right w:w="15" w:type="dxa"/>
            </w:tcMar>
            <w:vAlign w:val="center"/>
          </w:tcPr>
          <w:p w14:paraId="6241748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志愿者参与度</w:t>
            </w:r>
          </w:p>
        </w:tc>
        <w:tc>
          <w:tcPr>
            <w:tcW w:w="2430" w:type="dxa"/>
            <w:tcBorders>
              <w:tl2br w:val="nil"/>
              <w:tr2bl w:val="nil"/>
            </w:tcBorders>
            <w:shd w:val="clear" w:color="auto" w:fill="auto"/>
            <w:tcMar>
              <w:top w:w="15" w:type="dxa"/>
              <w:left w:w="15" w:type="dxa"/>
              <w:right w:w="15" w:type="dxa"/>
            </w:tcMar>
            <w:vAlign w:val="center"/>
          </w:tcPr>
          <w:p w14:paraId="7F9E789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有志愿服务时间记录的志愿者人数</w:t>
            </w:r>
          </w:p>
        </w:tc>
        <w:tc>
          <w:tcPr>
            <w:tcW w:w="2818" w:type="dxa"/>
            <w:tcBorders>
              <w:tl2br w:val="nil"/>
              <w:tr2bl w:val="nil"/>
            </w:tcBorders>
            <w:shd w:val="clear" w:color="auto" w:fill="auto"/>
            <w:tcMar>
              <w:top w:w="15" w:type="dxa"/>
              <w:left w:w="15" w:type="dxa"/>
              <w:right w:w="15" w:type="dxa"/>
            </w:tcMar>
            <w:vAlign w:val="center"/>
          </w:tcPr>
          <w:p w14:paraId="00D6E20A">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中共福州市委精神文明建设办公室</w:t>
            </w:r>
          </w:p>
        </w:tc>
      </w:tr>
      <w:tr w14:paraId="0DFD47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6A88C76E">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105</w:t>
            </w:r>
          </w:p>
        </w:tc>
        <w:tc>
          <w:tcPr>
            <w:tcW w:w="2350" w:type="dxa"/>
            <w:tcBorders>
              <w:tl2br w:val="nil"/>
              <w:tr2bl w:val="nil"/>
            </w:tcBorders>
            <w:shd w:val="clear" w:color="auto" w:fill="auto"/>
            <w:tcMar>
              <w:top w:w="15" w:type="dxa"/>
              <w:left w:w="15" w:type="dxa"/>
              <w:right w:w="15" w:type="dxa"/>
            </w:tcMar>
            <w:vAlign w:val="center"/>
          </w:tcPr>
          <w:p w14:paraId="24A07B0B">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规章制度、标准体系、统筹协调机制、年度绩效考核等</w:t>
            </w:r>
          </w:p>
        </w:tc>
        <w:tc>
          <w:tcPr>
            <w:tcW w:w="2430" w:type="dxa"/>
            <w:tcBorders>
              <w:tl2br w:val="nil"/>
              <w:tr2bl w:val="nil"/>
            </w:tcBorders>
            <w:shd w:val="clear" w:color="auto" w:fill="auto"/>
            <w:tcMar>
              <w:top w:w="15" w:type="dxa"/>
              <w:left w:w="15" w:type="dxa"/>
              <w:right w:w="15" w:type="dxa"/>
            </w:tcMar>
            <w:vAlign w:val="center"/>
          </w:tcPr>
          <w:p w14:paraId="46221179">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规章制度、标准体系、统筹协调机制、年度绩效考核建立情况</w:t>
            </w:r>
          </w:p>
        </w:tc>
        <w:tc>
          <w:tcPr>
            <w:tcW w:w="2818" w:type="dxa"/>
            <w:tcBorders>
              <w:tl2br w:val="nil"/>
              <w:tr2bl w:val="nil"/>
            </w:tcBorders>
            <w:shd w:val="clear" w:color="auto" w:fill="auto"/>
            <w:tcMar>
              <w:top w:w="15" w:type="dxa"/>
              <w:left w:w="15" w:type="dxa"/>
              <w:right w:w="15" w:type="dxa"/>
            </w:tcMar>
            <w:vAlign w:val="center"/>
          </w:tcPr>
          <w:p w14:paraId="2451430C">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福州市政府办公室、福州市城市管理委员会、福州市司法局、福州市效能办、福州市应急管理局、福州市财政局</w:t>
            </w:r>
          </w:p>
        </w:tc>
      </w:tr>
      <w:tr w14:paraId="08D102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5FE3EC92">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106</w:t>
            </w:r>
          </w:p>
        </w:tc>
        <w:tc>
          <w:tcPr>
            <w:tcW w:w="2350" w:type="dxa"/>
            <w:tcBorders>
              <w:tl2br w:val="nil"/>
              <w:tr2bl w:val="nil"/>
            </w:tcBorders>
            <w:shd w:val="clear" w:color="auto" w:fill="auto"/>
            <w:tcMar>
              <w:top w:w="15" w:type="dxa"/>
              <w:left w:w="15" w:type="dxa"/>
              <w:right w:w="15" w:type="dxa"/>
            </w:tcMar>
            <w:vAlign w:val="center"/>
          </w:tcPr>
          <w:p w14:paraId="3A517D9F">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社会媒体大数据分析</w:t>
            </w:r>
          </w:p>
        </w:tc>
        <w:tc>
          <w:tcPr>
            <w:tcW w:w="2430" w:type="dxa"/>
            <w:tcBorders>
              <w:tl2br w:val="nil"/>
              <w:tr2bl w:val="nil"/>
            </w:tcBorders>
            <w:shd w:val="clear" w:color="auto" w:fill="auto"/>
            <w:tcMar>
              <w:top w:w="15" w:type="dxa"/>
              <w:left w:w="15" w:type="dxa"/>
              <w:right w:w="15" w:type="dxa"/>
            </w:tcMar>
            <w:vAlign w:val="center"/>
          </w:tcPr>
          <w:p w14:paraId="0C6CCDC4">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社会媒体大数据结果</w:t>
            </w:r>
          </w:p>
        </w:tc>
        <w:tc>
          <w:tcPr>
            <w:tcW w:w="2818" w:type="dxa"/>
            <w:tcBorders>
              <w:tl2br w:val="nil"/>
              <w:tr2bl w:val="nil"/>
            </w:tcBorders>
            <w:shd w:val="clear" w:color="auto" w:fill="auto"/>
            <w:tcMar>
              <w:top w:w="15" w:type="dxa"/>
              <w:left w:w="15" w:type="dxa"/>
              <w:right w:w="15" w:type="dxa"/>
            </w:tcMar>
            <w:vAlign w:val="center"/>
          </w:tcPr>
          <w:p w14:paraId="3238EB4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互联网</w:t>
            </w:r>
          </w:p>
        </w:tc>
      </w:tr>
      <w:tr w14:paraId="2963F2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2B4B0709">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107</w:t>
            </w:r>
          </w:p>
        </w:tc>
        <w:tc>
          <w:tcPr>
            <w:tcW w:w="2350" w:type="dxa"/>
            <w:tcBorders>
              <w:tl2br w:val="nil"/>
              <w:tr2bl w:val="nil"/>
            </w:tcBorders>
            <w:shd w:val="clear" w:color="auto" w:fill="auto"/>
            <w:tcMar>
              <w:top w:w="15" w:type="dxa"/>
              <w:left w:w="15" w:type="dxa"/>
              <w:right w:w="15" w:type="dxa"/>
            </w:tcMar>
            <w:vAlign w:val="center"/>
          </w:tcPr>
          <w:p w14:paraId="3CBE4FB2">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城市综合管理服务满意度测评</w:t>
            </w:r>
          </w:p>
        </w:tc>
        <w:tc>
          <w:tcPr>
            <w:tcW w:w="2430" w:type="dxa"/>
            <w:tcBorders>
              <w:tl2br w:val="nil"/>
              <w:tr2bl w:val="nil"/>
            </w:tcBorders>
            <w:shd w:val="clear" w:color="auto" w:fill="auto"/>
            <w:tcMar>
              <w:top w:w="15" w:type="dxa"/>
              <w:left w:w="15" w:type="dxa"/>
              <w:right w:w="15" w:type="dxa"/>
            </w:tcMar>
            <w:vAlign w:val="center"/>
          </w:tcPr>
          <w:p w14:paraId="576379C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城市综合管理服务满意度测评结果</w:t>
            </w:r>
          </w:p>
        </w:tc>
        <w:tc>
          <w:tcPr>
            <w:tcW w:w="2818" w:type="dxa"/>
            <w:tcBorders>
              <w:tl2br w:val="nil"/>
              <w:tr2bl w:val="nil"/>
            </w:tcBorders>
            <w:shd w:val="clear" w:color="auto" w:fill="auto"/>
            <w:tcMar>
              <w:top w:w="15" w:type="dxa"/>
              <w:left w:w="15" w:type="dxa"/>
              <w:right w:w="15" w:type="dxa"/>
            </w:tcMar>
            <w:vAlign w:val="center"/>
          </w:tcPr>
          <w:p w14:paraId="0C101111">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福州市“智慧福州”管理服务中心</w:t>
            </w:r>
          </w:p>
        </w:tc>
      </w:tr>
      <w:tr w14:paraId="78FB37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30" w:type="dxa"/>
            <w:tcBorders>
              <w:tl2br w:val="nil"/>
              <w:tr2bl w:val="nil"/>
            </w:tcBorders>
            <w:shd w:val="clear" w:color="auto" w:fill="auto"/>
            <w:tcMar>
              <w:top w:w="15" w:type="dxa"/>
              <w:left w:w="15" w:type="dxa"/>
              <w:right w:w="15" w:type="dxa"/>
            </w:tcMar>
            <w:vAlign w:val="center"/>
          </w:tcPr>
          <w:p w14:paraId="3A281209">
            <w:pPr>
              <w:autoSpaceDE w:val="0"/>
              <w:autoSpaceDN w:val="0"/>
              <w:jc w:val="center"/>
              <w:textAlignment w:val="center"/>
              <w:rPr>
                <w:rFonts w:ascii="宋体" w:hAnsi="宋体" w:eastAsia="宋体" w:cs="宋体"/>
                <w:bCs/>
                <w:color w:val="auto"/>
                <w:szCs w:val="21"/>
              </w:rPr>
            </w:pPr>
            <w:r>
              <w:rPr>
                <w:rFonts w:hint="eastAsia" w:ascii="宋体" w:hAnsi="宋体" w:eastAsia="宋体" w:cs="宋体"/>
                <w:bCs/>
                <w:color w:val="auto"/>
                <w:szCs w:val="21"/>
              </w:rPr>
              <w:t>108</w:t>
            </w:r>
          </w:p>
        </w:tc>
        <w:tc>
          <w:tcPr>
            <w:tcW w:w="2350" w:type="dxa"/>
            <w:tcBorders>
              <w:tl2br w:val="nil"/>
              <w:tr2bl w:val="nil"/>
            </w:tcBorders>
            <w:shd w:val="clear" w:color="auto" w:fill="auto"/>
            <w:tcMar>
              <w:top w:w="15" w:type="dxa"/>
              <w:left w:w="15" w:type="dxa"/>
              <w:right w:w="15" w:type="dxa"/>
            </w:tcMar>
            <w:vAlign w:val="center"/>
          </w:tcPr>
          <w:p w14:paraId="0C9A5D97">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城市人居环境满意度测评</w:t>
            </w:r>
          </w:p>
        </w:tc>
        <w:tc>
          <w:tcPr>
            <w:tcW w:w="2430" w:type="dxa"/>
            <w:tcBorders>
              <w:tl2br w:val="nil"/>
              <w:tr2bl w:val="nil"/>
            </w:tcBorders>
            <w:shd w:val="clear" w:color="auto" w:fill="auto"/>
            <w:tcMar>
              <w:top w:w="15" w:type="dxa"/>
              <w:left w:w="15" w:type="dxa"/>
              <w:right w:w="15" w:type="dxa"/>
            </w:tcMar>
            <w:vAlign w:val="center"/>
          </w:tcPr>
          <w:p w14:paraId="78EEA4D6">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城市人居环境满意度测评结果</w:t>
            </w:r>
          </w:p>
        </w:tc>
        <w:tc>
          <w:tcPr>
            <w:tcW w:w="2818" w:type="dxa"/>
            <w:tcBorders>
              <w:tl2br w:val="nil"/>
              <w:tr2bl w:val="nil"/>
            </w:tcBorders>
            <w:shd w:val="clear" w:color="auto" w:fill="auto"/>
            <w:tcMar>
              <w:top w:w="15" w:type="dxa"/>
              <w:left w:w="15" w:type="dxa"/>
              <w:right w:w="15" w:type="dxa"/>
            </w:tcMar>
            <w:vAlign w:val="center"/>
          </w:tcPr>
          <w:p w14:paraId="493E59C3">
            <w:pPr>
              <w:autoSpaceDE w:val="0"/>
              <w:autoSpaceDN w:val="0"/>
              <w:textAlignment w:val="center"/>
              <w:rPr>
                <w:rFonts w:ascii="宋体" w:hAnsi="宋体" w:eastAsia="宋体" w:cs="宋体"/>
                <w:bCs/>
                <w:color w:val="auto"/>
                <w:szCs w:val="21"/>
              </w:rPr>
            </w:pPr>
            <w:r>
              <w:rPr>
                <w:rFonts w:hint="eastAsia" w:ascii="宋体" w:hAnsi="宋体" w:eastAsia="宋体" w:cs="宋体"/>
                <w:bCs/>
                <w:color w:val="auto"/>
                <w:szCs w:val="21"/>
              </w:rPr>
              <w:t>福州市“智慧福州”管理服务中心</w:t>
            </w:r>
          </w:p>
        </w:tc>
      </w:tr>
    </w:tbl>
    <w:p w14:paraId="36D7716A">
      <w:pPr>
        <w:pStyle w:val="12"/>
        <w:spacing w:line="240" w:lineRule="auto"/>
        <w:ind w:firstLine="480"/>
        <w:rPr>
          <w:rFonts w:asciiTheme="majorEastAsia" w:hAnsiTheme="majorEastAsia" w:eastAsiaTheme="majorEastAsia"/>
          <w:color w:val="auto"/>
        </w:rPr>
      </w:pPr>
    </w:p>
    <w:p w14:paraId="16403D44">
      <w:pPr>
        <w:pStyle w:val="6"/>
        <w:numPr>
          <w:ilvl w:val="3"/>
          <w:numId w:val="36"/>
        </w:numPr>
        <w:spacing w:line="240" w:lineRule="auto"/>
        <w:rPr>
          <w:color w:val="auto"/>
        </w:rPr>
      </w:pPr>
      <w:r>
        <w:rPr>
          <w:rFonts w:hint="eastAsia"/>
          <w:color w:val="auto"/>
        </w:rPr>
        <w:t>评价任务管理</w:t>
      </w:r>
    </w:p>
    <w:p w14:paraId="351742FF">
      <w:pPr>
        <w:pStyle w:val="7"/>
        <w:numPr>
          <w:ilvl w:val="4"/>
          <w:numId w:val="36"/>
        </w:numPr>
        <w:spacing w:line="240" w:lineRule="auto"/>
        <w:rPr>
          <w:color w:val="auto"/>
        </w:rPr>
      </w:pPr>
      <w:r>
        <w:rPr>
          <w:rFonts w:hint="eastAsia"/>
          <w:color w:val="auto"/>
        </w:rPr>
        <w:t>下发任务</w:t>
      </w:r>
    </w:p>
    <w:p w14:paraId="3A33C64C">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根据被考核城市和参与考核人员进行相应现场检查任务的下发。</w:t>
      </w:r>
    </w:p>
    <w:p w14:paraId="11299FED">
      <w:pPr>
        <w:numPr>
          <w:ilvl w:val="0"/>
          <w:numId w:val="59"/>
        </w:num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选择考评对象。</w:t>
      </w:r>
    </w:p>
    <w:p w14:paraId="37F7363D">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2）抽取考核样本点，支持根据不同类型的样本点，</w:t>
      </w:r>
      <w:r>
        <w:rPr>
          <w:rFonts w:hint="eastAsia" w:cs="宋体" w:asciiTheme="majorEastAsia" w:hAnsiTheme="majorEastAsia" w:eastAsiaTheme="majorEastAsia"/>
          <w:b/>
          <w:bCs/>
          <w:color w:val="auto"/>
          <w:sz w:val="24"/>
          <w:szCs w:val="21"/>
        </w:rPr>
        <w:t>按照数量比例抽取</w:t>
      </w:r>
      <w:r>
        <w:rPr>
          <w:rFonts w:hint="eastAsia" w:cs="宋体" w:asciiTheme="majorEastAsia" w:hAnsiTheme="majorEastAsia" w:eastAsiaTheme="majorEastAsia"/>
          <w:color w:val="auto"/>
          <w:sz w:val="24"/>
          <w:szCs w:val="21"/>
        </w:rPr>
        <w:t>。支持根据样本点的属性，</w:t>
      </w:r>
      <w:r>
        <w:rPr>
          <w:rFonts w:hint="eastAsia" w:cs="宋体" w:asciiTheme="majorEastAsia" w:hAnsiTheme="majorEastAsia" w:eastAsiaTheme="majorEastAsia"/>
          <w:b/>
          <w:bCs/>
          <w:color w:val="auto"/>
          <w:sz w:val="24"/>
          <w:szCs w:val="21"/>
        </w:rPr>
        <w:t>按照属性比例抽取</w:t>
      </w:r>
      <w:r>
        <w:rPr>
          <w:rFonts w:hint="eastAsia" w:cs="宋体" w:asciiTheme="majorEastAsia" w:hAnsiTheme="majorEastAsia" w:eastAsiaTheme="majorEastAsia"/>
          <w:color w:val="auto"/>
          <w:sz w:val="24"/>
          <w:szCs w:val="21"/>
        </w:rPr>
        <w:t>。</w:t>
      </w:r>
    </w:p>
    <w:p w14:paraId="3BF15FF1">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3）设置考评组及人员。</w:t>
      </w:r>
    </w:p>
    <w:p w14:paraId="29C935A2">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4）设置考评人员和抽取的考评样本点关联。</w:t>
      </w:r>
    </w:p>
    <w:p w14:paraId="686D293A">
      <w:pPr>
        <w:pStyle w:val="7"/>
        <w:numPr>
          <w:ilvl w:val="4"/>
          <w:numId w:val="36"/>
        </w:numPr>
        <w:spacing w:line="240" w:lineRule="auto"/>
        <w:rPr>
          <w:color w:val="auto"/>
        </w:rPr>
      </w:pPr>
      <w:r>
        <w:rPr>
          <w:rFonts w:hint="eastAsia"/>
          <w:color w:val="auto"/>
        </w:rPr>
        <w:t>现场考核</w:t>
      </w:r>
    </w:p>
    <w:p w14:paraId="7AE69FD2">
      <w:pPr>
        <w:spacing w:before="120" w:after="120"/>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专家组成员到达考评城市现场，根据考评任务中分配的考评样本点和检查项进行现场考核，发现检查项中的问题进行上报。</w:t>
      </w:r>
    </w:p>
    <w:p w14:paraId="28A76247">
      <w:pPr>
        <w:spacing w:before="120" w:after="120"/>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w:t>
      </w:r>
      <w:r>
        <w:rPr>
          <w:rFonts w:cs="宋体" w:asciiTheme="majorEastAsia" w:hAnsiTheme="majorEastAsia" w:eastAsiaTheme="majorEastAsia"/>
          <w:color w:val="auto"/>
          <w:sz w:val="24"/>
          <w:szCs w:val="22"/>
        </w:rPr>
        <w:t>1）选择城市，根据现场定位，自动获取考核城市。</w:t>
      </w:r>
    </w:p>
    <w:p w14:paraId="71612352">
      <w:pPr>
        <w:spacing w:before="120" w:after="120"/>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w:t>
      </w:r>
      <w:r>
        <w:rPr>
          <w:rFonts w:cs="宋体" w:asciiTheme="majorEastAsia" w:hAnsiTheme="majorEastAsia" w:eastAsiaTheme="majorEastAsia"/>
          <w:color w:val="auto"/>
          <w:sz w:val="24"/>
          <w:szCs w:val="22"/>
        </w:rPr>
        <w:t>2）选择考核点，道路、公共场所、环卫设施、水体等。</w:t>
      </w:r>
    </w:p>
    <w:p w14:paraId="13BB6EEB">
      <w:pPr>
        <w:spacing w:before="120" w:after="120"/>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w:t>
      </w:r>
      <w:r>
        <w:rPr>
          <w:rFonts w:cs="宋体" w:asciiTheme="majorEastAsia" w:hAnsiTheme="majorEastAsia" w:eastAsiaTheme="majorEastAsia"/>
          <w:color w:val="auto"/>
          <w:sz w:val="24"/>
          <w:szCs w:val="22"/>
        </w:rPr>
        <w:t>3）选择现场检查类型，对应考核点的检查类型。</w:t>
      </w:r>
    </w:p>
    <w:p w14:paraId="44DC340F">
      <w:pPr>
        <w:spacing w:before="120" w:after="120"/>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w:t>
      </w:r>
      <w:r>
        <w:rPr>
          <w:rFonts w:cs="宋体" w:asciiTheme="majorEastAsia" w:hAnsiTheme="majorEastAsia" w:eastAsiaTheme="majorEastAsia"/>
          <w:color w:val="auto"/>
          <w:sz w:val="24"/>
          <w:szCs w:val="22"/>
        </w:rPr>
        <w:t>4）针对现场检查项上报检查问题，拍照、自动定位上传平台。</w:t>
      </w:r>
    </w:p>
    <w:p w14:paraId="0AC2B39A">
      <w:pPr>
        <w:pStyle w:val="6"/>
        <w:numPr>
          <w:ilvl w:val="3"/>
          <w:numId w:val="36"/>
        </w:numPr>
        <w:spacing w:line="240" w:lineRule="auto"/>
        <w:rPr>
          <w:color w:val="auto"/>
        </w:rPr>
      </w:pPr>
      <w:r>
        <w:rPr>
          <w:rFonts w:hint="eastAsia"/>
          <w:color w:val="auto"/>
        </w:rPr>
        <w:t>评价数据审核</w:t>
      </w:r>
    </w:p>
    <w:p w14:paraId="2C417756">
      <w:pPr>
        <w:pStyle w:val="7"/>
        <w:numPr>
          <w:ilvl w:val="4"/>
          <w:numId w:val="36"/>
        </w:numPr>
        <w:spacing w:line="240" w:lineRule="auto"/>
        <w:rPr>
          <w:color w:val="auto"/>
        </w:rPr>
      </w:pPr>
      <w:r>
        <w:rPr>
          <w:rFonts w:hint="eastAsia"/>
          <w:color w:val="auto"/>
        </w:rPr>
        <w:t>填报审核</w:t>
      </w:r>
    </w:p>
    <w:p w14:paraId="5107600C">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对于核查上报的填报项和计算的指标进行审核。发现填报的内容有明显异常的，系统做审核标记，并能查看审核记录；检查无疑义后，列表中和指标上显示通过标记。</w:t>
      </w:r>
    </w:p>
    <w:p w14:paraId="1EDB14D8">
      <w:pPr>
        <w:numPr>
          <w:ilvl w:val="0"/>
          <w:numId w:val="60"/>
        </w:num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现场考评上报列表：列表展示城市现场考评上报的所有问题。</w:t>
      </w:r>
    </w:p>
    <w:p w14:paraId="62528709">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2）考评信息查看：查看考评上报的详细信息。</w:t>
      </w:r>
    </w:p>
    <w:p w14:paraId="49798E5C">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3）考评上报审核：通过或不通过，并给出理由。</w:t>
      </w:r>
    </w:p>
    <w:p w14:paraId="4EC081A7">
      <w:pPr>
        <w:pStyle w:val="7"/>
        <w:numPr>
          <w:ilvl w:val="4"/>
          <w:numId w:val="36"/>
        </w:numPr>
        <w:spacing w:line="240" w:lineRule="auto"/>
        <w:rPr>
          <w:color w:val="auto"/>
        </w:rPr>
      </w:pPr>
      <w:r>
        <w:rPr>
          <w:rFonts w:hint="eastAsia"/>
          <w:color w:val="auto"/>
        </w:rPr>
        <w:t>考评审核</w:t>
      </w:r>
    </w:p>
    <w:p w14:paraId="667E53E7">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对于现场考评上报的检查问题，进行审核。现场检查发现有问题的，需要进行扣分，审核是否合适；现场检查发现没问题的，根据现场上报的照片和其他聚到获取的信息，认定是否合理。</w:t>
      </w:r>
    </w:p>
    <w:p w14:paraId="7722D8FF">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1）现场考评上报列表：列表展示城市现场考评上报的所有问题。</w:t>
      </w:r>
    </w:p>
    <w:p w14:paraId="15645AE0">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2）考评信息查看：查看考评上报的详细信息。</w:t>
      </w:r>
    </w:p>
    <w:p w14:paraId="5DF19215">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w:t>
      </w:r>
      <w:r>
        <w:rPr>
          <w:rFonts w:cs="宋体" w:asciiTheme="majorEastAsia" w:hAnsiTheme="majorEastAsia" w:eastAsiaTheme="majorEastAsia"/>
          <w:color w:val="auto"/>
          <w:sz w:val="24"/>
          <w:szCs w:val="21"/>
        </w:rPr>
        <w:t>3）考评上报审核：通过或不通过，并给出理由。</w:t>
      </w:r>
    </w:p>
    <w:p w14:paraId="4D9F6F6D">
      <w:pPr>
        <w:pStyle w:val="6"/>
        <w:numPr>
          <w:ilvl w:val="3"/>
          <w:numId w:val="36"/>
        </w:numPr>
        <w:spacing w:line="240" w:lineRule="auto"/>
        <w:rPr>
          <w:color w:val="auto"/>
        </w:rPr>
      </w:pPr>
      <w:r>
        <w:rPr>
          <w:rFonts w:hint="eastAsia"/>
          <w:color w:val="auto"/>
        </w:rPr>
        <w:t>评价结果生成</w:t>
      </w:r>
    </w:p>
    <w:p w14:paraId="59562FA7">
      <w:pPr>
        <w:spacing w:before="120" w:after="120"/>
        <w:ind w:firstLine="484" w:firstLineChars="202"/>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评价结果生成模块应具备基于评价指标数据和评价任务完成情况，按规定的评价周期生成评价结果的功能，评价结果可采用文字、图表等可视化方式表达。</w:t>
      </w:r>
    </w:p>
    <w:p w14:paraId="3C8D06AB">
      <w:pPr>
        <w:pStyle w:val="7"/>
        <w:numPr>
          <w:ilvl w:val="4"/>
          <w:numId w:val="36"/>
        </w:numPr>
        <w:spacing w:line="240" w:lineRule="auto"/>
        <w:rPr>
          <w:color w:val="auto"/>
        </w:rPr>
      </w:pPr>
      <w:r>
        <w:rPr>
          <w:rFonts w:hint="eastAsia"/>
          <w:color w:val="auto"/>
        </w:rPr>
        <w:t>分类评价统计</w:t>
      </w:r>
    </w:p>
    <w:p w14:paraId="58112050">
      <w:pPr>
        <w:spacing w:before="120" w:after="120"/>
        <w:ind w:firstLine="484" w:firstLineChars="202"/>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4"/>
          <w:szCs w:val="21"/>
        </w:rPr>
        <w:t>围绕“干净、整洁、有序、安全、群众满意”等方面，提供考核时间、参与考核城市、检查类型（填报、现场）等统计条件，按照分类考核展示各个城市的分数，查看各类指标的得分详情；对于填报指标可以查看详细填报信息，对于现场考评可以查看现场上报的扣分详情。</w:t>
      </w:r>
    </w:p>
    <w:p w14:paraId="2E746ED0">
      <w:pPr>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rPr>
        <w:drawing>
          <wp:inline distT="0" distB="0" distL="114300" distR="114300">
            <wp:extent cx="5581650" cy="850900"/>
            <wp:effectExtent l="0" t="0" r="0" b="6350"/>
            <wp:docPr id="454" name="图片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784"/>
                    <pic:cNvPicPr>
                      <a:picLocks noChangeAspect="1"/>
                    </pic:cNvPicPr>
                  </pic:nvPicPr>
                  <pic:blipFill>
                    <a:blip r:embed="rId56" cstate="print"/>
                    <a:stretch>
                      <a:fillRect/>
                    </a:stretch>
                  </pic:blipFill>
                  <pic:spPr>
                    <a:xfrm>
                      <a:off x="0" y="0"/>
                      <a:ext cx="5581650" cy="850900"/>
                    </a:xfrm>
                    <a:prstGeom prst="rect">
                      <a:avLst/>
                    </a:prstGeom>
                    <a:noFill/>
                    <a:ln>
                      <a:noFill/>
                    </a:ln>
                  </pic:spPr>
                </pic:pic>
              </a:graphicData>
            </a:graphic>
          </wp:inline>
        </w:drawing>
      </w:r>
    </w:p>
    <w:p w14:paraId="7B7BC63D">
      <w:pPr>
        <w:ind w:firstLine="480" w:firstLineChars="200"/>
        <w:jc w:val="center"/>
        <w:rPr>
          <w:rFonts w:cs="Times New Roman" w:asciiTheme="majorEastAsia" w:hAnsiTheme="majorEastAsia" w:eastAsiaTheme="majorEastAsia"/>
          <w:color w:val="auto"/>
          <w:sz w:val="24"/>
          <w:szCs w:val="21"/>
        </w:rPr>
      </w:pPr>
      <w:bookmarkStart w:id="194" w:name="_Toc30001"/>
      <w:r>
        <w:rPr>
          <w:rFonts w:hint="eastAsia" w:ascii="Times New Roman" w:hAnsi="Times New Roman" w:eastAsia="宋体" w:cs="Times New Roman"/>
          <w:color w:val="auto"/>
          <w:sz w:val="24"/>
          <w:szCs w:val="21"/>
        </w:rPr>
        <w:t xml:space="preserve"> </w:t>
      </w:r>
      <w:bookmarkStart w:id="195" w:name="_Toc18815"/>
      <w:r>
        <w:rPr>
          <w:rFonts w:hint="eastAsia" w:cs="Times New Roman" w:asciiTheme="majorEastAsia" w:hAnsiTheme="majorEastAsia" w:eastAsiaTheme="majorEastAsia"/>
          <w:color w:val="auto"/>
          <w:sz w:val="24"/>
          <w:szCs w:val="21"/>
        </w:rPr>
        <w:t>现场检查类指标评价结果示意</w:t>
      </w:r>
      <w:bookmarkEnd w:id="194"/>
      <w:bookmarkEnd w:id="195"/>
      <w:r>
        <w:rPr>
          <w:rFonts w:hint="eastAsia" w:ascii="Times New Roman" w:hAnsi="Times New Roman" w:eastAsia="宋体" w:cs="Times New Roman"/>
          <w:color w:val="auto"/>
          <w:sz w:val="24"/>
          <w:szCs w:val="21"/>
        </w:rPr>
        <w:t>图</w:t>
      </w:r>
    </w:p>
    <w:p w14:paraId="675BFABA">
      <w:pPr>
        <w:rPr>
          <w:rFonts w:cs="宋体" w:asciiTheme="majorEastAsia" w:hAnsiTheme="majorEastAsia" w:eastAsiaTheme="majorEastAsia"/>
          <w:color w:val="auto"/>
          <w:sz w:val="24"/>
          <w:szCs w:val="21"/>
        </w:rPr>
      </w:pPr>
      <w:r>
        <w:rPr>
          <w:rFonts w:cs="宋体" w:asciiTheme="majorEastAsia" w:hAnsiTheme="majorEastAsia" w:eastAsiaTheme="majorEastAsia"/>
          <w:color w:val="auto"/>
          <w:sz w:val="24"/>
        </w:rPr>
        <w:drawing>
          <wp:inline distT="0" distB="0" distL="114300" distR="114300">
            <wp:extent cx="5581650" cy="1428750"/>
            <wp:effectExtent l="0" t="0" r="0" b="0"/>
            <wp:docPr id="455" name="图片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785"/>
                    <pic:cNvPicPr>
                      <a:picLocks noChangeAspect="1"/>
                    </pic:cNvPicPr>
                  </pic:nvPicPr>
                  <pic:blipFill>
                    <a:blip r:embed="rId57" cstate="print"/>
                    <a:stretch>
                      <a:fillRect/>
                    </a:stretch>
                  </pic:blipFill>
                  <pic:spPr>
                    <a:xfrm>
                      <a:off x="0" y="0"/>
                      <a:ext cx="5581650" cy="1428750"/>
                    </a:xfrm>
                    <a:prstGeom prst="rect">
                      <a:avLst/>
                    </a:prstGeom>
                    <a:noFill/>
                    <a:ln>
                      <a:noFill/>
                    </a:ln>
                  </pic:spPr>
                </pic:pic>
              </a:graphicData>
            </a:graphic>
          </wp:inline>
        </w:drawing>
      </w:r>
    </w:p>
    <w:p w14:paraId="225F0FB7">
      <w:pPr>
        <w:ind w:firstLine="480" w:firstLineChars="200"/>
        <w:jc w:val="center"/>
        <w:rPr>
          <w:rFonts w:cs="Times New Roman" w:asciiTheme="majorEastAsia" w:hAnsiTheme="majorEastAsia" w:eastAsiaTheme="majorEastAsia"/>
          <w:color w:val="auto"/>
          <w:sz w:val="24"/>
          <w:szCs w:val="21"/>
        </w:rPr>
      </w:pPr>
      <w:bookmarkStart w:id="196" w:name="_Toc22885"/>
      <w:r>
        <w:rPr>
          <w:rFonts w:hint="eastAsia" w:ascii="Times New Roman" w:hAnsi="Times New Roman" w:eastAsia="宋体" w:cs="Times New Roman"/>
          <w:color w:val="auto"/>
          <w:sz w:val="24"/>
          <w:szCs w:val="21"/>
        </w:rPr>
        <w:t xml:space="preserve"> </w:t>
      </w:r>
      <w:bookmarkStart w:id="197" w:name="_Toc27253"/>
      <w:r>
        <w:rPr>
          <w:rFonts w:hint="eastAsia" w:cs="Times New Roman" w:asciiTheme="majorEastAsia" w:hAnsiTheme="majorEastAsia" w:eastAsiaTheme="majorEastAsia"/>
          <w:color w:val="auto"/>
          <w:sz w:val="24"/>
          <w:szCs w:val="21"/>
        </w:rPr>
        <w:t>填报类指标评价结果示意</w:t>
      </w:r>
      <w:bookmarkEnd w:id="196"/>
      <w:bookmarkEnd w:id="197"/>
      <w:r>
        <w:rPr>
          <w:rFonts w:hint="eastAsia" w:ascii="Times New Roman" w:hAnsi="Times New Roman" w:eastAsia="宋体" w:cs="Times New Roman"/>
          <w:color w:val="auto"/>
          <w:sz w:val="24"/>
          <w:szCs w:val="21"/>
        </w:rPr>
        <w:t>图</w:t>
      </w:r>
    </w:p>
    <w:p w14:paraId="558D8261">
      <w:pPr>
        <w:pStyle w:val="7"/>
        <w:numPr>
          <w:ilvl w:val="4"/>
          <w:numId w:val="36"/>
        </w:numPr>
        <w:spacing w:line="240" w:lineRule="auto"/>
        <w:rPr>
          <w:color w:val="auto"/>
        </w:rPr>
      </w:pPr>
      <w:r>
        <w:rPr>
          <w:rFonts w:hint="eastAsia"/>
          <w:color w:val="auto"/>
        </w:rPr>
        <w:t>综合评价统计</w:t>
      </w:r>
    </w:p>
    <w:p w14:paraId="7A82CE37">
      <w:pPr>
        <w:spacing w:before="120" w:after="12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根据城市综合管理服务评价指标体系，选择考核时间、参与考核城市，可提供按照一级、二级、三级、四级指标分类展示各个区县的分数和综合得分。</w:t>
      </w:r>
    </w:p>
    <w:p w14:paraId="08D99676">
      <w:pPr>
        <w:ind w:firstLine="480" w:firstLineChars="200"/>
        <w:jc w:val="center"/>
        <w:rPr>
          <w:rFonts w:ascii="Times New Roman" w:hAnsi="Times New Roman" w:eastAsia="宋体" w:cs="Times New Roman"/>
          <w:color w:val="auto"/>
          <w:sz w:val="24"/>
          <w:szCs w:val="21"/>
        </w:rPr>
      </w:pPr>
      <w:r>
        <w:rPr>
          <w:rFonts w:hint="eastAsia" w:ascii="Times New Roman" w:hAnsi="Times New Roman" w:eastAsia="宋体" w:cs="Times New Roman"/>
          <w:color w:val="auto"/>
          <w:sz w:val="24"/>
          <w:szCs w:val="21"/>
        </w:rPr>
        <w:t xml:space="preserve"> </w:t>
      </w:r>
      <w:bookmarkStart w:id="198" w:name="_Toc14819"/>
      <w:r>
        <w:rPr>
          <w:rFonts w:hint="eastAsia" w:ascii="Times New Roman" w:hAnsi="Times New Roman" w:eastAsia="宋体" w:cs="Times New Roman"/>
          <w:color w:val="auto"/>
          <w:sz w:val="24"/>
          <w:szCs w:val="21"/>
        </w:rPr>
        <w:t>考核综合评价统计</w:t>
      </w:r>
      <w:bookmarkEnd w:id="198"/>
      <w:r>
        <w:rPr>
          <w:rFonts w:hint="eastAsia" w:ascii="Times New Roman" w:hAnsi="Times New Roman" w:eastAsia="宋体" w:cs="Times New Roman"/>
          <w:color w:val="auto"/>
          <w:sz w:val="24"/>
          <w:szCs w:val="21"/>
        </w:rPr>
        <w:t>表</w:t>
      </w:r>
    </w:p>
    <w:tbl>
      <w:tblPr>
        <w:tblStyle w:val="30"/>
        <w:tblW w:w="892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376"/>
        <w:gridCol w:w="1731"/>
        <w:gridCol w:w="1375"/>
        <w:gridCol w:w="1375"/>
        <w:gridCol w:w="1025"/>
        <w:gridCol w:w="941"/>
      </w:tblGrid>
      <w:tr w14:paraId="5E51DB7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05" w:type="dxa"/>
            <w:tcBorders>
              <w:tl2br w:val="nil"/>
              <w:tr2bl w:val="nil"/>
            </w:tcBorders>
            <w:shd w:val="clear" w:color="auto" w:fill="FEF2CC" w:themeFill="accent4" w:themeFillTint="32"/>
          </w:tcPr>
          <w:p w14:paraId="4D7DD3A7">
            <w:pPr>
              <w:jc w:val="center"/>
              <w:rPr>
                <w:rFonts w:ascii="宋体" w:hAnsi="宋体" w:eastAsia="宋体" w:cs="宋体"/>
                <w:color w:val="auto"/>
                <w:szCs w:val="21"/>
              </w:rPr>
            </w:pPr>
            <w:r>
              <w:rPr>
                <w:rFonts w:hint="eastAsia" w:ascii="宋体" w:hAnsi="宋体" w:eastAsia="宋体" w:cs="宋体"/>
                <w:color w:val="auto"/>
                <w:szCs w:val="21"/>
              </w:rPr>
              <w:t>参评区县</w:t>
            </w:r>
          </w:p>
        </w:tc>
        <w:tc>
          <w:tcPr>
            <w:tcW w:w="1376" w:type="dxa"/>
            <w:tcBorders>
              <w:tl2br w:val="nil"/>
              <w:tr2bl w:val="nil"/>
            </w:tcBorders>
            <w:shd w:val="clear" w:color="auto" w:fill="FEF2CC" w:themeFill="accent4" w:themeFillTint="32"/>
          </w:tcPr>
          <w:p w14:paraId="152FF0FD">
            <w:pPr>
              <w:jc w:val="center"/>
              <w:rPr>
                <w:rFonts w:ascii="宋体" w:hAnsi="宋体" w:eastAsia="宋体" w:cs="宋体"/>
                <w:color w:val="auto"/>
                <w:szCs w:val="21"/>
              </w:rPr>
            </w:pPr>
            <w:r>
              <w:rPr>
                <w:rFonts w:hint="eastAsia" w:ascii="宋体" w:hAnsi="宋体" w:eastAsia="宋体" w:cs="宋体"/>
                <w:color w:val="auto"/>
                <w:szCs w:val="21"/>
              </w:rPr>
              <w:t>城市形象</w:t>
            </w:r>
          </w:p>
        </w:tc>
        <w:tc>
          <w:tcPr>
            <w:tcW w:w="1731" w:type="dxa"/>
            <w:tcBorders>
              <w:tl2br w:val="nil"/>
              <w:tr2bl w:val="nil"/>
            </w:tcBorders>
            <w:shd w:val="clear" w:color="auto" w:fill="FEF2CC" w:themeFill="accent4" w:themeFillTint="32"/>
          </w:tcPr>
          <w:p w14:paraId="4424CC34">
            <w:pPr>
              <w:jc w:val="center"/>
              <w:rPr>
                <w:rFonts w:ascii="宋体" w:hAnsi="宋体" w:eastAsia="宋体" w:cs="宋体"/>
                <w:color w:val="auto"/>
                <w:szCs w:val="21"/>
              </w:rPr>
            </w:pPr>
            <w:r>
              <w:rPr>
                <w:rFonts w:hint="eastAsia" w:ascii="宋体" w:hAnsi="宋体" w:eastAsia="宋体" w:cs="宋体"/>
                <w:color w:val="auto"/>
                <w:szCs w:val="21"/>
              </w:rPr>
              <w:t>城市管理保底线</w:t>
            </w:r>
          </w:p>
        </w:tc>
        <w:tc>
          <w:tcPr>
            <w:tcW w:w="1375" w:type="dxa"/>
            <w:tcBorders>
              <w:tl2br w:val="nil"/>
              <w:tr2bl w:val="nil"/>
            </w:tcBorders>
            <w:shd w:val="clear" w:color="auto" w:fill="FEF2CC" w:themeFill="accent4" w:themeFillTint="32"/>
          </w:tcPr>
          <w:p w14:paraId="63E4028F">
            <w:pPr>
              <w:jc w:val="center"/>
              <w:rPr>
                <w:rFonts w:ascii="宋体" w:hAnsi="宋体" w:eastAsia="宋体" w:cs="宋体"/>
                <w:color w:val="auto"/>
                <w:szCs w:val="21"/>
              </w:rPr>
            </w:pPr>
            <w:r>
              <w:rPr>
                <w:rFonts w:hint="eastAsia" w:ascii="宋体" w:hAnsi="宋体" w:eastAsia="宋体" w:cs="宋体"/>
                <w:color w:val="auto"/>
                <w:szCs w:val="21"/>
              </w:rPr>
              <w:t>群众满意</w:t>
            </w:r>
          </w:p>
        </w:tc>
        <w:tc>
          <w:tcPr>
            <w:tcW w:w="1375" w:type="dxa"/>
            <w:tcBorders>
              <w:tl2br w:val="nil"/>
              <w:tr2bl w:val="nil"/>
            </w:tcBorders>
            <w:shd w:val="clear" w:color="auto" w:fill="FEF2CC" w:themeFill="accent4" w:themeFillTint="32"/>
          </w:tcPr>
          <w:p w14:paraId="5A29208E">
            <w:pPr>
              <w:jc w:val="center"/>
              <w:rPr>
                <w:rFonts w:ascii="宋体" w:hAnsi="宋体" w:eastAsia="宋体" w:cs="宋体"/>
                <w:color w:val="auto"/>
                <w:szCs w:val="21"/>
              </w:rPr>
            </w:pPr>
            <w:r>
              <w:rPr>
                <w:rFonts w:hint="eastAsia" w:ascii="宋体" w:hAnsi="宋体" w:eastAsia="宋体" w:cs="宋体"/>
                <w:color w:val="auto"/>
                <w:szCs w:val="21"/>
              </w:rPr>
              <w:t>综合得分</w:t>
            </w:r>
          </w:p>
        </w:tc>
        <w:tc>
          <w:tcPr>
            <w:tcW w:w="1025" w:type="dxa"/>
            <w:tcBorders>
              <w:tl2br w:val="nil"/>
              <w:tr2bl w:val="nil"/>
            </w:tcBorders>
            <w:shd w:val="clear" w:color="auto" w:fill="FEF2CC" w:themeFill="accent4" w:themeFillTint="32"/>
          </w:tcPr>
          <w:p w14:paraId="44BF92C2">
            <w:pPr>
              <w:jc w:val="center"/>
              <w:rPr>
                <w:rFonts w:ascii="宋体" w:hAnsi="宋体" w:eastAsia="宋体" w:cs="宋体"/>
                <w:color w:val="auto"/>
                <w:szCs w:val="21"/>
              </w:rPr>
            </w:pPr>
            <w:r>
              <w:rPr>
                <w:rFonts w:hint="eastAsia" w:ascii="宋体" w:hAnsi="宋体" w:eastAsia="宋体" w:cs="宋体"/>
                <w:color w:val="auto"/>
                <w:szCs w:val="21"/>
              </w:rPr>
              <w:t>排名</w:t>
            </w:r>
          </w:p>
        </w:tc>
        <w:tc>
          <w:tcPr>
            <w:tcW w:w="941" w:type="dxa"/>
            <w:tcBorders>
              <w:tl2br w:val="nil"/>
              <w:tr2bl w:val="nil"/>
            </w:tcBorders>
            <w:shd w:val="clear" w:color="auto" w:fill="FEF2CC" w:themeFill="accent4" w:themeFillTint="32"/>
          </w:tcPr>
          <w:p w14:paraId="1BC3C40A">
            <w:pPr>
              <w:jc w:val="center"/>
              <w:rPr>
                <w:rFonts w:ascii="宋体" w:hAnsi="宋体" w:eastAsia="宋体" w:cs="宋体"/>
                <w:color w:val="auto"/>
                <w:szCs w:val="21"/>
              </w:rPr>
            </w:pPr>
            <w:r>
              <w:rPr>
                <w:rFonts w:hint="eastAsia" w:ascii="宋体" w:hAnsi="宋体" w:eastAsia="宋体" w:cs="宋体"/>
                <w:color w:val="auto"/>
                <w:szCs w:val="21"/>
              </w:rPr>
              <w:t>等级</w:t>
            </w:r>
          </w:p>
        </w:tc>
      </w:tr>
      <w:tr w14:paraId="5FD6D2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105" w:type="dxa"/>
            <w:tcBorders>
              <w:tl2br w:val="nil"/>
              <w:tr2bl w:val="nil"/>
            </w:tcBorders>
          </w:tcPr>
          <w:p w14:paraId="34A8CC33">
            <w:pPr>
              <w:rPr>
                <w:rFonts w:ascii="宋体" w:hAnsi="宋体" w:eastAsia="宋体" w:cs="宋体"/>
                <w:color w:val="auto"/>
                <w:szCs w:val="21"/>
              </w:rPr>
            </w:pPr>
            <w:r>
              <w:rPr>
                <w:rFonts w:hint="eastAsia" w:ascii="宋体" w:hAnsi="宋体" w:eastAsia="宋体" w:cs="宋体"/>
                <w:color w:val="auto"/>
                <w:szCs w:val="21"/>
              </w:rPr>
              <w:t>鼓楼</w:t>
            </w:r>
          </w:p>
        </w:tc>
        <w:tc>
          <w:tcPr>
            <w:tcW w:w="1376" w:type="dxa"/>
            <w:tcBorders>
              <w:tl2br w:val="nil"/>
              <w:tr2bl w:val="nil"/>
            </w:tcBorders>
          </w:tcPr>
          <w:p w14:paraId="05D724E1">
            <w:pPr>
              <w:rPr>
                <w:rFonts w:ascii="宋体" w:hAnsi="宋体" w:eastAsia="宋体" w:cs="宋体"/>
                <w:color w:val="auto"/>
                <w:szCs w:val="21"/>
              </w:rPr>
            </w:pPr>
            <w:r>
              <w:rPr>
                <w:rFonts w:hint="eastAsia" w:ascii="宋体" w:hAnsi="宋体" w:eastAsia="宋体" w:cs="宋体"/>
                <w:color w:val="auto"/>
                <w:szCs w:val="21"/>
              </w:rPr>
              <w:t>58</w:t>
            </w:r>
          </w:p>
        </w:tc>
        <w:tc>
          <w:tcPr>
            <w:tcW w:w="1731" w:type="dxa"/>
            <w:tcBorders>
              <w:tl2br w:val="nil"/>
              <w:tr2bl w:val="nil"/>
            </w:tcBorders>
          </w:tcPr>
          <w:p w14:paraId="3A7287B1">
            <w:pPr>
              <w:rPr>
                <w:rFonts w:ascii="宋体" w:hAnsi="宋体" w:eastAsia="宋体" w:cs="宋体"/>
                <w:color w:val="auto"/>
                <w:szCs w:val="21"/>
              </w:rPr>
            </w:pPr>
            <w:r>
              <w:rPr>
                <w:rFonts w:hint="eastAsia" w:ascii="宋体" w:hAnsi="宋体" w:eastAsia="宋体" w:cs="宋体"/>
                <w:color w:val="auto"/>
                <w:szCs w:val="21"/>
              </w:rPr>
              <w:t>18</w:t>
            </w:r>
          </w:p>
        </w:tc>
        <w:tc>
          <w:tcPr>
            <w:tcW w:w="1375" w:type="dxa"/>
            <w:tcBorders>
              <w:tl2br w:val="nil"/>
              <w:tr2bl w:val="nil"/>
            </w:tcBorders>
          </w:tcPr>
          <w:p w14:paraId="42DA7A39">
            <w:pPr>
              <w:rPr>
                <w:rFonts w:ascii="宋体" w:hAnsi="宋体" w:eastAsia="宋体" w:cs="宋体"/>
                <w:color w:val="auto"/>
                <w:szCs w:val="21"/>
              </w:rPr>
            </w:pPr>
            <w:r>
              <w:rPr>
                <w:rFonts w:hint="eastAsia" w:ascii="宋体" w:hAnsi="宋体" w:eastAsia="宋体" w:cs="宋体"/>
                <w:color w:val="auto"/>
                <w:szCs w:val="21"/>
              </w:rPr>
              <w:t>18</w:t>
            </w:r>
          </w:p>
        </w:tc>
        <w:tc>
          <w:tcPr>
            <w:tcW w:w="1375" w:type="dxa"/>
            <w:tcBorders>
              <w:tl2br w:val="nil"/>
              <w:tr2bl w:val="nil"/>
            </w:tcBorders>
          </w:tcPr>
          <w:p w14:paraId="10D45988">
            <w:pPr>
              <w:rPr>
                <w:rFonts w:ascii="宋体" w:hAnsi="宋体" w:eastAsia="宋体" w:cs="宋体"/>
                <w:color w:val="auto"/>
                <w:szCs w:val="21"/>
              </w:rPr>
            </w:pPr>
            <w:r>
              <w:rPr>
                <w:rFonts w:hint="eastAsia" w:ascii="宋体" w:hAnsi="宋体" w:eastAsia="宋体" w:cs="宋体"/>
                <w:color w:val="auto"/>
                <w:szCs w:val="21"/>
              </w:rPr>
              <w:t>94</w:t>
            </w:r>
          </w:p>
        </w:tc>
        <w:tc>
          <w:tcPr>
            <w:tcW w:w="1025" w:type="dxa"/>
            <w:tcBorders>
              <w:tl2br w:val="nil"/>
              <w:tr2bl w:val="nil"/>
            </w:tcBorders>
          </w:tcPr>
          <w:p w14:paraId="7BD93AE8">
            <w:pPr>
              <w:rPr>
                <w:rFonts w:ascii="宋体" w:hAnsi="宋体" w:eastAsia="宋体" w:cs="宋体"/>
                <w:color w:val="auto"/>
                <w:szCs w:val="21"/>
              </w:rPr>
            </w:pPr>
            <w:r>
              <w:rPr>
                <w:rFonts w:hint="eastAsia" w:ascii="宋体" w:hAnsi="宋体" w:eastAsia="宋体" w:cs="宋体"/>
                <w:color w:val="auto"/>
                <w:szCs w:val="21"/>
              </w:rPr>
              <w:t>1</w:t>
            </w:r>
          </w:p>
        </w:tc>
        <w:tc>
          <w:tcPr>
            <w:tcW w:w="941" w:type="dxa"/>
            <w:tcBorders>
              <w:tl2br w:val="nil"/>
              <w:tr2bl w:val="nil"/>
            </w:tcBorders>
          </w:tcPr>
          <w:p w14:paraId="636A4390">
            <w:pPr>
              <w:rPr>
                <w:rFonts w:ascii="宋体" w:hAnsi="宋体" w:eastAsia="宋体" w:cs="宋体"/>
                <w:color w:val="auto"/>
                <w:szCs w:val="21"/>
              </w:rPr>
            </w:pPr>
            <w:r>
              <w:rPr>
                <w:rFonts w:hint="eastAsia" w:ascii="宋体" w:hAnsi="宋体" w:eastAsia="宋体" w:cs="宋体"/>
                <w:color w:val="auto"/>
                <w:szCs w:val="21"/>
              </w:rPr>
              <w:t>A</w:t>
            </w:r>
          </w:p>
        </w:tc>
      </w:tr>
      <w:tr w14:paraId="5DA4FB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05" w:type="dxa"/>
            <w:tcBorders>
              <w:tl2br w:val="nil"/>
              <w:tr2bl w:val="nil"/>
            </w:tcBorders>
          </w:tcPr>
          <w:p w14:paraId="560A9B3F">
            <w:pPr>
              <w:rPr>
                <w:rFonts w:ascii="宋体" w:hAnsi="宋体" w:eastAsia="宋体" w:cs="宋体"/>
                <w:color w:val="auto"/>
                <w:szCs w:val="21"/>
              </w:rPr>
            </w:pPr>
            <w:r>
              <w:rPr>
                <w:rFonts w:hint="eastAsia" w:ascii="宋体" w:hAnsi="宋体" w:eastAsia="宋体" w:cs="宋体"/>
                <w:color w:val="auto"/>
                <w:szCs w:val="21"/>
              </w:rPr>
              <w:t>长乐</w:t>
            </w:r>
          </w:p>
        </w:tc>
        <w:tc>
          <w:tcPr>
            <w:tcW w:w="1376" w:type="dxa"/>
            <w:tcBorders>
              <w:tl2br w:val="nil"/>
              <w:tr2bl w:val="nil"/>
            </w:tcBorders>
          </w:tcPr>
          <w:p w14:paraId="67D3BFB7">
            <w:pPr>
              <w:rPr>
                <w:rFonts w:ascii="宋体" w:hAnsi="宋体" w:eastAsia="宋体" w:cs="宋体"/>
                <w:color w:val="auto"/>
                <w:szCs w:val="21"/>
              </w:rPr>
            </w:pPr>
            <w:r>
              <w:rPr>
                <w:rFonts w:hint="eastAsia" w:ascii="宋体" w:hAnsi="宋体" w:eastAsia="宋体" w:cs="宋体"/>
                <w:color w:val="auto"/>
                <w:szCs w:val="21"/>
              </w:rPr>
              <w:t>57</w:t>
            </w:r>
          </w:p>
        </w:tc>
        <w:tc>
          <w:tcPr>
            <w:tcW w:w="1731" w:type="dxa"/>
            <w:tcBorders>
              <w:tl2br w:val="nil"/>
              <w:tr2bl w:val="nil"/>
            </w:tcBorders>
          </w:tcPr>
          <w:p w14:paraId="0C847E18">
            <w:pPr>
              <w:rPr>
                <w:rFonts w:ascii="宋体" w:hAnsi="宋体" w:eastAsia="宋体" w:cs="宋体"/>
                <w:color w:val="auto"/>
                <w:szCs w:val="21"/>
              </w:rPr>
            </w:pPr>
            <w:r>
              <w:rPr>
                <w:rFonts w:hint="eastAsia" w:ascii="宋体" w:hAnsi="宋体" w:eastAsia="宋体" w:cs="宋体"/>
                <w:color w:val="auto"/>
                <w:szCs w:val="21"/>
              </w:rPr>
              <w:t>17</w:t>
            </w:r>
          </w:p>
        </w:tc>
        <w:tc>
          <w:tcPr>
            <w:tcW w:w="1375" w:type="dxa"/>
            <w:tcBorders>
              <w:tl2br w:val="nil"/>
              <w:tr2bl w:val="nil"/>
            </w:tcBorders>
          </w:tcPr>
          <w:p w14:paraId="3147126B">
            <w:pPr>
              <w:rPr>
                <w:rFonts w:ascii="宋体" w:hAnsi="宋体" w:eastAsia="宋体" w:cs="宋体"/>
                <w:color w:val="auto"/>
                <w:szCs w:val="21"/>
              </w:rPr>
            </w:pPr>
            <w:r>
              <w:rPr>
                <w:rFonts w:hint="eastAsia" w:ascii="宋体" w:hAnsi="宋体" w:eastAsia="宋体" w:cs="宋体"/>
                <w:color w:val="auto"/>
                <w:szCs w:val="21"/>
              </w:rPr>
              <w:t>16</w:t>
            </w:r>
          </w:p>
        </w:tc>
        <w:tc>
          <w:tcPr>
            <w:tcW w:w="1375" w:type="dxa"/>
            <w:tcBorders>
              <w:tl2br w:val="nil"/>
              <w:tr2bl w:val="nil"/>
            </w:tcBorders>
          </w:tcPr>
          <w:p w14:paraId="39B7454D">
            <w:pPr>
              <w:rPr>
                <w:rFonts w:ascii="宋体" w:hAnsi="宋体" w:eastAsia="宋体" w:cs="宋体"/>
                <w:color w:val="auto"/>
                <w:szCs w:val="21"/>
              </w:rPr>
            </w:pPr>
            <w:r>
              <w:rPr>
                <w:rFonts w:hint="eastAsia" w:ascii="宋体" w:hAnsi="宋体" w:eastAsia="宋体" w:cs="宋体"/>
                <w:color w:val="auto"/>
                <w:szCs w:val="21"/>
              </w:rPr>
              <w:t>90</w:t>
            </w:r>
          </w:p>
        </w:tc>
        <w:tc>
          <w:tcPr>
            <w:tcW w:w="1025" w:type="dxa"/>
            <w:tcBorders>
              <w:tl2br w:val="nil"/>
              <w:tr2bl w:val="nil"/>
            </w:tcBorders>
          </w:tcPr>
          <w:p w14:paraId="4D3305EE">
            <w:pPr>
              <w:rPr>
                <w:rFonts w:ascii="宋体" w:hAnsi="宋体" w:eastAsia="宋体" w:cs="宋体"/>
                <w:color w:val="auto"/>
                <w:szCs w:val="21"/>
              </w:rPr>
            </w:pPr>
            <w:r>
              <w:rPr>
                <w:rFonts w:hint="eastAsia" w:ascii="宋体" w:hAnsi="宋体" w:eastAsia="宋体" w:cs="宋体"/>
                <w:color w:val="auto"/>
                <w:szCs w:val="21"/>
              </w:rPr>
              <w:t>2</w:t>
            </w:r>
          </w:p>
        </w:tc>
        <w:tc>
          <w:tcPr>
            <w:tcW w:w="941" w:type="dxa"/>
            <w:tcBorders>
              <w:tl2br w:val="nil"/>
              <w:tr2bl w:val="nil"/>
            </w:tcBorders>
          </w:tcPr>
          <w:p w14:paraId="3CF534DE">
            <w:pPr>
              <w:rPr>
                <w:rFonts w:ascii="宋体" w:hAnsi="宋体" w:eastAsia="宋体" w:cs="宋体"/>
                <w:color w:val="auto"/>
                <w:szCs w:val="21"/>
              </w:rPr>
            </w:pPr>
            <w:r>
              <w:rPr>
                <w:rFonts w:hint="eastAsia" w:ascii="宋体" w:hAnsi="宋体" w:eastAsia="宋体" w:cs="宋体"/>
                <w:color w:val="auto"/>
                <w:szCs w:val="21"/>
              </w:rPr>
              <w:t>A</w:t>
            </w:r>
          </w:p>
        </w:tc>
      </w:tr>
      <w:tr w14:paraId="5B1DE4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05" w:type="dxa"/>
            <w:tcBorders>
              <w:tl2br w:val="nil"/>
              <w:tr2bl w:val="nil"/>
            </w:tcBorders>
          </w:tcPr>
          <w:p w14:paraId="443669AE">
            <w:pPr>
              <w:rPr>
                <w:rFonts w:ascii="宋体" w:hAnsi="宋体" w:eastAsia="宋体" w:cs="宋体"/>
                <w:color w:val="auto"/>
                <w:szCs w:val="21"/>
              </w:rPr>
            </w:pPr>
            <w:r>
              <w:rPr>
                <w:rFonts w:hint="eastAsia" w:ascii="宋体" w:hAnsi="宋体" w:eastAsia="宋体" w:cs="宋体"/>
                <w:color w:val="auto"/>
                <w:szCs w:val="21"/>
              </w:rPr>
              <w:t>仓山</w:t>
            </w:r>
          </w:p>
        </w:tc>
        <w:tc>
          <w:tcPr>
            <w:tcW w:w="1376" w:type="dxa"/>
            <w:tcBorders>
              <w:tl2br w:val="nil"/>
              <w:tr2bl w:val="nil"/>
            </w:tcBorders>
          </w:tcPr>
          <w:p w14:paraId="21CE5A93">
            <w:pPr>
              <w:rPr>
                <w:rFonts w:ascii="宋体" w:hAnsi="宋体" w:eastAsia="宋体" w:cs="宋体"/>
                <w:color w:val="auto"/>
                <w:szCs w:val="21"/>
              </w:rPr>
            </w:pPr>
            <w:r>
              <w:rPr>
                <w:rFonts w:hint="eastAsia" w:ascii="宋体" w:hAnsi="宋体" w:eastAsia="宋体" w:cs="宋体"/>
                <w:color w:val="auto"/>
                <w:szCs w:val="21"/>
              </w:rPr>
              <w:t>55</w:t>
            </w:r>
          </w:p>
        </w:tc>
        <w:tc>
          <w:tcPr>
            <w:tcW w:w="1731" w:type="dxa"/>
            <w:tcBorders>
              <w:tl2br w:val="nil"/>
              <w:tr2bl w:val="nil"/>
            </w:tcBorders>
          </w:tcPr>
          <w:p w14:paraId="4666186B">
            <w:pPr>
              <w:rPr>
                <w:rFonts w:ascii="宋体" w:hAnsi="宋体" w:eastAsia="宋体" w:cs="宋体"/>
                <w:color w:val="auto"/>
                <w:szCs w:val="21"/>
              </w:rPr>
            </w:pPr>
            <w:r>
              <w:rPr>
                <w:rFonts w:hint="eastAsia" w:ascii="宋体" w:hAnsi="宋体" w:eastAsia="宋体" w:cs="宋体"/>
                <w:color w:val="auto"/>
                <w:szCs w:val="21"/>
              </w:rPr>
              <w:t>17</w:t>
            </w:r>
          </w:p>
        </w:tc>
        <w:tc>
          <w:tcPr>
            <w:tcW w:w="1375" w:type="dxa"/>
            <w:tcBorders>
              <w:tl2br w:val="nil"/>
              <w:tr2bl w:val="nil"/>
            </w:tcBorders>
          </w:tcPr>
          <w:p w14:paraId="38C74659">
            <w:pPr>
              <w:rPr>
                <w:rFonts w:ascii="宋体" w:hAnsi="宋体" w:eastAsia="宋体" w:cs="宋体"/>
                <w:color w:val="auto"/>
                <w:szCs w:val="21"/>
              </w:rPr>
            </w:pPr>
            <w:r>
              <w:rPr>
                <w:rFonts w:hint="eastAsia" w:ascii="宋体" w:hAnsi="宋体" w:eastAsia="宋体" w:cs="宋体"/>
                <w:color w:val="auto"/>
                <w:szCs w:val="21"/>
              </w:rPr>
              <w:t>17</w:t>
            </w:r>
          </w:p>
        </w:tc>
        <w:tc>
          <w:tcPr>
            <w:tcW w:w="1375" w:type="dxa"/>
            <w:tcBorders>
              <w:tl2br w:val="nil"/>
              <w:tr2bl w:val="nil"/>
            </w:tcBorders>
          </w:tcPr>
          <w:p w14:paraId="43110F86">
            <w:pPr>
              <w:rPr>
                <w:rFonts w:ascii="宋体" w:hAnsi="宋体" w:eastAsia="宋体" w:cs="宋体"/>
                <w:color w:val="auto"/>
                <w:szCs w:val="21"/>
              </w:rPr>
            </w:pPr>
            <w:r>
              <w:rPr>
                <w:rFonts w:hint="eastAsia" w:ascii="宋体" w:hAnsi="宋体" w:eastAsia="宋体" w:cs="宋体"/>
                <w:color w:val="auto"/>
                <w:szCs w:val="21"/>
              </w:rPr>
              <w:t>89</w:t>
            </w:r>
          </w:p>
        </w:tc>
        <w:tc>
          <w:tcPr>
            <w:tcW w:w="1025" w:type="dxa"/>
            <w:tcBorders>
              <w:tl2br w:val="nil"/>
              <w:tr2bl w:val="nil"/>
            </w:tcBorders>
          </w:tcPr>
          <w:p w14:paraId="0E804F30">
            <w:pPr>
              <w:rPr>
                <w:rFonts w:ascii="宋体" w:hAnsi="宋体" w:eastAsia="宋体" w:cs="宋体"/>
                <w:color w:val="auto"/>
                <w:szCs w:val="21"/>
              </w:rPr>
            </w:pPr>
            <w:r>
              <w:rPr>
                <w:rFonts w:hint="eastAsia" w:ascii="宋体" w:hAnsi="宋体" w:eastAsia="宋体" w:cs="宋体"/>
                <w:color w:val="auto"/>
                <w:szCs w:val="21"/>
              </w:rPr>
              <w:t>3</w:t>
            </w:r>
          </w:p>
        </w:tc>
        <w:tc>
          <w:tcPr>
            <w:tcW w:w="941" w:type="dxa"/>
            <w:tcBorders>
              <w:tl2br w:val="nil"/>
              <w:tr2bl w:val="nil"/>
            </w:tcBorders>
          </w:tcPr>
          <w:p w14:paraId="58067254">
            <w:pPr>
              <w:rPr>
                <w:rFonts w:ascii="宋体" w:hAnsi="宋体" w:eastAsia="宋体" w:cs="宋体"/>
                <w:color w:val="auto"/>
                <w:szCs w:val="21"/>
              </w:rPr>
            </w:pPr>
            <w:r>
              <w:rPr>
                <w:rFonts w:hint="eastAsia" w:ascii="宋体" w:hAnsi="宋体" w:eastAsia="宋体" w:cs="宋体"/>
                <w:color w:val="auto"/>
                <w:szCs w:val="21"/>
              </w:rPr>
              <w:t>B</w:t>
            </w:r>
          </w:p>
        </w:tc>
      </w:tr>
    </w:tbl>
    <w:tbl>
      <w:tblPr>
        <w:tblStyle w:val="30"/>
        <w:tblpPr w:leftFromText="180" w:rightFromText="180" w:vertAnchor="text" w:horzAnchor="page" w:tblpX="1693" w:tblpY="456"/>
        <w:tblOverlap w:val="never"/>
        <w:tblW w:w="892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881"/>
        <w:gridCol w:w="907"/>
        <w:gridCol w:w="837"/>
        <w:gridCol w:w="1100"/>
        <w:gridCol w:w="1034"/>
        <w:gridCol w:w="1227"/>
        <w:gridCol w:w="914"/>
        <w:gridCol w:w="834"/>
      </w:tblGrid>
      <w:tr w14:paraId="44FB4D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94" w:type="dxa"/>
            <w:tcBorders>
              <w:tl2br w:val="nil"/>
              <w:tr2bl w:val="nil"/>
            </w:tcBorders>
            <w:shd w:val="clear" w:color="auto" w:fill="FEF2CC" w:themeFill="accent4" w:themeFillTint="32"/>
          </w:tcPr>
          <w:p w14:paraId="515D38F5">
            <w:pPr>
              <w:rPr>
                <w:rFonts w:asciiTheme="minorEastAsia" w:hAnsiTheme="minorEastAsia" w:cstheme="minorEastAsia"/>
                <w:color w:val="auto"/>
                <w:szCs w:val="21"/>
              </w:rPr>
            </w:pPr>
            <w:r>
              <w:rPr>
                <w:rFonts w:hint="eastAsia" w:asciiTheme="minorEastAsia" w:hAnsiTheme="minorEastAsia" w:cstheme="minorEastAsia"/>
                <w:color w:val="auto"/>
                <w:szCs w:val="21"/>
              </w:rPr>
              <w:t>参评区县</w:t>
            </w:r>
          </w:p>
        </w:tc>
        <w:tc>
          <w:tcPr>
            <w:tcW w:w="881" w:type="dxa"/>
            <w:tcBorders>
              <w:tl2br w:val="nil"/>
              <w:tr2bl w:val="nil"/>
            </w:tcBorders>
            <w:shd w:val="clear" w:color="auto" w:fill="FEF2CC" w:themeFill="accent4" w:themeFillTint="32"/>
          </w:tcPr>
          <w:p w14:paraId="7E0F17C8">
            <w:pPr>
              <w:rPr>
                <w:rFonts w:asciiTheme="minorEastAsia" w:hAnsiTheme="minorEastAsia" w:cstheme="minorEastAsia"/>
                <w:color w:val="auto"/>
                <w:szCs w:val="21"/>
              </w:rPr>
            </w:pPr>
            <w:r>
              <w:rPr>
                <w:rFonts w:hint="eastAsia" w:asciiTheme="minorEastAsia" w:hAnsiTheme="minorEastAsia" w:cstheme="minorEastAsia"/>
                <w:color w:val="auto"/>
                <w:szCs w:val="21"/>
              </w:rPr>
              <w:t>干净</w:t>
            </w:r>
          </w:p>
        </w:tc>
        <w:tc>
          <w:tcPr>
            <w:tcW w:w="907" w:type="dxa"/>
            <w:tcBorders>
              <w:tl2br w:val="nil"/>
              <w:tr2bl w:val="nil"/>
            </w:tcBorders>
            <w:shd w:val="clear" w:color="auto" w:fill="FEF2CC" w:themeFill="accent4" w:themeFillTint="32"/>
          </w:tcPr>
          <w:p w14:paraId="69532AE3">
            <w:pPr>
              <w:rPr>
                <w:rFonts w:asciiTheme="minorEastAsia" w:hAnsiTheme="minorEastAsia" w:cstheme="minorEastAsia"/>
                <w:color w:val="auto"/>
                <w:szCs w:val="21"/>
              </w:rPr>
            </w:pPr>
            <w:r>
              <w:rPr>
                <w:rFonts w:hint="eastAsia" w:asciiTheme="minorEastAsia" w:hAnsiTheme="minorEastAsia" w:cstheme="minorEastAsia"/>
                <w:color w:val="auto"/>
                <w:szCs w:val="21"/>
              </w:rPr>
              <w:t>整洁</w:t>
            </w:r>
          </w:p>
        </w:tc>
        <w:tc>
          <w:tcPr>
            <w:tcW w:w="837" w:type="dxa"/>
            <w:tcBorders>
              <w:tl2br w:val="nil"/>
              <w:tr2bl w:val="nil"/>
            </w:tcBorders>
            <w:shd w:val="clear" w:color="auto" w:fill="FEF2CC" w:themeFill="accent4" w:themeFillTint="32"/>
          </w:tcPr>
          <w:p w14:paraId="0EE67214">
            <w:pPr>
              <w:rPr>
                <w:rFonts w:asciiTheme="minorEastAsia" w:hAnsiTheme="minorEastAsia" w:cstheme="minorEastAsia"/>
                <w:color w:val="auto"/>
                <w:szCs w:val="21"/>
              </w:rPr>
            </w:pPr>
            <w:r>
              <w:rPr>
                <w:rFonts w:hint="eastAsia" w:asciiTheme="minorEastAsia" w:hAnsiTheme="minorEastAsia" w:cstheme="minorEastAsia"/>
                <w:color w:val="auto"/>
                <w:szCs w:val="21"/>
              </w:rPr>
              <w:t>有序</w:t>
            </w:r>
          </w:p>
        </w:tc>
        <w:tc>
          <w:tcPr>
            <w:tcW w:w="1100" w:type="dxa"/>
            <w:tcBorders>
              <w:tl2br w:val="nil"/>
              <w:tr2bl w:val="nil"/>
            </w:tcBorders>
            <w:shd w:val="clear" w:color="auto" w:fill="FEF2CC" w:themeFill="accent4" w:themeFillTint="32"/>
          </w:tcPr>
          <w:p w14:paraId="2026F3D7">
            <w:pPr>
              <w:rPr>
                <w:rFonts w:asciiTheme="minorEastAsia" w:hAnsiTheme="minorEastAsia" w:cstheme="minorEastAsia"/>
                <w:color w:val="auto"/>
                <w:szCs w:val="21"/>
              </w:rPr>
            </w:pPr>
            <w:r>
              <w:rPr>
                <w:rFonts w:hint="eastAsia" w:asciiTheme="minorEastAsia" w:hAnsiTheme="minorEastAsia" w:cstheme="minorEastAsia"/>
                <w:color w:val="auto"/>
                <w:szCs w:val="21"/>
              </w:rPr>
              <w:t>安全</w:t>
            </w:r>
          </w:p>
        </w:tc>
        <w:tc>
          <w:tcPr>
            <w:tcW w:w="1034" w:type="dxa"/>
            <w:tcBorders>
              <w:tl2br w:val="nil"/>
              <w:tr2bl w:val="nil"/>
            </w:tcBorders>
            <w:shd w:val="clear" w:color="auto" w:fill="FEF2CC" w:themeFill="accent4" w:themeFillTint="32"/>
          </w:tcPr>
          <w:p w14:paraId="45DDA3DC">
            <w:pPr>
              <w:rPr>
                <w:rFonts w:asciiTheme="minorEastAsia" w:hAnsiTheme="minorEastAsia" w:cstheme="minorEastAsia"/>
                <w:color w:val="auto"/>
                <w:szCs w:val="21"/>
              </w:rPr>
            </w:pPr>
            <w:r>
              <w:rPr>
                <w:rFonts w:hint="eastAsia" w:asciiTheme="minorEastAsia" w:hAnsiTheme="minorEastAsia" w:cstheme="minorEastAsia"/>
                <w:color w:val="auto"/>
                <w:szCs w:val="21"/>
              </w:rPr>
              <w:t>满意</w:t>
            </w:r>
          </w:p>
        </w:tc>
        <w:tc>
          <w:tcPr>
            <w:tcW w:w="1227" w:type="dxa"/>
            <w:tcBorders>
              <w:tl2br w:val="nil"/>
              <w:tr2bl w:val="nil"/>
            </w:tcBorders>
            <w:shd w:val="clear" w:color="auto" w:fill="FEF2CC" w:themeFill="accent4" w:themeFillTint="32"/>
          </w:tcPr>
          <w:p w14:paraId="0DF7EE90">
            <w:pPr>
              <w:rPr>
                <w:rFonts w:asciiTheme="minorEastAsia" w:hAnsiTheme="minorEastAsia" w:cstheme="minorEastAsia"/>
                <w:color w:val="auto"/>
                <w:szCs w:val="21"/>
              </w:rPr>
            </w:pPr>
            <w:r>
              <w:rPr>
                <w:rFonts w:hint="eastAsia" w:asciiTheme="minorEastAsia" w:hAnsiTheme="minorEastAsia" w:cstheme="minorEastAsia"/>
                <w:color w:val="auto"/>
                <w:szCs w:val="21"/>
              </w:rPr>
              <w:t>综合得分</w:t>
            </w:r>
          </w:p>
        </w:tc>
        <w:tc>
          <w:tcPr>
            <w:tcW w:w="914" w:type="dxa"/>
            <w:tcBorders>
              <w:tl2br w:val="nil"/>
              <w:tr2bl w:val="nil"/>
            </w:tcBorders>
            <w:shd w:val="clear" w:color="auto" w:fill="FEF2CC" w:themeFill="accent4" w:themeFillTint="32"/>
          </w:tcPr>
          <w:p w14:paraId="4B25331B">
            <w:pPr>
              <w:rPr>
                <w:rFonts w:asciiTheme="minorEastAsia" w:hAnsiTheme="minorEastAsia" w:cstheme="minorEastAsia"/>
                <w:color w:val="auto"/>
                <w:szCs w:val="21"/>
              </w:rPr>
            </w:pPr>
            <w:r>
              <w:rPr>
                <w:rFonts w:hint="eastAsia" w:asciiTheme="minorEastAsia" w:hAnsiTheme="minorEastAsia" w:cstheme="minorEastAsia"/>
                <w:color w:val="auto"/>
                <w:szCs w:val="21"/>
              </w:rPr>
              <w:t>排名</w:t>
            </w:r>
          </w:p>
        </w:tc>
        <w:tc>
          <w:tcPr>
            <w:tcW w:w="834" w:type="dxa"/>
            <w:tcBorders>
              <w:tl2br w:val="nil"/>
              <w:tr2bl w:val="nil"/>
            </w:tcBorders>
            <w:shd w:val="clear" w:color="auto" w:fill="FEF2CC" w:themeFill="accent4" w:themeFillTint="32"/>
          </w:tcPr>
          <w:p w14:paraId="77851F9A">
            <w:pPr>
              <w:rPr>
                <w:rFonts w:asciiTheme="minorEastAsia" w:hAnsiTheme="minorEastAsia" w:cstheme="minorEastAsia"/>
                <w:color w:val="auto"/>
                <w:szCs w:val="21"/>
              </w:rPr>
            </w:pPr>
            <w:r>
              <w:rPr>
                <w:rFonts w:hint="eastAsia" w:asciiTheme="minorEastAsia" w:hAnsiTheme="minorEastAsia" w:cstheme="minorEastAsia"/>
                <w:color w:val="auto"/>
                <w:szCs w:val="21"/>
              </w:rPr>
              <w:t>等级</w:t>
            </w:r>
          </w:p>
        </w:tc>
      </w:tr>
      <w:tr w14:paraId="187049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194" w:type="dxa"/>
            <w:tcBorders>
              <w:tl2br w:val="nil"/>
              <w:tr2bl w:val="nil"/>
            </w:tcBorders>
          </w:tcPr>
          <w:p w14:paraId="3762FDB3">
            <w:pPr>
              <w:rPr>
                <w:rFonts w:asciiTheme="minorEastAsia" w:hAnsiTheme="minorEastAsia" w:cstheme="minorEastAsia"/>
                <w:color w:val="auto"/>
                <w:szCs w:val="21"/>
              </w:rPr>
            </w:pPr>
            <w:r>
              <w:rPr>
                <w:rFonts w:hint="eastAsia" w:asciiTheme="minorEastAsia" w:hAnsiTheme="minorEastAsia" w:cstheme="minorEastAsia"/>
                <w:color w:val="auto"/>
                <w:szCs w:val="21"/>
              </w:rPr>
              <w:t>鼓楼</w:t>
            </w:r>
          </w:p>
        </w:tc>
        <w:tc>
          <w:tcPr>
            <w:tcW w:w="881" w:type="dxa"/>
            <w:tcBorders>
              <w:tl2br w:val="nil"/>
              <w:tr2bl w:val="nil"/>
            </w:tcBorders>
          </w:tcPr>
          <w:p w14:paraId="71B1E01F">
            <w:pPr>
              <w:rPr>
                <w:rFonts w:asciiTheme="minorEastAsia" w:hAnsiTheme="minorEastAsia" w:cstheme="minorEastAsia"/>
                <w:color w:val="auto"/>
                <w:szCs w:val="21"/>
              </w:rPr>
            </w:pPr>
            <w:r>
              <w:rPr>
                <w:rFonts w:hint="eastAsia" w:asciiTheme="minorEastAsia" w:hAnsiTheme="minorEastAsia" w:cstheme="minorEastAsia"/>
                <w:color w:val="auto"/>
                <w:szCs w:val="21"/>
              </w:rPr>
              <w:t>19</w:t>
            </w:r>
          </w:p>
        </w:tc>
        <w:tc>
          <w:tcPr>
            <w:tcW w:w="907" w:type="dxa"/>
            <w:tcBorders>
              <w:tl2br w:val="nil"/>
              <w:tr2bl w:val="nil"/>
            </w:tcBorders>
          </w:tcPr>
          <w:p w14:paraId="1932E4D3">
            <w:pPr>
              <w:rPr>
                <w:rFonts w:asciiTheme="minorEastAsia" w:hAnsiTheme="minorEastAsia" w:cstheme="minorEastAsia"/>
                <w:color w:val="auto"/>
                <w:szCs w:val="21"/>
              </w:rPr>
            </w:pPr>
            <w:r>
              <w:rPr>
                <w:rFonts w:hint="eastAsia" w:asciiTheme="minorEastAsia" w:hAnsiTheme="minorEastAsia" w:cstheme="minorEastAsia"/>
                <w:color w:val="auto"/>
                <w:szCs w:val="21"/>
              </w:rPr>
              <w:t>19</w:t>
            </w:r>
          </w:p>
        </w:tc>
        <w:tc>
          <w:tcPr>
            <w:tcW w:w="837" w:type="dxa"/>
            <w:tcBorders>
              <w:tl2br w:val="nil"/>
              <w:tr2bl w:val="nil"/>
            </w:tcBorders>
          </w:tcPr>
          <w:p w14:paraId="0300CA13">
            <w:pPr>
              <w:rPr>
                <w:rFonts w:asciiTheme="minorEastAsia" w:hAnsiTheme="minorEastAsia" w:cstheme="minorEastAsia"/>
                <w:color w:val="auto"/>
                <w:szCs w:val="21"/>
              </w:rPr>
            </w:pPr>
            <w:r>
              <w:rPr>
                <w:rFonts w:hint="eastAsia" w:asciiTheme="minorEastAsia" w:hAnsiTheme="minorEastAsia" w:cstheme="minorEastAsia"/>
                <w:color w:val="auto"/>
                <w:szCs w:val="21"/>
              </w:rPr>
              <w:t>20</w:t>
            </w:r>
          </w:p>
        </w:tc>
        <w:tc>
          <w:tcPr>
            <w:tcW w:w="1100" w:type="dxa"/>
            <w:tcBorders>
              <w:tl2br w:val="nil"/>
              <w:tr2bl w:val="nil"/>
            </w:tcBorders>
          </w:tcPr>
          <w:p w14:paraId="7D030752">
            <w:pPr>
              <w:rPr>
                <w:rFonts w:asciiTheme="minorEastAsia" w:hAnsiTheme="minorEastAsia" w:cstheme="minorEastAsia"/>
                <w:color w:val="auto"/>
                <w:szCs w:val="21"/>
              </w:rPr>
            </w:pPr>
            <w:r>
              <w:rPr>
                <w:rFonts w:hint="eastAsia" w:asciiTheme="minorEastAsia" w:hAnsiTheme="minorEastAsia" w:cstheme="minorEastAsia"/>
                <w:color w:val="auto"/>
                <w:szCs w:val="21"/>
              </w:rPr>
              <w:t>18</w:t>
            </w:r>
          </w:p>
        </w:tc>
        <w:tc>
          <w:tcPr>
            <w:tcW w:w="1034" w:type="dxa"/>
            <w:tcBorders>
              <w:tl2br w:val="nil"/>
              <w:tr2bl w:val="nil"/>
            </w:tcBorders>
          </w:tcPr>
          <w:p w14:paraId="269A3FD7">
            <w:pPr>
              <w:rPr>
                <w:rFonts w:asciiTheme="minorEastAsia" w:hAnsiTheme="minorEastAsia" w:cstheme="minorEastAsia"/>
                <w:color w:val="auto"/>
                <w:szCs w:val="21"/>
              </w:rPr>
            </w:pPr>
            <w:r>
              <w:rPr>
                <w:rFonts w:hint="eastAsia" w:asciiTheme="minorEastAsia" w:hAnsiTheme="minorEastAsia" w:cstheme="minorEastAsia"/>
                <w:color w:val="auto"/>
                <w:szCs w:val="21"/>
              </w:rPr>
              <w:t>18</w:t>
            </w:r>
          </w:p>
        </w:tc>
        <w:tc>
          <w:tcPr>
            <w:tcW w:w="1227" w:type="dxa"/>
            <w:tcBorders>
              <w:tl2br w:val="nil"/>
              <w:tr2bl w:val="nil"/>
            </w:tcBorders>
          </w:tcPr>
          <w:p w14:paraId="7642AAB4">
            <w:pPr>
              <w:rPr>
                <w:rFonts w:asciiTheme="minorEastAsia" w:hAnsiTheme="minorEastAsia" w:cstheme="minorEastAsia"/>
                <w:color w:val="auto"/>
                <w:szCs w:val="21"/>
              </w:rPr>
            </w:pPr>
            <w:r>
              <w:rPr>
                <w:rFonts w:hint="eastAsia" w:asciiTheme="minorEastAsia" w:hAnsiTheme="minorEastAsia" w:cstheme="minorEastAsia"/>
                <w:color w:val="auto"/>
                <w:szCs w:val="21"/>
              </w:rPr>
              <w:t>94</w:t>
            </w:r>
          </w:p>
        </w:tc>
        <w:tc>
          <w:tcPr>
            <w:tcW w:w="914" w:type="dxa"/>
            <w:tcBorders>
              <w:tl2br w:val="nil"/>
              <w:tr2bl w:val="nil"/>
            </w:tcBorders>
          </w:tcPr>
          <w:p w14:paraId="26551989">
            <w:pPr>
              <w:rPr>
                <w:rFonts w:asciiTheme="minorEastAsia" w:hAnsiTheme="minorEastAsia" w:cstheme="minorEastAsia"/>
                <w:color w:val="auto"/>
                <w:szCs w:val="21"/>
              </w:rPr>
            </w:pPr>
            <w:r>
              <w:rPr>
                <w:rFonts w:hint="eastAsia" w:asciiTheme="minorEastAsia" w:hAnsiTheme="minorEastAsia" w:cstheme="minorEastAsia"/>
                <w:color w:val="auto"/>
                <w:szCs w:val="21"/>
              </w:rPr>
              <w:t>1</w:t>
            </w:r>
          </w:p>
        </w:tc>
        <w:tc>
          <w:tcPr>
            <w:tcW w:w="834" w:type="dxa"/>
            <w:tcBorders>
              <w:tl2br w:val="nil"/>
              <w:tr2bl w:val="nil"/>
            </w:tcBorders>
          </w:tcPr>
          <w:p w14:paraId="1F2223E7">
            <w:pPr>
              <w:rPr>
                <w:rFonts w:asciiTheme="minorEastAsia" w:hAnsiTheme="minorEastAsia" w:cstheme="minorEastAsia"/>
                <w:color w:val="auto"/>
                <w:szCs w:val="21"/>
              </w:rPr>
            </w:pPr>
            <w:r>
              <w:rPr>
                <w:rFonts w:hint="eastAsia" w:asciiTheme="minorEastAsia" w:hAnsiTheme="minorEastAsia" w:cstheme="minorEastAsia"/>
                <w:color w:val="auto"/>
                <w:szCs w:val="21"/>
              </w:rPr>
              <w:t>A</w:t>
            </w:r>
          </w:p>
        </w:tc>
      </w:tr>
      <w:tr w14:paraId="0230A6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94" w:type="dxa"/>
            <w:tcBorders>
              <w:tl2br w:val="nil"/>
              <w:tr2bl w:val="nil"/>
            </w:tcBorders>
          </w:tcPr>
          <w:p w14:paraId="36456E6D">
            <w:pPr>
              <w:rPr>
                <w:rFonts w:asciiTheme="minorEastAsia" w:hAnsiTheme="minorEastAsia" w:cstheme="minorEastAsia"/>
                <w:color w:val="auto"/>
                <w:szCs w:val="21"/>
              </w:rPr>
            </w:pPr>
            <w:r>
              <w:rPr>
                <w:rFonts w:hint="eastAsia" w:asciiTheme="minorEastAsia" w:hAnsiTheme="minorEastAsia" w:cstheme="minorEastAsia"/>
                <w:color w:val="auto"/>
                <w:szCs w:val="21"/>
              </w:rPr>
              <w:t>长乐</w:t>
            </w:r>
          </w:p>
        </w:tc>
        <w:tc>
          <w:tcPr>
            <w:tcW w:w="881" w:type="dxa"/>
            <w:tcBorders>
              <w:tl2br w:val="nil"/>
              <w:tr2bl w:val="nil"/>
            </w:tcBorders>
          </w:tcPr>
          <w:p w14:paraId="4DFCF5E0">
            <w:pPr>
              <w:rPr>
                <w:rFonts w:asciiTheme="minorEastAsia" w:hAnsiTheme="minorEastAsia" w:cstheme="minorEastAsia"/>
                <w:color w:val="auto"/>
                <w:szCs w:val="21"/>
              </w:rPr>
            </w:pPr>
            <w:r>
              <w:rPr>
                <w:rFonts w:hint="eastAsia" w:asciiTheme="minorEastAsia" w:hAnsiTheme="minorEastAsia" w:cstheme="minorEastAsia"/>
                <w:color w:val="auto"/>
                <w:szCs w:val="21"/>
              </w:rPr>
              <w:t>19</w:t>
            </w:r>
          </w:p>
        </w:tc>
        <w:tc>
          <w:tcPr>
            <w:tcW w:w="907" w:type="dxa"/>
            <w:tcBorders>
              <w:tl2br w:val="nil"/>
              <w:tr2bl w:val="nil"/>
            </w:tcBorders>
          </w:tcPr>
          <w:p w14:paraId="5BB7ED38">
            <w:pPr>
              <w:rPr>
                <w:rFonts w:asciiTheme="minorEastAsia" w:hAnsiTheme="minorEastAsia" w:cstheme="minorEastAsia"/>
                <w:color w:val="auto"/>
                <w:szCs w:val="21"/>
              </w:rPr>
            </w:pPr>
            <w:r>
              <w:rPr>
                <w:rFonts w:hint="eastAsia" w:asciiTheme="minorEastAsia" w:hAnsiTheme="minorEastAsia" w:cstheme="minorEastAsia"/>
                <w:color w:val="auto"/>
                <w:szCs w:val="21"/>
              </w:rPr>
              <w:t>19</w:t>
            </w:r>
          </w:p>
        </w:tc>
        <w:tc>
          <w:tcPr>
            <w:tcW w:w="837" w:type="dxa"/>
            <w:tcBorders>
              <w:tl2br w:val="nil"/>
              <w:tr2bl w:val="nil"/>
            </w:tcBorders>
          </w:tcPr>
          <w:p w14:paraId="0302F9C6">
            <w:pPr>
              <w:rPr>
                <w:rFonts w:asciiTheme="minorEastAsia" w:hAnsiTheme="minorEastAsia" w:cstheme="minorEastAsia"/>
                <w:color w:val="auto"/>
                <w:szCs w:val="21"/>
              </w:rPr>
            </w:pPr>
            <w:r>
              <w:rPr>
                <w:rFonts w:hint="eastAsia" w:asciiTheme="minorEastAsia" w:hAnsiTheme="minorEastAsia" w:cstheme="minorEastAsia"/>
                <w:color w:val="auto"/>
                <w:szCs w:val="21"/>
              </w:rPr>
              <w:t>19</w:t>
            </w:r>
          </w:p>
        </w:tc>
        <w:tc>
          <w:tcPr>
            <w:tcW w:w="1100" w:type="dxa"/>
            <w:tcBorders>
              <w:tl2br w:val="nil"/>
              <w:tr2bl w:val="nil"/>
            </w:tcBorders>
          </w:tcPr>
          <w:p w14:paraId="15283C78">
            <w:pPr>
              <w:rPr>
                <w:rFonts w:asciiTheme="minorEastAsia" w:hAnsiTheme="minorEastAsia" w:cstheme="minorEastAsia"/>
                <w:color w:val="auto"/>
                <w:szCs w:val="21"/>
              </w:rPr>
            </w:pPr>
            <w:r>
              <w:rPr>
                <w:rFonts w:hint="eastAsia" w:asciiTheme="minorEastAsia" w:hAnsiTheme="minorEastAsia" w:cstheme="minorEastAsia"/>
                <w:color w:val="auto"/>
                <w:szCs w:val="21"/>
              </w:rPr>
              <w:t>17</w:t>
            </w:r>
          </w:p>
        </w:tc>
        <w:tc>
          <w:tcPr>
            <w:tcW w:w="1034" w:type="dxa"/>
            <w:tcBorders>
              <w:tl2br w:val="nil"/>
              <w:tr2bl w:val="nil"/>
            </w:tcBorders>
          </w:tcPr>
          <w:p w14:paraId="363F8D07">
            <w:pPr>
              <w:rPr>
                <w:rFonts w:asciiTheme="minorEastAsia" w:hAnsiTheme="minorEastAsia" w:cstheme="minorEastAsia"/>
                <w:color w:val="auto"/>
                <w:szCs w:val="21"/>
              </w:rPr>
            </w:pPr>
            <w:r>
              <w:rPr>
                <w:rFonts w:hint="eastAsia" w:asciiTheme="minorEastAsia" w:hAnsiTheme="minorEastAsia" w:cstheme="minorEastAsia"/>
                <w:color w:val="auto"/>
                <w:szCs w:val="21"/>
              </w:rPr>
              <w:t>16</w:t>
            </w:r>
          </w:p>
        </w:tc>
        <w:tc>
          <w:tcPr>
            <w:tcW w:w="1227" w:type="dxa"/>
            <w:tcBorders>
              <w:tl2br w:val="nil"/>
              <w:tr2bl w:val="nil"/>
            </w:tcBorders>
          </w:tcPr>
          <w:p w14:paraId="277CF40A">
            <w:pPr>
              <w:rPr>
                <w:rFonts w:asciiTheme="minorEastAsia" w:hAnsiTheme="minorEastAsia" w:cstheme="minorEastAsia"/>
                <w:color w:val="auto"/>
                <w:szCs w:val="21"/>
              </w:rPr>
            </w:pPr>
            <w:r>
              <w:rPr>
                <w:rFonts w:hint="eastAsia" w:asciiTheme="minorEastAsia" w:hAnsiTheme="minorEastAsia" w:cstheme="minorEastAsia"/>
                <w:color w:val="auto"/>
                <w:szCs w:val="21"/>
              </w:rPr>
              <w:t>90</w:t>
            </w:r>
          </w:p>
        </w:tc>
        <w:tc>
          <w:tcPr>
            <w:tcW w:w="914" w:type="dxa"/>
            <w:tcBorders>
              <w:tl2br w:val="nil"/>
              <w:tr2bl w:val="nil"/>
            </w:tcBorders>
          </w:tcPr>
          <w:p w14:paraId="6F5752F8">
            <w:pPr>
              <w:rPr>
                <w:rFonts w:asciiTheme="minorEastAsia" w:hAnsiTheme="minorEastAsia" w:cstheme="minorEastAsia"/>
                <w:color w:val="auto"/>
                <w:szCs w:val="21"/>
              </w:rPr>
            </w:pPr>
            <w:r>
              <w:rPr>
                <w:rFonts w:hint="eastAsia" w:asciiTheme="minorEastAsia" w:hAnsiTheme="minorEastAsia" w:cstheme="minorEastAsia"/>
                <w:color w:val="auto"/>
                <w:szCs w:val="21"/>
              </w:rPr>
              <w:t>2</w:t>
            </w:r>
          </w:p>
        </w:tc>
        <w:tc>
          <w:tcPr>
            <w:tcW w:w="834" w:type="dxa"/>
            <w:tcBorders>
              <w:tl2br w:val="nil"/>
              <w:tr2bl w:val="nil"/>
            </w:tcBorders>
          </w:tcPr>
          <w:p w14:paraId="1A403956">
            <w:pPr>
              <w:rPr>
                <w:rFonts w:asciiTheme="minorEastAsia" w:hAnsiTheme="minorEastAsia" w:cstheme="minorEastAsia"/>
                <w:color w:val="auto"/>
                <w:szCs w:val="21"/>
              </w:rPr>
            </w:pPr>
            <w:r>
              <w:rPr>
                <w:rFonts w:hint="eastAsia" w:asciiTheme="minorEastAsia" w:hAnsiTheme="minorEastAsia" w:cstheme="minorEastAsia"/>
                <w:color w:val="auto"/>
                <w:szCs w:val="21"/>
              </w:rPr>
              <w:t>A</w:t>
            </w:r>
          </w:p>
        </w:tc>
      </w:tr>
      <w:tr w14:paraId="1ACFA3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94" w:type="dxa"/>
            <w:tcBorders>
              <w:tl2br w:val="nil"/>
              <w:tr2bl w:val="nil"/>
            </w:tcBorders>
          </w:tcPr>
          <w:p w14:paraId="500A3AAC">
            <w:pPr>
              <w:rPr>
                <w:rFonts w:asciiTheme="minorEastAsia" w:hAnsiTheme="minorEastAsia" w:cstheme="minorEastAsia"/>
                <w:color w:val="auto"/>
                <w:szCs w:val="21"/>
              </w:rPr>
            </w:pPr>
            <w:r>
              <w:rPr>
                <w:rFonts w:hint="eastAsia" w:asciiTheme="minorEastAsia" w:hAnsiTheme="minorEastAsia" w:cstheme="minorEastAsia"/>
                <w:color w:val="auto"/>
                <w:szCs w:val="21"/>
              </w:rPr>
              <w:t>仓山</w:t>
            </w:r>
          </w:p>
        </w:tc>
        <w:tc>
          <w:tcPr>
            <w:tcW w:w="881" w:type="dxa"/>
            <w:tcBorders>
              <w:tl2br w:val="nil"/>
              <w:tr2bl w:val="nil"/>
            </w:tcBorders>
          </w:tcPr>
          <w:p w14:paraId="44DDF619">
            <w:pPr>
              <w:rPr>
                <w:rFonts w:asciiTheme="minorEastAsia" w:hAnsiTheme="minorEastAsia" w:cstheme="minorEastAsia"/>
                <w:color w:val="auto"/>
                <w:szCs w:val="21"/>
              </w:rPr>
            </w:pPr>
            <w:r>
              <w:rPr>
                <w:rFonts w:hint="eastAsia" w:asciiTheme="minorEastAsia" w:hAnsiTheme="minorEastAsia" w:cstheme="minorEastAsia"/>
                <w:color w:val="auto"/>
                <w:szCs w:val="21"/>
              </w:rPr>
              <w:t>18</w:t>
            </w:r>
          </w:p>
        </w:tc>
        <w:tc>
          <w:tcPr>
            <w:tcW w:w="907" w:type="dxa"/>
            <w:tcBorders>
              <w:tl2br w:val="nil"/>
              <w:tr2bl w:val="nil"/>
            </w:tcBorders>
          </w:tcPr>
          <w:p w14:paraId="427515E4">
            <w:pPr>
              <w:rPr>
                <w:rFonts w:asciiTheme="minorEastAsia" w:hAnsiTheme="minorEastAsia" w:cstheme="minorEastAsia"/>
                <w:color w:val="auto"/>
                <w:szCs w:val="21"/>
              </w:rPr>
            </w:pPr>
            <w:r>
              <w:rPr>
                <w:rFonts w:hint="eastAsia" w:asciiTheme="minorEastAsia" w:hAnsiTheme="minorEastAsia" w:cstheme="minorEastAsia"/>
                <w:color w:val="auto"/>
                <w:szCs w:val="21"/>
              </w:rPr>
              <w:t>18</w:t>
            </w:r>
          </w:p>
        </w:tc>
        <w:tc>
          <w:tcPr>
            <w:tcW w:w="837" w:type="dxa"/>
            <w:tcBorders>
              <w:tl2br w:val="nil"/>
              <w:tr2bl w:val="nil"/>
            </w:tcBorders>
          </w:tcPr>
          <w:p w14:paraId="10E6CD89">
            <w:pPr>
              <w:rPr>
                <w:rFonts w:asciiTheme="minorEastAsia" w:hAnsiTheme="minorEastAsia" w:cstheme="minorEastAsia"/>
                <w:color w:val="auto"/>
                <w:szCs w:val="21"/>
              </w:rPr>
            </w:pPr>
            <w:r>
              <w:rPr>
                <w:rFonts w:hint="eastAsia" w:asciiTheme="minorEastAsia" w:hAnsiTheme="minorEastAsia" w:cstheme="minorEastAsia"/>
                <w:color w:val="auto"/>
                <w:szCs w:val="21"/>
              </w:rPr>
              <w:t>19</w:t>
            </w:r>
          </w:p>
        </w:tc>
        <w:tc>
          <w:tcPr>
            <w:tcW w:w="1100" w:type="dxa"/>
            <w:tcBorders>
              <w:tl2br w:val="nil"/>
              <w:tr2bl w:val="nil"/>
            </w:tcBorders>
          </w:tcPr>
          <w:p w14:paraId="5FF67B48">
            <w:pPr>
              <w:rPr>
                <w:rFonts w:asciiTheme="minorEastAsia" w:hAnsiTheme="minorEastAsia" w:cstheme="minorEastAsia"/>
                <w:color w:val="auto"/>
                <w:szCs w:val="21"/>
              </w:rPr>
            </w:pPr>
            <w:r>
              <w:rPr>
                <w:rFonts w:hint="eastAsia" w:asciiTheme="minorEastAsia" w:hAnsiTheme="minorEastAsia" w:cstheme="minorEastAsia"/>
                <w:color w:val="auto"/>
                <w:szCs w:val="21"/>
              </w:rPr>
              <w:t>17</w:t>
            </w:r>
          </w:p>
        </w:tc>
        <w:tc>
          <w:tcPr>
            <w:tcW w:w="1034" w:type="dxa"/>
            <w:tcBorders>
              <w:tl2br w:val="nil"/>
              <w:tr2bl w:val="nil"/>
            </w:tcBorders>
          </w:tcPr>
          <w:p w14:paraId="506483C5">
            <w:pPr>
              <w:rPr>
                <w:rFonts w:asciiTheme="minorEastAsia" w:hAnsiTheme="minorEastAsia" w:cstheme="minorEastAsia"/>
                <w:color w:val="auto"/>
                <w:szCs w:val="21"/>
              </w:rPr>
            </w:pPr>
            <w:r>
              <w:rPr>
                <w:rFonts w:hint="eastAsia" w:asciiTheme="minorEastAsia" w:hAnsiTheme="minorEastAsia" w:cstheme="minorEastAsia"/>
                <w:color w:val="auto"/>
                <w:szCs w:val="21"/>
              </w:rPr>
              <w:t>17</w:t>
            </w:r>
          </w:p>
        </w:tc>
        <w:tc>
          <w:tcPr>
            <w:tcW w:w="1227" w:type="dxa"/>
            <w:tcBorders>
              <w:tl2br w:val="nil"/>
              <w:tr2bl w:val="nil"/>
            </w:tcBorders>
          </w:tcPr>
          <w:p w14:paraId="370DEDDC">
            <w:pPr>
              <w:rPr>
                <w:rFonts w:asciiTheme="minorEastAsia" w:hAnsiTheme="minorEastAsia" w:cstheme="minorEastAsia"/>
                <w:color w:val="auto"/>
                <w:szCs w:val="21"/>
              </w:rPr>
            </w:pPr>
            <w:r>
              <w:rPr>
                <w:rFonts w:hint="eastAsia" w:asciiTheme="minorEastAsia" w:hAnsiTheme="minorEastAsia" w:cstheme="minorEastAsia"/>
                <w:color w:val="auto"/>
                <w:szCs w:val="21"/>
              </w:rPr>
              <w:t>89</w:t>
            </w:r>
          </w:p>
        </w:tc>
        <w:tc>
          <w:tcPr>
            <w:tcW w:w="914" w:type="dxa"/>
            <w:tcBorders>
              <w:tl2br w:val="nil"/>
              <w:tr2bl w:val="nil"/>
            </w:tcBorders>
          </w:tcPr>
          <w:p w14:paraId="69AFDA7A">
            <w:pPr>
              <w:rPr>
                <w:rFonts w:asciiTheme="minorEastAsia" w:hAnsiTheme="minorEastAsia" w:cstheme="minorEastAsia"/>
                <w:color w:val="auto"/>
                <w:szCs w:val="21"/>
              </w:rPr>
            </w:pPr>
            <w:r>
              <w:rPr>
                <w:rFonts w:hint="eastAsia" w:asciiTheme="minorEastAsia" w:hAnsiTheme="minorEastAsia" w:cstheme="minorEastAsia"/>
                <w:color w:val="auto"/>
                <w:szCs w:val="21"/>
              </w:rPr>
              <w:t>3</w:t>
            </w:r>
          </w:p>
        </w:tc>
        <w:tc>
          <w:tcPr>
            <w:tcW w:w="834" w:type="dxa"/>
            <w:tcBorders>
              <w:tl2br w:val="nil"/>
              <w:tr2bl w:val="nil"/>
            </w:tcBorders>
          </w:tcPr>
          <w:p w14:paraId="3974E0C9">
            <w:pPr>
              <w:rPr>
                <w:rFonts w:asciiTheme="minorEastAsia" w:hAnsiTheme="minorEastAsia" w:cstheme="minorEastAsia"/>
                <w:color w:val="auto"/>
                <w:szCs w:val="21"/>
              </w:rPr>
            </w:pPr>
            <w:r>
              <w:rPr>
                <w:rFonts w:hint="eastAsia" w:asciiTheme="minorEastAsia" w:hAnsiTheme="minorEastAsia" w:cstheme="minorEastAsia"/>
                <w:color w:val="auto"/>
                <w:szCs w:val="21"/>
              </w:rPr>
              <w:t>B</w:t>
            </w:r>
          </w:p>
        </w:tc>
      </w:tr>
    </w:tbl>
    <w:p w14:paraId="5EBB4CD3">
      <w:pPr>
        <w:ind w:firstLine="480" w:firstLineChars="200"/>
        <w:rPr>
          <w:rFonts w:cs="Times New Roman" w:asciiTheme="majorEastAsia" w:hAnsiTheme="majorEastAsia" w:eastAsiaTheme="majorEastAsia"/>
          <w:color w:val="auto"/>
          <w:sz w:val="24"/>
          <w:szCs w:val="21"/>
        </w:rPr>
      </w:pPr>
    </w:p>
    <w:p w14:paraId="690FD560">
      <w:pPr>
        <w:ind w:firstLine="480" w:firstLineChars="200"/>
        <w:rPr>
          <w:rFonts w:ascii="Times New Roman" w:hAnsi="Times New Roman" w:eastAsia="宋体" w:cs="Times New Roman"/>
          <w:color w:val="auto"/>
          <w:sz w:val="24"/>
          <w:szCs w:val="21"/>
        </w:rPr>
      </w:pPr>
    </w:p>
    <w:p w14:paraId="2955E3A8">
      <w:pPr>
        <w:keepNext/>
        <w:keepLines/>
        <w:numPr>
          <w:ilvl w:val="2"/>
          <w:numId w:val="37"/>
        </w:numPr>
        <w:ind w:firstLine="200"/>
        <w:contextualSpacing/>
        <w:jc w:val="left"/>
        <w:outlineLvl w:val="2"/>
        <w:rPr>
          <w:rFonts w:ascii="宋体" w:hAnsi="宋体" w:eastAsia="宋体" w:cs="宋体"/>
          <w:color w:val="auto"/>
          <w:sz w:val="28"/>
          <w:szCs w:val="28"/>
        </w:rPr>
      </w:pPr>
      <w:bookmarkStart w:id="199" w:name="_Toc95404042"/>
      <w:bookmarkStart w:id="200" w:name="_Toc83216258"/>
      <w:r>
        <w:rPr>
          <w:rFonts w:hint="eastAsia" w:ascii="宋体" w:hAnsi="宋体" w:eastAsia="宋体" w:cs="宋体"/>
          <w:color w:val="auto"/>
          <w:sz w:val="28"/>
          <w:szCs w:val="28"/>
        </w:rPr>
        <w:t>辅助决策中心</w:t>
      </w:r>
      <w:bookmarkEnd w:id="199"/>
      <w:bookmarkEnd w:id="200"/>
    </w:p>
    <w:p w14:paraId="63B0DDF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为了让城市管理者、企业、个人方便快速地找到自身想要的城市运行信息，为个体决策提供数据支撑。城市管理驾驶舱基于市政公用、市容环卫、园林绿化、城市执法等城市管理行业领域的建设，感知更全面的城市运行态势，目标是让区领导及管理人员方便快速地掌握城市运行信息，为各级领导提供统揽全局的数据支撑。</w:t>
      </w:r>
    </w:p>
    <w:p w14:paraId="0ABAE02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 xml:space="preserve">城市管理驾驶舱作为城市综合管理服务平台项目的一部分，充分利用现有的平台和技术能力，在现有的平台基础之上定制开发驾驶舱应用，并实现与现有平台的集成和数据融合。 </w:t>
      </w:r>
    </w:p>
    <w:p w14:paraId="053E86B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 xml:space="preserve">驾驶舱的建设要综合考虑以下几个核心目标： </w:t>
      </w:r>
    </w:p>
    <w:p w14:paraId="36E5C3E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 xml:space="preserve">一、全区域 </w:t>
      </w:r>
    </w:p>
    <w:p w14:paraId="6749A029">
      <w:pPr>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ab/>
      </w:r>
      <w:r>
        <w:rPr>
          <w:rFonts w:hint="eastAsia" w:cs="宋体" w:asciiTheme="majorEastAsia" w:hAnsiTheme="majorEastAsia" w:eastAsiaTheme="majorEastAsia"/>
          <w:color w:val="auto"/>
          <w:sz w:val="24"/>
          <w:szCs w:val="21"/>
        </w:rPr>
        <w:t xml:space="preserve">管理驾驶舱的使用用户针对市、区、街道办及社区等部门领导，便于领导随时随地掌控全区运行态势，洞悉全区安全隐患，了解区内发生的重大事件，随时随地利用领导驾驶舱进行沟通协调、指挥调度。 </w:t>
      </w:r>
    </w:p>
    <w:p w14:paraId="4D742BC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 xml:space="preserve">二、宏观指标 </w:t>
      </w:r>
    </w:p>
    <w:p w14:paraId="0A11D3E1">
      <w:pPr>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ab/>
      </w:r>
      <w:r>
        <w:rPr>
          <w:rFonts w:hint="eastAsia" w:cs="宋体" w:asciiTheme="majorEastAsia" w:hAnsiTheme="majorEastAsia" w:eastAsiaTheme="majorEastAsia"/>
          <w:color w:val="auto"/>
          <w:sz w:val="24"/>
          <w:szCs w:val="21"/>
        </w:rPr>
        <w:t xml:space="preserve">领导驾驶舱重点呈现领导关注的宏观层面的指标数据。根据现有建设专题的业务指标，通过提取与抽象再设计，派生形成领导关注的指标，整理并形成领导关注的指标体系清单，作为本期指挥驾驶舱的建设内容和范围。系统设计中考虑业务深度交互的支撑能力，满足指标数据关联查询、挖掘查询、钻取查询、业务穿透查询等。指标数据采用丰富的图形化方式直观呈现数值特点，可以通过行政区划体现数据的组织属性，实现宏观指标数据钻取分析微观数据，满足多维度关联查询等。 </w:t>
      </w:r>
    </w:p>
    <w:p w14:paraId="7B24067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 xml:space="preserve">三、随需而变 </w:t>
      </w:r>
    </w:p>
    <w:p w14:paraId="55D2E2F9">
      <w:pPr>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ab/>
      </w:r>
      <w:r>
        <w:rPr>
          <w:rFonts w:hint="eastAsia" w:cs="宋体" w:asciiTheme="majorEastAsia" w:hAnsiTheme="majorEastAsia" w:eastAsiaTheme="majorEastAsia"/>
          <w:color w:val="auto"/>
          <w:sz w:val="24"/>
          <w:szCs w:val="21"/>
        </w:rPr>
        <w:t xml:space="preserve">领导在使用领导驾驶舱的过程中，关注的指标需求会随着城市综合管理数据中心的数据持续积累与专题应用建设的发展而不断改变，因此本领导驾驶舱的指标建设需要根据领导需求的变化，而实时的进行变化。 </w:t>
      </w:r>
    </w:p>
    <w:p w14:paraId="6FDDC65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 xml:space="preserve">四、丰富直观的数值展现 </w:t>
      </w:r>
    </w:p>
    <w:p w14:paraId="0FDE7595">
      <w:pPr>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ab/>
      </w:r>
      <w:r>
        <w:rPr>
          <w:rFonts w:hint="eastAsia" w:cs="宋体" w:asciiTheme="majorEastAsia" w:hAnsiTheme="majorEastAsia" w:eastAsiaTheme="majorEastAsia"/>
          <w:color w:val="auto"/>
          <w:sz w:val="24"/>
          <w:szCs w:val="21"/>
        </w:rPr>
        <w:t xml:space="preserve">领导驾驶舱必须满足指标数据采用丰富的图形方式直观呈现数值特点，可以通过行政区划体现数据的组织属性。通过宏观指标数据可以钻取分析微观指标数据构成。通过指标数据可以进行多个维度的关联查询。 </w:t>
      </w:r>
    </w:p>
    <w:p w14:paraId="28CCA42B">
      <w:pPr>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 xml:space="preserve">具备城市运行管理服务决策支持子系统功能，满足城市安全运行态势的综合分析、历史统计数据的同比环比分析和生产综合运行态势分析报告等业务需求。 </w:t>
      </w:r>
    </w:p>
    <w:p w14:paraId="4BC570FE">
      <w:pPr>
        <w:pStyle w:val="6"/>
        <w:numPr>
          <w:ilvl w:val="3"/>
          <w:numId w:val="61"/>
        </w:numPr>
        <w:spacing w:line="240" w:lineRule="auto"/>
        <w:rPr>
          <w:color w:val="auto"/>
        </w:rPr>
      </w:pPr>
      <w:bookmarkStart w:id="201" w:name="_Toc8623"/>
      <w:bookmarkStart w:id="202" w:name="_Toc1747"/>
      <w:bookmarkStart w:id="203" w:name="_Toc12640"/>
      <w:bookmarkStart w:id="204" w:name="_Toc19550"/>
      <w:bookmarkStart w:id="205" w:name="_Toc30496"/>
      <w:r>
        <w:rPr>
          <w:color w:val="auto"/>
        </w:rPr>
        <w:t>城市体征专题</w:t>
      </w:r>
      <w:bookmarkEnd w:id="201"/>
      <w:bookmarkEnd w:id="202"/>
      <w:bookmarkEnd w:id="203"/>
      <w:bookmarkEnd w:id="204"/>
      <w:bookmarkEnd w:id="205"/>
    </w:p>
    <w:p w14:paraId="4C470A05">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基于城市运行管理“一张图”，整合城市日常市管理相关数据，对城市日常管理状态进行全方位的监控，并进行可视化管理和展示。通过城市体征专题（日常管理），为城市运行提供前瞻分析，方便城市管理者可以一目了然的掌控城市运行的总体运行状态。</w:t>
      </w:r>
    </w:p>
    <w:p w14:paraId="545BEDFF">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城市体征专题包含的专题卡片如下：管理体系、城市运行体征、智能发现告警情况、智能发现全流程管理、市民热线问题情况、紧急突发问题、重点管控区域情况、视频一键轮训等。</w:t>
      </w:r>
    </w:p>
    <w:p w14:paraId="663E31F0">
      <w:pPr>
        <w:pStyle w:val="7"/>
        <w:numPr>
          <w:ilvl w:val="4"/>
          <w:numId w:val="61"/>
        </w:numPr>
        <w:spacing w:line="240" w:lineRule="auto"/>
        <w:rPr>
          <w:color w:val="auto"/>
        </w:rPr>
      </w:pPr>
      <w:r>
        <w:rPr>
          <w:color w:val="auto"/>
        </w:rPr>
        <w:t>管理体系</w:t>
      </w:r>
    </w:p>
    <w:p w14:paraId="311D2958">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直观展示支撑全市城市大脑建设和运行的多级管理体系，支持根据管理重点动态调整更新管理体系相关数据。管理体系专题卡片建设内容主要包括市中心、区分中心、接入的市属部门、街道分中心、村居工作站等多级管理体系。</w:t>
      </w:r>
    </w:p>
    <w:p w14:paraId="0AA7CDD3">
      <w:pPr>
        <w:pStyle w:val="8"/>
        <w:numPr>
          <w:ilvl w:val="5"/>
          <w:numId w:val="61"/>
        </w:numPr>
        <w:spacing w:line="240" w:lineRule="auto"/>
        <w:rPr>
          <w:color w:val="auto"/>
        </w:rPr>
      </w:pPr>
      <w:r>
        <w:rPr>
          <w:color w:val="auto"/>
        </w:rPr>
        <w:t>市中心</w:t>
      </w:r>
    </w:p>
    <w:p w14:paraId="3E5FE575">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展示市级城市大脑主体机构（市级监督指挥中心）核心管理体系，包括中心主任、科室负责人、在岗坐席人员在岗情况、市级监督员数量等。</w:t>
      </w:r>
    </w:p>
    <w:p w14:paraId="2E57C0E6">
      <w:pPr>
        <w:pStyle w:val="8"/>
        <w:numPr>
          <w:ilvl w:val="5"/>
          <w:numId w:val="61"/>
        </w:numPr>
        <w:spacing w:line="240" w:lineRule="auto"/>
        <w:rPr>
          <w:color w:val="auto"/>
        </w:rPr>
      </w:pPr>
      <w:r>
        <w:rPr>
          <w:color w:val="auto"/>
        </w:rPr>
        <w:t>区分中心</w:t>
      </w:r>
    </w:p>
    <w:p w14:paraId="3C04B09D">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展示各区区级监督指挥中心核心管理体系，包括区指挥中心主任、值班长、区级监督员数量、监督员在岗数量、区分中心案件发现数量、区分中心案件处置数量等。</w:t>
      </w:r>
    </w:p>
    <w:p w14:paraId="3525B9B0">
      <w:pPr>
        <w:pStyle w:val="8"/>
        <w:numPr>
          <w:ilvl w:val="5"/>
          <w:numId w:val="61"/>
        </w:numPr>
        <w:spacing w:line="240" w:lineRule="auto"/>
        <w:rPr>
          <w:color w:val="auto"/>
        </w:rPr>
      </w:pPr>
      <w:r>
        <w:rPr>
          <w:color w:val="auto"/>
        </w:rPr>
        <w:t>接入的市属部门</w:t>
      </w:r>
    </w:p>
    <w:p w14:paraId="3F0AF0FF">
      <w:pPr>
        <w:adjustRightInd w:val="0"/>
        <w:snapToGrid w:val="0"/>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展示城市大脑接入的市属管理部门情况，包括接入的市属管理部门数量、接入的市属管理部门名称、市属管理部门当月案件处置数等。</w:t>
      </w:r>
    </w:p>
    <w:p w14:paraId="4E1CB0D5">
      <w:pPr>
        <w:pStyle w:val="8"/>
        <w:numPr>
          <w:ilvl w:val="5"/>
          <w:numId w:val="61"/>
        </w:numPr>
        <w:spacing w:line="240" w:lineRule="auto"/>
        <w:rPr>
          <w:color w:val="auto"/>
        </w:rPr>
      </w:pPr>
      <w:r>
        <w:rPr>
          <w:color w:val="auto"/>
        </w:rPr>
        <w:t>街道分中心</w:t>
      </w:r>
    </w:p>
    <w:p w14:paraId="54FD0C7D">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展示城市大脑接入的街道分中心情况，包括接入的街道分中心数量、街道分中心名称、街道驻派机构数量、街道驻派执法人员数量等。</w:t>
      </w:r>
    </w:p>
    <w:p w14:paraId="3F616753">
      <w:pPr>
        <w:pStyle w:val="8"/>
        <w:numPr>
          <w:ilvl w:val="5"/>
          <w:numId w:val="61"/>
        </w:numPr>
        <w:spacing w:line="240" w:lineRule="auto"/>
        <w:rPr>
          <w:color w:val="auto"/>
        </w:rPr>
      </w:pPr>
      <w:r>
        <w:rPr>
          <w:color w:val="auto"/>
        </w:rPr>
        <w:t>村居工作站</w:t>
      </w:r>
    </w:p>
    <w:p w14:paraId="5D2B6A51">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展示城市大脑接入的村居工作站情况，包括接入的村居工作站数量、村居工作站名称等。</w:t>
      </w:r>
    </w:p>
    <w:p w14:paraId="540B0772">
      <w:pPr>
        <w:pStyle w:val="7"/>
        <w:numPr>
          <w:ilvl w:val="4"/>
          <w:numId w:val="61"/>
        </w:numPr>
        <w:spacing w:line="240" w:lineRule="auto"/>
        <w:rPr>
          <w:color w:val="auto"/>
        </w:rPr>
      </w:pPr>
      <w:r>
        <w:rPr>
          <w:color w:val="auto"/>
        </w:rPr>
        <w:t>城市运行体征</w:t>
      </w:r>
    </w:p>
    <w:p w14:paraId="5D1CA7F2">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城市管理运行基本数据情况，支持根据城市管理重点以及城市日常运行数据的变化情况，动态调整更新城市运行体征相关数据。城市运行体征专题卡片建设内容主要包括城市基础数据、城市家具、案件来源情况、案件处置情况、案件结案情况等。</w:t>
      </w:r>
    </w:p>
    <w:p w14:paraId="23F3ADF9">
      <w:pPr>
        <w:pStyle w:val="8"/>
        <w:numPr>
          <w:ilvl w:val="5"/>
          <w:numId w:val="61"/>
        </w:numPr>
        <w:spacing w:line="240" w:lineRule="auto"/>
        <w:rPr>
          <w:color w:val="auto"/>
        </w:rPr>
      </w:pPr>
      <w:r>
        <w:rPr>
          <w:color w:val="auto"/>
        </w:rPr>
        <w:t>城市基础数据</w:t>
      </w:r>
    </w:p>
    <w:p w14:paraId="3D9EA1F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rPr>
        <w:t>展示城市基础数据情况，包括城市建成区面积情况、城市实有人口数量、城市流动人口数量、城镇化率、城市基本经济数据、城市社区数量、城市重点场所数量等。</w:t>
      </w:r>
    </w:p>
    <w:p w14:paraId="4F6DBC13">
      <w:pPr>
        <w:pStyle w:val="8"/>
        <w:numPr>
          <w:ilvl w:val="5"/>
          <w:numId w:val="61"/>
        </w:numPr>
        <w:spacing w:line="240" w:lineRule="auto"/>
        <w:rPr>
          <w:color w:val="auto"/>
        </w:rPr>
      </w:pPr>
      <w:r>
        <w:rPr>
          <w:color w:val="auto"/>
        </w:rPr>
        <w:t>城市家具（部件）</w:t>
      </w:r>
    </w:p>
    <w:p w14:paraId="477F39A7">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展示城市家具（部件），即城市管理公共区域内的各项市政工程设施与市政公用设施的基本情况，包括城市家具数量、城市家具类型、城市家具完好率、城市家具易损坏类型等，展示数据支持实时动态更新。</w:t>
      </w:r>
    </w:p>
    <w:p w14:paraId="6543C7D0">
      <w:pPr>
        <w:pStyle w:val="8"/>
        <w:numPr>
          <w:ilvl w:val="5"/>
          <w:numId w:val="61"/>
        </w:numPr>
        <w:spacing w:line="240" w:lineRule="auto"/>
        <w:rPr>
          <w:color w:val="auto"/>
        </w:rPr>
      </w:pPr>
      <w:r>
        <w:rPr>
          <w:color w:val="auto"/>
        </w:rPr>
        <w:t>案件来源情况</w:t>
      </w:r>
    </w:p>
    <w:p w14:paraId="1696709C">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展示（默认展示今日）城市管理相关案件来源数量情况，包括市级监督员上报案件数量、区级监督员上报案件数量、物联网告警数量、热线投诉举报案件数量等，展示数据支持实时动态更新。</w:t>
      </w:r>
    </w:p>
    <w:p w14:paraId="10167B46">
      <w:pPr>
        <w:pStyle w:val="8"/>
        <w:numPr>
          <w:ilvl w:val="5"/>
          <w:numId w:val="61"/>
        </w:numPr>
        <w:spacing w:line="240" w:lineRule="auto"/>
        <w:rPr>
          <w:color w:val="auto"/>
        </w:rPr>
      </w:pPr>
      <w:r>
        <w:rPr>
          <w:color w:val="auto"/>
        </w:rPr>
        <w:t>案件处置情况</w:t>
      </w:r>
    </w:p>
    <w:p w14:paraId="791449F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rPr>
        <w:t>展示（默认展示今日）城市管理相关案件的处置情况，包括市属部门正在处置的案件数量、转派区级部门正在处置的案件数量、正在处置的部件数量、正在处置的事件数量等，展示数据支持实时动态更新。</w:t>
      </w:r>
    </w:p>
    <w:p w14:paraId="5E9C929D">
      <w:pPr>
        <w:pStyle w:val="8"/>
        <w:numPr>
          <w:ilvl w:val="5"/>
          <w:numId w:val="61"/>
        </w:numPr>
        <w:spacing w:line="240" w:lineRule="auto"/>
        <w:rPr>
          <w:color w:val="auto"/>
        </w:rPr>
      </w:pPr>
      <w:r>
        <w:rPr>
          <w:color w:val="auto"/>
        </w:rPr>
        <w:t>案件结案情况</w:t>
      </w:r>
    </w:p>
    <w:p w14:paraId="206B609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rPr>
        <w:t>展示（默认展示今日）城市管理相关案件的处置完成情况，包括市结案数量、超期未处置数量等，展示数据支持实时动态更新，展示数据支持实时动态更新。</w:t>
      </w:r>
    </w:p>
    <w:p w14:paraId="635E9DA5">
      <w:pPr>
        <w:pStyle w:val="7"/>
        <w:numPr>
          <w:ilvl w:val="4"/>
          <w:numId w:val="61"/>
        </w:numPr>
        <w:spacing w:line="240" w:lineRule="auto"/>
        <w:rPr>
          <w:color w:val="auto"/>
        </w:rPr>
      </w:pPr>
      <w:r>
        <w:rPr>
          <w:color w:val="auto"/>
        </w:rPr>
        <w:t>智能发现告警情况</w:t>
      </w:r>
    </w:p>
    <w:p w14:paraId="033D6125">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城市管理通过智能化手段智能发现告警情况，支持根据城市管理重点以及城市日常运行数据的变化情况，动态调整更新智能发现告警数据。城市管理智能发现告警专题卡片建设内容主要包括智能发现告警数量、智能发现告警类型等。</w:t>
      </w:r>
    </w:p>
    <w:p w14:paraId="4F9300A5">
      <w:pPr>
        <w:pStyle w:val="8"/>
        <w:numPr>
          <w:ilvl w:val="5"/>
          <w:numId w:val="61"/>
        </w:numPr>
        <w:spacing w:line="240" w:lineRule="auto"/>
        <w:rPr>
          <w:color w:val="auto"/>
        </w:rPr>
      </w:pPr>
      <w:r>
        <w:rPr>
          <w:color w:val="auto"/>
        </w:rPr>
        <w:t>智能发现告警数量</w:t>
      </w:r>
    </w:p>
    <w:p w14:paraId="3A7E60CE">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展示（默认展示今日）城市管理所有接入到城市大脑的智能设备所有的智能告警总数量等，展示数据支持实时动态更新。</w:t>
      </w:r>
    </w:p>
    <w:p w14:paraId="3CBDBE85">
      <w:pPr>
        <w:pStyle w:val="8"/>
        <w:numPr>
          <w:ilvl w:val="5"/>
          <w:numId w:val="61"/>
        </w:numPr>
        <w:spacing w:line="240" w:lineRule="auto"/>
        <w:rPr>
          <w:color w:val="auto"/>
        </w:rPr>
      </w:pPr>
      <w:r>
        <w:rPr>
          <w:color w:val="auto"/>
        </w:rPr>
        <w:t>智能发现告警类型</w:t>
      </w:r>
    </w:p>
    <w:p w14:paraId="5CB430AC">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默认展示今日）城市管理所有接入到城市大脑的智能设备不同的设备类型告警数量，包括市政设施物联网感知告警数量、城市管理视频智能识别告警数量、渣土车违规告警数量、餐饮油烟告警数量等，展示数据支持实时动态更新。</w:t>
      </w:r>
    </w:p>
    <w:p w14:paraId="7CEA57D9">
      <w:pPr>
        <w:pStyle w:val="7"/>
        <w:numPr>
          <w:ilvl w:val="4"/>
          <w:numId w:val="61"/>
        </w:numPr>
        <w:spacing w:line="240" w:lineRule="auto"/>
        <w:rPr>
          <w:color w:val="auto"/>
        </w:rPr>
      </w:pPr>
      <w:r>
        <w:rPr>
          <w:color w:val="auto"/>
        </w:rPr>
        <w:t>全流程闭环管理模式</w:t>
      </w:r>
    </w:p>
    <w:p w14:paraId="4EB22B5A">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展示通过物联网、视频监控等智能发现设备发现城市管理问题后，案件流转主要的核心闭环管理流程，方便中心在接待汇报时，能够直观展示案件流转全过程及创新的闭环管理模式。</w:t>
      </w:r>
    </w:p>
    <w:p w14:paraId="478FA3C7">
      <w:pPr>
        <w:pStyle w:val="8"/>
        <w:numPr>
          <w:ilvl w:val="5"/>
          <w:numId w:val="61"/>
        </w:numPr>
        <w:spacing w:line="240" w:lineRule="auto"/>
        <w:rPr>
          <w:color w:val="auto"/>
        </w:rPr>
      </w:pPr>
      <w:r>
        <w:rPr>
          <w:color w:val="auto"/>
        </w:rPr>
        <w:t>网格化闭环管理流程</w:t>
      </w:r>
    </w:p>
    <w:p w14:paraId="6366E295">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展示常规问题通过网格化管理平台处置的七步闭环管理流程，以近期发生的两个案件为例，展示案件的办理经过，已完成的关键节点用绿色展示，为完成的节点用红色展示。</w:t>
      </w:r>
    </w:p>
    <w:p w14:paraId="398C9080">
      <w:pPr>
        <w:pStyle w:val="8"/>
        <w:numPr>
          <w:ilvl w:val="5"/>
          <w:numId w:val="61"/>
        </w:numPr>
        <w:spacing w:line="240" w:lineRule="auto"/>
        <w:rPr>
          <w:color w:val="auto"/>
        </w:rPr>
      </w:pPr>
      <w:r>
        <w:rPr>
          <w:color w:val="auto"/>
        </w:rPr>
        <w:t>扁平化处置管理流程</w:t>
      </w:r>
    </w:p>
    <w:p w14:paraId="7A5F390C">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展示权责明晰问题通过扁平化处置的管理流程，这类权责明晰的问题上报后，可以不通过监督指挥中心的坐席员派遣，就能通过平台直接立案并派遣到相应的处置部门或者一线处置人员。</w:t>
      </w:r>
    </w:p>
    <w:p w14:paraId="6A25AB1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rPr>
        <w:t>支持展示经过扁平化处置管理流程的案件总数、案件总类别等；并支持以近期发生的两个案件为例，展示案件的办理经过，已完成的关键节点用绿色展示，为完成的节点用红色展示。</w:t>
      </w:r>
    </w:p>
    <w:p w14:paraId="381B5359">
      <w:pPr>
        <w:pStyle w:val="8"/>
        <w:numPr>
          <w:ilvl w:val="5"/>
          <w:numId w:val="61"/>
        </w:numPr>
        <w:spacing w:line="240" w:lineRule="auto"/>
        <w:rPr>
          <w:color w:val="auto"/>
        </w:rPr>
      </w:pPr>
      <w:r>
        <w:rPr>
          <w:color w:val="auto"/>
        </w:rPr>
        <w:t>智能化预警管理流程</w:t>
      </w:r>
    </w:p>
    <w:p w14:paraId="26DA5E5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rPr>
        <w:t>展示视频智能识别问题的案件详细信息（发现时间、问题类型、照片信息）及办理过程，以近期发生的两个案件为例，展示案件的办理经过，已完成的关键节点用绿色展示，为完成的节点用红色展示；</w:t>
      </w:r>
    </w:p>
    <w:p w14:paraId="59EAB40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rPr>
        <w:t>展示城市运行中心接入的各类监测设备发现的预警问题的案件及办理过程，以近期发生的两个案件为例，展示案件的办理经过，已完成的关键节点用绿色展示，为完成的节点用红色展示。</w:t>
      </w:r>
    </w:p>
    <w:p w14:paraId="23E32373">
      <w:pPr>
        <w:pStyle w:val="7"/>
        <w:numPr>
          <w:ilvl w:val="4"/>
          <w:numId w:val="61"/>
        </w:numPr>
        <w:spacing w:line="240" w:lineRule="auto"/>
        <w:rPr>
          <w:color w:val="auto"/>
        </w:rPr>
      </w:pPr>
      <w:r>
        <w:rPr>
          <w:color w:val="auto"/>
        </w:rPr>
        <w:t>市民举报问题情况</w:t>
      </w:r>
    </w:p>
    <w:p w14:paraId="0F38ECDE">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展示市民通过各种方式针对城市管理问题提出的建议和意见情况，以及城市管理部门的相应程度和市民的满意度情况。市民参与城市治理的方式主要包括：热线、微信公众号、e福州APP等。</w:t>
      </w:r>
    </w:p>
    <w:p w14:paraId="597A211C">
      <w:pPr>
        <w:pStyle w:val="8"/>
        <w:numPr>
          <w:ilvl w:val="5"/>
          <w:numId w:val="61"/>
        </w:numPr>
        <w:spacing w:line="240" w:lineRule="auto"/>
        <w:rPr>
          <w:color w:val="auto"/>
        </w:rPr>
      </w:pPr>
      <w:r>
        <w:rPr>
          <w:color w:val="auto"/>
        </w:rPr>
        <w:t>热线举报</w:t>
      </w:r>
    </w:p>
    <w:p w14:paraId="7BF14DB1">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展示市民通过热线方式上报案卷的情况，包括上报总量、已处置量、待处置量以及市民满意比例等内容。</w:t>
      </w:r>
    </w:p>
    <w:p w14:paraId="5B89EA87">
      <w:pPr>
        <w:pStyle w:val="8"/>
        <w:numPr>
          <w:ilvl w:val="5"/>
          <w:numId w:val="61"/>
        </w:numPr>
        <w:spacing w:line="240" w:lineRule="auto"/>
        <w:rPr>
          <w:color w:val="auto"/>
        </w:rPr>
      </w:pPr>
      <w:r>
        <w:rPr>
          <w:color w:val="auto"/>
        </w:rPr>
        <w:t>微信公众号举报</w:t>
      </w:r>
    </w:p>
    <w:p w14:paraId="5DA0AC37">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展示市民通过微信公众号方式上报案卷的情况，包括上报总量、已处置量、待处置量以及市民满意比例等内容。</w:t>
      </w:r>
    </w:p>
    <w:p w14:paraId="0764FD80">
      <w:pPr>
        <w:pStyle w:val="8"/>
        <w:numPr>
          <w:ilvl w:val="5"/>
          <w:numId w:val="61"/>
        </w:numPr>
        <w:spacing w:line="240" w:lineRule="auto"/>
        <w:rPr>
          <w:color w:val="auto"/>
        </w:rPr>
      </w:pPr>
      <w:r>
        <w:rPr>
          <w:rFonts w:hint="eastAsia"/>
          <w:color w:val="auto"/>
        </w:rPr>
        <w:t>e福州APP</w:t>
      </w:r>
      <w:r>
        <w:rPr>
          <w:color w:val="auto"/>
        </w:rPr>
        <w:t>举报</w:t>
      </w:r>
    </w:p>
    <w:p w14:paraId="561038B9">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展示市民通过e福州APP方式上报案卷的情况，包括上报总量、已处置量、待处置量以及市民满意比例等内容。</w:t>
      </w:r>
    </w:p>
    <w:p w14:paraId="21CF0F1C">
      <w:pPr>
        <w:pStyle w:val="8"/>
        <w:numPr>
          <w:ilvl w:val="5"/>
          <w:numId w:val="61"/>
        </w:numPr>
        <w:spacing w:line="240" w:lineRule="auto"/>
        <w:rPr>
          <w:color w:val="auto"/>
        </w:rPr>
      </w:pPr>
      <w:r>
        <w:rPr>
          <w:color w:val="auto"/>
        </w:rPr>
        <w:t>紧急突发问题</w:t>
      </w:r>
    </w:p>
    <w:p w14:paraId="207F4547">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展示城市管理紧急突发问题的实时进展情况，实时了解突发事件的详细信息、地图定位、上报人、处置部门、处置人员、处置进度以及处置前后对比照片等。</w:t>
      </w:r>
    </w:p>
    <w:p w14:paraId="5BFEB65D">
      <w:pPr>
        <w:pStyle w:val="8"/>
        <w:numPr>
          <w:ilvl w:val="5"/>
          <w:numId w:val="61"/>
        </w:numPr>
        <w:spacing w:line="240" w:lineRule="auto"/>
        <w:rPr>
          <w:color w:val="auto"/>
        </w:rPr>
      </w:pPr>
      <w:r>
        <w:rPr>
          <w:color w:val="auto"/>
        </w:rPr>
        <w:t>气象天气情况</w:t>
      </w:r>
    </w:p>
    <w:p w14:paraId="46BDD4F0">
      <w:pPr>
        <w:adjustRightInd w:val="0"/>
        <w:snapToGrid w:val="0"/>
        <w:ind w:firstLine="480" w:firstLineChars="200"/>
        <w:rPr>
          <w:rFonts w:cs="宋体" w:asciiTheme="majorEastAsia" w:hAnsiTheme="majorEastAsia" w:eastAsiaTheme="majorEastAsia"/>
          <w:color w:val="auto"/>
          <w:sz w:val="24"/>
          <w:szCs w:val="22"/>
        </w:rPr>
      </w:pPr>
      <w:r>
        <w:rPr>
          <w:rFonts w:hint="eastAsia" w:cs="宋体" w:asciiTheme="majorEastAsia" w:hAnsiTheme="majorEastAsia" w:eastAsiaTheme="majorEastAsia"/>
          <w:color w:val="auto"/>
          <w:sz w:val="24"/>
          <w:szCs w:val="22"/>
        </w:rPr>
        <w:t>展示今日气象数据，如天气状况、温度（最高温度、最低温度）、风向、风速、空气质量等。</w:t>
      </w:r>
    </w:p>
    <w:p w14:paraId="4F518565">
      <w:pPr>
        <w:pStyle w:val="8"/>
        <w:numPr>
          <w:ilvl w:val="5"/>
          <w:numId w:val="61"/>
        </w:numPr>
        <w:spacing w:line="240" w:lineRule="auto"/>
        <w:rPr>
          <w:color w:val="auto"/>
        </w:rPr>
      </w:pPr>
      <w:r>
        <w:rPr>
          <w:color w:val="auto"/>
        </w:rPr>
        <w:t>国家授时中心标准时间</w:t>
      </w:r>
    </w:p>
    <w:p w14:paraId="148121E7">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对接国家授时中心的标准时间，实时显示北京时间（时、分、秒）以及星期和日历（农历、节日）等。</w:t>
      </w:r>
    </w:p>
    <w:p w14:paraId="342A29E6">
      <w:pPr>
        <w:pStyle w:val="6"/>
        <w:numPr>
          <w:ilvl w:val="3"/>
          <w:numId w:val="61"/>
        </w:numPr>
        <w:spacing w:line="240" w:lineRule="auto"/>
        <w:rPr>
          <w:color w:val="auto"/>
        </w:rPr>
      </w:pPr>
      <w:bookmarkStart w:id="206" w:name="_Toc28434"/>
      <w:bookmarkStart w:id="207" w:name="_Toc5817"/>
      <w:bookmarkStart w:id="208" w:name="_Toc12206"/>
      <w:bookmarkStart w:id="209" w:name="_Toc23885"/>
      <w:bookmarkStart w:id="210" w:name="_Toc22626"/>
      <w:r>
        <w:rPr>
          <w:rFonts w:hint="eastAsia"/>
          <w:color w:val="auto"/>
        </w:rPr>
        <w:t>基本要素地图</w:t>
      </w:r>
      <w:bookmarkEnd w:id="206"/>
      <w:bookmarkEnd w:id="207"/>
      <w:bookmarkEnd w:id="208"/>
      <w:bookmarkEnd w:id="209"/>
      <w:bookmarkEnd w:id="210"/>
    </w:p>
    <w:p w14:paraId="279E85B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rPr>
        <w:t>利用二三维地图模拟仿真技术，充分优化三维模型组织格式、调度以及三维绘制性能，集成矢量地图，实现跨平台二三维地图仿真展示。以数据服务的形式为城市运行中心提供地图服务，并与城运中心专题数据联动，实现三维仿真效果。</w:t>
      </w:r>
    </w:p>
    <w:p w14:paraId="41839744">
      <w:pPr>
        <w:pStyle w:val="7"/>
        <w:numPr>
          <w:ilvl w:val="4"/>
          <w:numId w:val="61"/>
        </w:numPr>
        <w:spacing w:line="240" w:lineRule="auto"/>
        <w:rPr>
          <w:color w:val="auto"/>
        </w:rPr>
      </w:pPr>
      <w:r>
        <w:rPr>
          <w:color w:val="auto"/>
        </w:rPr>
        <w:t>二维地图</w:t>
      </w:r>
    </w:p>
    <w:p w14:paraId="1F79DE1A">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支持以二维地图的形式，联动展示案件发生位置、人员车辆轨迹等。</w:t>
      </w:r>
    </w:p>
    <w:p w14:paraId="30974B96">
      <w:pPr>
        <w:pStyle w:val="7"/>
        <w:numPr>
          <w:ilvl w:val="4"/>
          <w:numId w:val="61"/>
        </w:numPr>
        <w:spacing w:line="240" w:lineRule="auto"/>
        <w:rPr>
          <w:color w:val="auto"/>
        </w:rPr>
      </w:pPr>
      <w:r>
        <w:rPr>
          <w:color w:val="auto"/>
        </w:rPr>
        <w:t>三维地图</w:t>
      </w:r>
    </w:p>
    <w:p w14:paraId="05C8E151">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支持以三维地图的形式（灰模三维地图），联动展示案件发生位置、人员车辆轨迹等。</w:t>
      </w:r>
    </w:p>
    <w:p w14:paraId="41405DD4">
      <w:pPr>
        <w:pStyle w:val="7"/>
        <w:numPr>
          <w:ilvl w:val="4"/>
          <w:numId w:val="61"/>
        </w:numPr>
        <w:spacing w:line="240" w:lineRule="auto"/>
        <w:rPr>
          <w:color w:val="auto"/>
        </w:rPr>
      </w:pPr>
      <w:r>
        <w:rPr>
          <w:color w:val="auto"/>
        </w:rPr>
        <w:t>二三维切换</w:t>
      </w:r>
    </w:p>
    <w:p w14:paraId="404AAC08">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支持根据管理和数据展示需要，在二三维地图之间切换。</w:t>
      </w:r>
    </w:p>
    <w:p w14:paraId="23AA9CE5">
      <w:pPr>
        <w:pStyle w:val="7"/>
        <w:numPr>
          <w:ilvl w:val="4"/>
          <w:numId w:val="61"/>
        </w:numPr>
        <w:spacing w:line="240" w:lineRule="auto"/>
        <w:rPr>
          <w:color w:val="auto"/>
        </w:rPr>
      </w:pPr>
      <w:r>
        <w:rPr>
          <w:color w:val="auto"/>
        </w:rPr>
        <w:t>网格一张图</w:t>
      </w:r>
    </w:p>
    <w:p w14:paraId="223C5AC1">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支持以二维或三维地图的形式展示城市各级管理网格，包括市级网格、区级网格、街镇级网格、村社级网格、万米单元网格以及各级责任网格等。</w:t>
      </w:r>
    </w:p>
    <w:p w14:paraId="6B61C678">
      <w:pPr>
        <w:pStyle w:val="7"/>
        <w:numPr>
          <w:ilvl w:val="4"/>
          <w:numId w:val="61"/>
        </w:numPr>
        <w:spacing w:line="240" w:lineRule="auto"/>
        <w:rPr>
          <w:color w:val="auto"/>
        </w:rPr>
      </w:pPr>
      <w:r>
        <w:rPr>
          <w:color w:val="auto"/>
        </w:rPr>
        <w:t>部件一张图</w:t>
      </w:r>
    </w:p>
    <w:p w14:paraId="174AB0CC">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支持以二维或三维地图的形式展示城市管理部件图层，包括市容环境设施类、园林绿化设施类、公用设施类等部件的位置信息，支持以不同颜色展示部件状态信息。</w:t>
      </w:r>
    </w:p>
    <w:p w14:paraId="2B7F079D">
      <w:pPr>
        <w:pStyle w:val="7"/>
        <w:numPr>
          <w:ilvl w:val="4"/>
          <w:numId w:val="61"/>
        </w:numPr>
        <w:spacing w:line="240" w:lineRule="auto"/>
        <w:rPr>
          <w:color w:val="auto"/>
        </w:rPr>
      </w:pPr>
      <w:r>
        <w:rPr>
          <w:color w:val="auto"/>
        </w:rPr>
        <w:t>环卫一张图</w:t>
      </w:r>
    </w:p>
    <w:p w14:paraId="33099175">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支持以二维或三维地图的形式展示城市管理市容环卫图层，包括环卫车辆（洒水车、机扫车、垃圾收运车、吸污车等）位置信息、环卫设施（垃圾箱、垃圾站、厕所、填埋场等）位置信息、环卫人员位置信息等。</w:t>
      </w:r>
    </w:p>
    <w:p w14:paraId="288D51E5">
      <w:pPr>
        <w:pStyle w:val="7"/>
        <w:numPr>
          <w:ilvl w:val="4"/>
          <w:numId w:val="61"/>
        </w:numPr>
        <w:spacing w:line="240" w:lineRule="auto"/>
        <w:rPr>
          <w:color w:val="auto"/>
        </w:rPr>
      </w:pPr>
      <w:r>
        <w:rPr>
          <w:color w:val="auto"/>
        </w:rPr>
        <w:t>渣土一张图</w:t>
      </w:r>
    </w:p>
    <w:p w14:paraId="60043991">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支持以二维或三维地图的形式展示城市渣土监管图层，包括渣土车辆位置信息、商砼车位置信息、工地位置信息、消纳场位置信息等。</w:t>
      </w:r>
    </w:p>
    <w:p w14:paraId="4CFC2C23">
      <w:pPr>
        <w:pStyle w:val="7"/>
        <w:numPr>
          <w:ilvl w:val="4"/>
          <w:numId w:val="61"/>
        </w:numPr>
        <w:spacing w:line="240" w:lineRule="auto"/>
        <w:rPr>
          <w:color w:val="auto"/>
        </w:rPr>
      </w:pPr>
      <w:r>
        <w:rPr>
          <w:color w:val="auto"/>
        </w:rPr>
        <w:t>道桥一张图</w:t>
      </w:r>
    </w:p>
    <w:p w14:paraId="2C444BD7">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支持以二维或三维地图的形式展示城市道路、桥梁信息，包括道路桥梁名称、路段名称、路段位置、桥梁位置等，支持以不同颜色展示道桥健康状况信息。</w:t>
      </w:r>
    </w:p>
    <w:p w14:paraId="64EFD690">
      <w:pPr>
        <w:pStyle w:val="7"/>
        <w:numPr>
          <w:ilvl w:val="4"/>
          <w:numId w:val="61"/>
        </w:numPr>
        <w:spacing w:line="240" w:lineRule="auto"/>
        <w:rPr>
          <w:color w:val="auto"/>
        </w:rPr>
      </w:pPr>
      <w:r>
        <w:rPr>
          <w:color w:val="auto"/>
        </w:rPr>
        <w:t>路灯一张图</w:t>
      </w:r>
    </w:p>
    <w:p w14:paraId="56920674">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支持以二维或三维地图的形式展示城市路灯信息，包括路灯位置等，支持以不同颜色展示路灯状况信息。</w:t>
      </w:r>
    </w:p>
    <w:p w14:paraId="0E753CE4">
      <w:pPr>
        <w:pStyle w:val="7"/>
        <w:numPr>
          <w:ilvl w:val="4"/>
          <w:numId w:val="61"/>
        </w:numPr>
        <w:spacing w:line="240" w:lineRule="auto"/>
        <w:rPr>
          <w:color w:val="auto"/>
        </w:rPr>
      </w:pPr>
      <w:r>
        <w:rPr>
          <w:color w:val="auto"/>
        </w:rPr>
        <w:t>井盖一张图</w:t>
      </w:r>
    </w:p>
    <w:p w14:paraId="53453E1E">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支持以二维或三维地图的形式展示城市不同种类井盖信息，包括井盖位置、井盖种类等，支持以不同颜色展示井盖状况信息。</w:t>
      </w:r>
    </w:p>
    <w:p w14:paraId="10450A10">
      <w:pPr>
        <w:pStyle w:val="7"/>
        <w:numPr>
          <w:ilvl w:val="4"/>
          <w:numId w:val="61"/>
        </w:numPr>
        <w:spacing w:line="240" w:lineRule="auto"/>
        <w:rPr>
          <w:color w:val="auto"/>
        </w:rPr>
      </w:pPr>
      <w:r>
        <w:rPr>
          <w:color w:val="auto"/>
        </w:rPr>
        <w:t>人员一张图</w:t>
      </w:r>
    </w:p>
    <w:p w14:paraId="09975FB8">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支持以二维或三维地图的形式展示城市管理监督员位置信息，包括监督员位置、监督员轨迹等。</w:t>
      </w:r>
    </w:p>
    <w:p w14:paraId="246DCF67">
      <w:pPr>
        <w:pStyle w:val="7"/>
        <w:numPr>
          <w:ilvl w:val="4"/>
          <w:numId w:val="61"/>
        </w:numPr>
        <w:spacing w:line="240" w:lineRule="auto"/>
        <w:rPr>
          <w:color w:val="auto"/>
        </w:rPr>
      </w:pPr>
      <w:r>
        <w:rPr>
          <w:color w:val="auto"/>
        </w:rPr>
        <w:t>案件一张图</w:t>
      </w:r>
    </w:p>
    <w:p w14:paraId="09146AFC">
      <w:pPr>
        <w:adjustRightInd w:val="0"/>
        <w:snapToGrid w:val="0"/>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2"/>
        </w:rPr>
        <w:t>支持以二维或三维地图的形式展示城市管理案件位置信息，支持以多种方式展示不同比例尺下的地图案件。</w:t>
      </w:r>
    </w:p>
    <w:p w14:paraId="124A21BA">
      <w:pPr>
        <w:pStyle w:val="6"/>
        <w:numPr>
          <w:ilvl w:val="3"/>
          <w:numId w:val="61"/>
        </w:numPr>
        <w:spacing w:line="240" w:lineRule="auto"/>
        <w:rPr>
          <w:color w:val="auto"/>
        </w:rPr>
      </w:pPr>
      <w:bookmarkStart w:id="211" w:name="_Toc25477"/>
      <w:bookmarkStart w:id="212" w:name="_Toc28381"/>
      <w:bookmarkStart w:id="213" w:name="_Toc5160"/>
      <w:bookmarkStart w:id="214" w:name="_Toc21117"/>
      <w:bookmarkStart w:id="215" w:name="_Toc12238"/>
      <w:bookmarkStart w:id="216" w:name="_Toc27975"/>
      <w:r>
        <w:rPr>
          <w:rFonts w:hint="eastAsia"/>
          <w:color w:val="auto"/>
        </w:rPr>
        <w:t>市政公用</w:t>
      </w:r>
      <w:bookmarkEnd w:id="211"/>
      <w:r>
        <w:rPr>
          <w:rFonts w:hint="eastAsia"/>
          <w:color w:val="auto"/>
        </w:rPr>
        <w:t>专题</w:t>
      </w:r>
      <w:bookmarkEnd w:id="212"/>
      <w:bookmarkEnd w:id="213"/>
      <w:bookmarkEnd w:id="214"/>
      <w:bookmarkEnd w:id="215"/>
      <w:bookmarkEnd w:id="216"/>
    </w:p>
    <w:p w14:paraId="27A60FC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系统依托与时空信息公共服务等平台的对接，实现城市管网、消防设施、供水及道路交通等基础设施的运行监测管理功能，提供统一的城市综合运行状态视图。</w:t>
      </w:r>
    </w:p>
    <w:p w14:paraId="17A53D1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平台实现物联网数据接入，实现能源供应（电力、天然气）、供水排水（自来水厂、供水管网、排水、污水处理等）、交通运输（道路、桥梁、隧道、路灯等）基础设施的位置显示、实时状态查看及圈选查询。全面感知和监测基础设施状态，为基础设施安全管理、养护管理、预防性维护提供支持，提升城市基础设施服务能力。</w:t>
      </w:r>
    </w:p>
    <w:p w14:paraId="2A44E4D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城市基础设施数据种类多，数量大，分散存储在各部门和各下属单位中，基础设施资源数据散落在各处，无法共享，很难发挥信息资源的作用。通过统一数据对接支撑服务，基于时空信息公共服务</w:t>
      </w:r>
      <w:r>
        <w:rPr>
          <w:rFonts w:cs="宋体" w:asciiTheme="majorEastAsia" w:hAnsiTheme="majorEastAsia" w:eastAsiaTheme="majorEastAsia"/>
          <w:color w:val="auto"/>
          <w:sz w:val="24"/>
          <w:szCs w:val="21"/>
        </w:rPr>
        <w:t>GIS</w:t>
      </w:r>
      <w:r>
        <w:rPr>
          <w:rFonts w:hint="eastAsia" w:cs="宋体" w:asciiTheme="majorEastAsia" w:hAnsiTheme="majorEastAsia" w:eastAsiaTheme="majorEastAsia"/>
          <w:color w:val="auto"/>
          <w:sz w:val="24"/>
          <w:szCs w:val="21"/>
        </w:rPr>
        <w:t>平台，整合汇总各类城市基础设施资源，包括道路及相关设施、桥梁、路灯、水系、排水设施等，建设城市资源数据库，实现对城市基础设施资源的查询、统计、分析等功能，为政府进行城市基础设施资源的综合管理提供了有效手段，使城市管理者能够对城市的安全生产、综合业务、监督巡查等工作进行全方位的监管。</w:t>
      </w:r>
    </w:p>
    <w:p w14:paraId="3AFCE9E0">
      <w:pPr>
        <w:pStyle w:val="7"/>
        <w:numPr>
          <w:ilvl w:val="4"/>
          <w:numId w:val="61"/>
        </w:numPr>
        <w:spacing w:line="240" w:lineRule="auto"/>
        <w:rPr>
          <w:color w:val="auto"/>
        </w:rPr>
      </w:pPr>
      <w:r>
        <w:rPr>
          <w:rFonts w:hint="eastAsia"/>
          <w:color w:val="auto"/>
        </w:rPr>
        <w:t>市政地图</w:t>
      </w:r>
    </w:p>
    <w:p w14:paraId="253656C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集中在地图上展示市政各专题图层，包括道路、桥梁、隧道、排水、井盖、积水点、视频、车辆、人员等专题。</w:t>
      </w:r>
    </w:p>
    <w:p w14:paraId="10CA7DC0">
      <w:pPr>
        <w:pStyle w:val="7"/>
        <w:numPr>
          <w:ilvl w:val="4"/>
          <w:numId w:val="61"/>
        </w:numPr>
        <w:spacing w:line="240" w:lineRule="auto"/>
        <w:rPr>
          <w:color w:val="auto"/>
        </w:rPr>
      </w:pPr>
      <w:r>
        <w:rPr>
          <w:rFonts w:hint="eastAsia"/>
          <w:color w:val="auto"/>
        </w:rPr>
        <w:t>运行指标</w:t>
      </w:r>
    </w:p>
    <w:p w14:paraId="59816A9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综合展示各市政设施的运行情况，包括路灯亮灯率、在修道路数量、道路养护里程数、施工问题数、在建工程数、隐患点等。</w:t>
      </w:r>
    </w:p>
    <w:p w14:paraId="45A59BBA">
      <w:pPr>
        <w:pStyle w:val="7"/>
        <w:numPr>
          <w:ilvl w:val="4"/>
          <w:numId w:val="61"/>
        </w:numPr>
        <w:spacing w:line="240" w:lineRule="auto"/>
        <w:rPr>
          <w:color w:val="auto"/>
        </w:rPr>
      </w:pPr>
      <w:r>
        <w:rPr>
          <w:rFonts w:hint="eastAsia"/>
          <w:color w:val="auto"/>
        </w:rPr>
        <w:t>物联设备</w:t>
      </w:r>
    </w:p>
    <w:p w14:paraId="32E8AEB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综合展示市政物联设备总体概况，包括物联设备总数和告警数。</w:t>
      </w:r>
    </w:p>
    <w:p w14:paraId="476806A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排水：展示排水液位监测仪数量</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存在问题设备数，水质检测仪数量</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存在问题设备数；</w:t>
      </w:r>
    </w:p>
    <w:p w14:paraId="75CB7CC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井盖：展示井盖集控器数量</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存在问题设备数，井盖监测器数量</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存在问题设备数；</w:t>
      </w:r>
    </w:p>
    <w:p w14:paraId="57B15AA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道桥：展示位移监测仪数量</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存在问题设备数，振幅监测仪数量</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存在问题设备数，湿度计数量</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存在问题设备数；</w:t>
      </w:r>
    </w:p>
    <w:p w14:paraId="625FA6B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隧道：展示沉降监测仪数量</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存在问题设备数，结构应力监测仪数量</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存在问题设备数。</w:t>
      </w:r>
    </w:p>
    <w:p w14:paraId="1073CBBC">
      <w:pPr>
        <w:pStyle w:val="7"/>
        <w:numPr>
          <w:ilvl w:val="4"/>
          <w:numId w:val="61"/>
        </w:numPr>
        <w:spacing w:line="240" w:lineRule="auto"/>
        <w:rPr>
          <w:color w:val="auto"/>
        </w:rPr>
      </w:pPr>
      <w:r>
        <w:rPr>
          <w:rFonts w:hint="eastAsia"/>
          <w:color w:val="auto"/>
        </w:rPr>
        <w:t>市政概况</w:t>
      </w:r>
    </w:p>
    <w:p w14:paraId="5868C4D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该模块展示市政设施的总体情况,主要包括以下内容:</w:t>
      </w:r>
    </w:p>
    <w:p w14:paraId="46C741B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道路：条数、总长度；</w:t>
      </w:r>
    </w:p>
    <w:p w14:paraId="4CE4A1C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排水沟渠：管道长度、管渠长度；</w:t>
      </w:r>
    </w:p>
    <w:p w14:paraId="50DB0E2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桥梁：总数量（高架桥、特大桥、大桥、中小桥数量）；</w:t>
      </w:r>
    </w:p>
    <w:p w14:paraId="22BE0D5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隧道：隧道、地下通道等数量。</w:t>
      </w:r>
    </w:p>
    <w:p w14:paraId="34729413">
      <w:pPr>
        <w:pStyle w:val="7"/>
        <w:numPr>
          <w:ilvl w:val="4"/>
          <w:numId w:val="61"/>
        </w:numPr>
        <w:spacing w:line="240" w:lineRule="auto"/>
        <w:rPr>
          <w:color w:val="auto"/>
        </w:rPr>
      </w:pPr>
      <w:r>
        <w:rPr>
          <w:rFonts w:hint="eastAsia"/>
          <w:color w:val="auto"/>
        </w:rPr>
        <w:t>物联网监测</w:t>
      </w:r>
    </w:p>
    <w:p w14:paraId="2C2D2A3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以列表形式展示各物联设备（自来水监测点、路灯、井盖监测点、排水监测点）监测值，包括实时监测值、设备正常值范围、最新更新时间等。不同类型设备和不同监测点均可快速切换，支持关联地图查看各物联设备详细信息。</w:t>
      </w:r>
    </w:p>
    <w:p w14:paraId="6D31FA6C">
      <w:pPr>
        <w:pStyle w:val="7"/>
        <w:numPr>
          <w:ilvl w:val="4"/>
          <w:numId w:val="61"/>
        </w:numPr>
        <w:spacing w:line="240" w:lineRule="auto"/>
        <w:rPr>
          <w:color w:val="auto"/>
        </w:rPr>
      </w:pPr>
      <w:r>
        <w:rPr>
          <w:rFonts w:hint="eastAsia"/>
          <w:color w:val="auto"/>
        </w:rPr>
        <w:t>最新通告</w:t>
      </w:r>
    </w:p>
    <w:p w14:paraId="11F6D06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以列表形式展示各市政物联设备最新告警情况，通告内容包括位置信息、设备编号、告警信息、推送情况等。</w:t>
      </w:r>
    </w:p>
    <w:p w14:paraId="6F834959">
      <w:pPr>
        <w:pStyle w:val="7"/>
        <w:numPr>
          <w:ilvl w:val="4"/>
          <w:numId w:val="61"/>
        </w:numPr>
        <w:spacing w:line="240" w:lineRule="auto"/>
        <w:rPr>
          <w:color w:val="auto"/>
        </w:rPr>
      </w:pPr>
      <w:r>
        <w:rPr>
          <w:rFonts w:hint="eastAsia"/>
          <w:color w:val="auto"/>
        </w:rPr>
        <w:t>养护统计</w:t>
      </w:r>
    </w:p>
    <w:p w14:paraId="1B1A070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统计各类市政设施（道路、桥梁、隧道、排水）的养护情况，以柱状图展示各类市政设施的养护统计数。</w:t>
      </w:r>
    </w:p>
    <w:p w14:paraId="2E5C6744">
      <w:pPr>
        <w:pStyle w:val="7"/>
        <w:numPr>
          <w:ilvl w:val="4"/>
          <w:numId w:val="61"/>
        </w:numPr>
        <w:spacing w:line="240" w:lineRule="auto"/>
        <w:rPr>
          <w:color w:val="auto"/>
        </w:rPr>
      </w:pPr>
      <w:r>
        <w:rPr>
          <w:rFonts w:hint="eastAsia"/>
          <w:color w:val="auto"/>
        </w:rPr>
        <w:t>高发问题</w:t>
      </w:r>
    </w:p>
    <w:p w14:paraId="4D23B2DE">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展示市政问题发生的空间、类型的规律分析结果，主要包括以下内容：</w:t>
      </w:r>
    </w:p>
    <w:p w14:paraId="462F708E">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高发类型分析：展示当天上报市政类案件的类别高发统计结果；</w:t>
      </w:r>
    </w:p>
    <w:p w14:paraId="213589EC">
      <w:pPr>
        <w:ind w:firstLine="480" w:firstLineChars="200"/>
        <w:rPr>
          <w:rFonts w:cs="宋体" w:asciiTheme="majorEastAsia" w:hAnsiTheme="majorEastAsia" w:eastAsiaTheme="majorEastAsia"/>
          <w:color w:val="auto"/>
          <w:sz w:val="24"/>
        </w:rPr>
      </w:pPr>
      <w:r>
        <w:rPr>
          <w:rFonts w:hint="eastAsia" w:cs="宋体" w:asciiTheme="majorEastAsia" w:hAnsiTheme="majorEastAsia" w:eastAsiaTheme="majorEastAsia"/>
          <w:color w:val="auto"/>
          <w:sz w:val="24"/>
        </w:rPr>
        <w:t>高发道路分析：展示当天上报案件的道路高发统计结果。</w:t>
      </w:r>
    </w:p>
    <w:p w14:paraId="75C5ADCB">
      <w:pPr>
        <w:pStyle w:val="7"/>
        <w:numPr>
          <w:ilvl w:val="4"/>
          <w:numId w:val="61"/>
        </w:numPr>
        <w:spacing w:line="240" w:lineRule="auto"/>
        <w:rPr>
          <w:color w:val="auto"/>
        </w:rPr>
      </w:pPr>
      <w:r>
        <w:rPr>
          <w:rFonts w:hint="eastAsia"/>
          <w:color w:val="auto"/>
        </w:rPr>
        <w:t>设施概况</w:t>
      </w:r>
    </w:p>
    <w:p w14:paraId="5CD4B98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描述清楚有哪些设施，各类设施数量有多少？这些数据通过设施图层获取或者从其他系统对接而来。</w:t>
      </w:r>
    </w:p>
    <w:p w14:paraId="351B39D7">
      <w:pPr>
        <w:pStyle w:val="7"/>
        <w:numPr>
          <w:ilvl w:val="4"/>
          <w:numId w:val="61"/>
        </w:numPr>
        <w:spacing w:line="240" w:lineRule="auto"/>
        <w:rPr>
          <w:color w:val="auto"/>
        </w:rPr>
      </w:pPr>
      <w:r>
        <w:rPr>
          <w:rFonts w:hint="eastAsia"/>
          <w:color w:val="auto"/>
        </w:rPr>
        <w:t>物联网设备一张图</w:t>
      </w:r>
    </w:p>
    <w:p w14:paraId="73D1ED1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列举各类物联网监测设备的总数量，同时将在线的设备都列出来。地图上能显示各类设备分布情况，点击查看详细信息和监测信息。</w:t>
      </w:r>
    </w:p>
    <w:p w14:paraId="033AAF52">
      <w:pPr>
        <w:pStyle w:val="7"/>
        <w:numPr>
          <w:ilvl w:val="4"/>
          <w:numId w:val="61"/>
        </w:numPr>
        <w:spacing w:line="240" w:lineRule="auto"/>
        <w:rPr>
          <w:color w:val="auto"/>
        </w:rPr>
      </w:pPr>
      <w:r>
        <w:rPr>
          <w:rFonts w:hint="eastAsia"/>
          <w:color w:val="auto"/>
        </w:rPr>
        <w:t>实时监测</w:t>
      </w:r>
    </w:p>
    <w:p w14:paraId="353EDA8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以列表形式显示数值类型监测值，对于各监测点有比较宏观的认识。对于报警的设备，有限排前前面。不同类型设备和不同监测点均可快速切换，双击在地图上定位，查看详细信息。</w:t>
      </w:r>
    </w:p>
    <w:p w14:paraId="1F7D8A2B">
      <w:pPr>
        <w:pStyle w:val="7"/>
        <w:numPr>
          <w:ilvl w:val="4"/>
          <w:numId w:val="61"/>
        </w:numPr>
        <w:spacing w:line="240" w:lineRule="auto"/>
        <w:rPr>
          <w:color w:val="auto"/>
        </w:rPr>
      </w:pPr>
      <w:r>
        <w:rPr>
          <w:rFonts w:hint="eastAsia"/>
          <w:color w:val="auto"/>
        </w:rPr>
        <w:t>报警信息</w:t>
      </w:r>
    </w:p>
    <w:p w14:paraId="6714F82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对于发生掉线、没电等报警情况的设备，及时将报警信息推送出来，在页面中显示报警设备</w:t>
      </w:r>
      <w:r>
        <w:rPr>
          <w:rFonts w:cs="宋体" w:asciiTheme="majorEastAsia" w:hAnsiTheme="majorEastAsia" w:eastAsiaTheme="majorEastAsia"/>
          <w:color w:val="auto"/>
          <w:sz w:val="24"/>
          <w:szCs w:val="21"/>
        </w:rPr>
        <w:t>ID</w:t>
      </w:r>
      <w:r>
        <w:rPr>
          <w:rFonts w:hint="eastAsia" w:cs="宋体" w:asciiTheme="majorEastAsia" w:hAnsiTheme="majorEastAsia" w:eastAsiaTheme="majorEastAsia"/>
          <w:color w:val="auto"/>
          <w:sz w:val="24"/>
          <w:szCs w:val="21"/>
        </w:rPr>
        <w:t>、名称、地址、报警类型、详情等信息，可以对报警信息进行处理，以决定是否生成案件进行处置派单。</w:t>
      </w:r>
    </w:p>
    <w:p w14:paraId="26CA7143">
      <w:pPr>
        <w:pStyle w:val="7"/>
        <w:numPr>
          <w:ilvl w:val="4"/>
          <w:numId w:val="61"/>
        </w:numPr>
        <w:spacing w:line="240" w:lineRule="auto"/>
        <w:rPr>
          <w:color w:val="auto"/>
        </w:rPr>
      </w:pPr>
      <w:r>
        <w:rPr>
          <w:rFonts w:hint="eastAsia"/>
          <w:color w:val="auto"/>
        </w:rPr>
        <w:t>设施运行情况</w:t>
      </w:r>
    </w:p>
    <w:p w14:paraId="38A5B9F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从问题总量、问题完成量、按时完成率三个方面来衡量各类设施健康运行情况，对于反馈的问题，通过问题来源进行区分。以柱状图和折线图结合方式来表现，动态变化，能更好的展示效果。</w:t>
      </w:r>
    </w:p>
    <w:p w14:paraId="14FC737D">
      <w:pPr>
        <w:pStyle w:val="6"/>
        <w:numPr>
          <w:ilvl w:val="3"/>
          <w:numId w:val="61"/>
        </w:numPr>
        <w:spacing w:line="240" w:lineRule="auto"/>
        <w:rPr>
          <w:color w:val="auto"/>
        </w:rPr>
      </w:pPr>
      <w:r>
        <w:rPr>
          <w:rFonts w:hint="eastAsia"/>
          <w:color w:val="auto"/>
        </w:rPr>
        <w:t>市容环卫专题</w:t>
      </w:r>
    </w:p>
    <w:p w14:paraId="2FD6AD1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城市园林绿化一张图监管系统在全面准确摸清城市园林绿化家底的基础上，开展深入的数据挖掘与分析应用。科学测算绿化覆盖率、绿地率。公园服务半径覆盖率等核心指标，提升城市绿地规划建设的合理性，实时监控当前各种问题的处置进度和状态，为用户提供实时的环卫管理运行状态，方便用户及时进行指挥调度和紧急事件处理。实现城市园林绿化服务质量和服务能力的优化与提升。</w:t>
      </w:r>
    </w:p>
    <w:p w14:paraId="55C8E050">
      <w:pPr>
        <w:pStyle w:val="7"/>
        <w:numPr>
          <w:ilvl w:val="4"/>
          <w:numId w:val="61"/>
        </w:numPr>
        <w:spacing w:line="240" w:lineRule="auto"/>
        <w:rPr>
          <w:color w:val="auto"/>
        </w:rPr>
      </w:pPr>
      <w:r>
        <w:rPr>
          <w:rFonts w:hint="eastAsia"/>
          <w:color w:val="auto"/>
        </w:rPr>
        <w:t>地图定位</w:t>
      </w:r>
    </w:p>
    <w:p w14:paraId="062AB03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点击设施概览中每类设施的统计数字，系统自动切换到地图，并且显示当前设施在地图上的具体位置信息和分布情况。</w:t>
      </w:r>
    </w:p>
    <w:p w14:paraId="3E3C84F3">
      <w:pPr>
        <w:pStyle w:val="7"/>
        <w:numPr>
          <w:ilvl w:val="4"/>
          <w:numId w:val="61"/>
        </w:numPr>
        <w:spacing w:line="240" w:lineRule="auto"/>
        <w:rPr>
          <w:color w:val="auto"/>
        </w:rPr>
      </w:pPr>
      <w:r>
        <w:rPr>
          <w:rFonts w:hint="eastAsia"/>
          <w:color w:val="auto"/>
        </w:rPr>
        <w:t>设施概览</w:t>
      </w:r>
    </w:p>
    <w:p w14:paraId="667B90E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对环卫的基础设施等数据进行实时展示，包括中转站数量、公厕数量、当前在线的摄像头数量、消纳场数量、当前在线渣土车和洒水车数量、当前在岗的环卫工人数量等。</w:t>
      </w:r>
    </w:p>
    <w:p w14:paraId="5AAD174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通过配置表获取可显示环卫设施项，默认显示</w:t>
      </w:r>
      <w:r>
        <w:rPr>
          <w:rFonts w:cs="宋体" w:asciiTheme="majorEastAsia" w:hAnsiTheme="majorEastAsia" w:eastAsiaTheme="majorEastAsia"/>
          <w:color w:val="auto"/>
          <w:sz w:val="24"/>
          <w:szCs w:val="21"/>
        </w:rPr>
        <w:t>6</w:t>
      </w:r>
      <w:r>
        <w:rPr>
          <w:rFonts w:hint="eastAsia" w:cs="宋体" w:asciiTheme="majorEastAsia" w:hAnsiTheme="majorEastAsia" w:eastAsiaTheme="majorEastAsia"/>
          <w:color w:val="auto"/>
          <w:sz w:val="24"/>
          <w:szCs w:val="21"/>
        </w:rPr>
        <w:t>项，当超过时，采用左右切换分页的方式。</w:t>
      </w:r>
    </w:p>
    <w:p w14:paraId="4835276F">
      <w:pPr>
        <w:pStyle w:val="7"/>
        <w:numPr>
          <w:ilvl w:val="4"/>
          <w:numId w:val="61"/>
        </w:numPr>
        <w:spacing w:line="240" w:lineRule="auto"/>
        <w:rPr>
          <w:color w:val="auto"/>
        </w:rPr>
      </w:pPr>
      <w:r>
        <w:rPr>
          <w:rFonts w:hint="eastAsia"/>
          <w:color w:val="auto"/>
        </w:rPr>
        <w:t>作业状态</w:t>
      </w:r>
    </w:p>
    <w:p w14:paraId="0B56A47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在作业监控中显示当前环卫作业的整体情况，包括：在线车辆、在线人员、车辆报警、人员报警的数量，根据作业结果汇总计算得出道路作业完成率、垃圾清运完成率。</w:t>
      </w:r>
    </w:p>
    <w:p w14:paraId="77501A26">
      <w:pPr>
        <w:pStyle w:val="7"/>
        <w:numPr>
          <w:ilvl w:val="4"/>
          <w:numId w:val="61"/>
        </w:numPr>
        <w:spacing w:line="240" w:lineRule="auto"/>
        <w:rPr>
          <w:color w:val="auto"/>
        </w:rPr>
      </w:pPr>
      <w:r>
        <w:rPr>
          <w:rFonts w:hint="eastAsia"/>
          <w:color w:val="auto"/>
        </w:rPr>
        <w:t>作业台账</w:t>
      </w:r>
    </w:p>
    <w:p w14:paraId="366A7ED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显示环卫所涉及的基础台账数据汇总，包括道路作业、环卫车辆、人工保洁、洒水降尘等，以列表横排显示所包含的分项及统计数字。</w:t>
      </w:r>
    </w:p>
    <w:p w14:paraId="625A7B2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具体的显示内容包括：</w:t>
      </w:r>
    </w:p>
    <w:p w14:paraId="30E48BF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道路作业：标段数、道路数、总里程数；</w:t>
      </w:r>
    </w:p>
    <w:p w14:paraId="6370AB0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环卫车辆：作业车辆；</w:t>
      </w:r>
    </w:p>
    <w:p w14:paraId="293FB01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人工保洁：环卫人员、区域网格、作业面积；</w:t>
      </w:r>
    </w:p>
    <w:p w14:paraId="026DE3F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洒水降尘：洒水车、作业道路。</w:t>
      </w:r>
    </w:p>
    <w:p w14:paraId="2E758A1E">
      <w:pPr>
        <w:pStyle w:val="7"/>
        <w:numPr>
          <w:ilvl w:val="4"/>
          <w:numId w:val="61"/>
        </w:numPr>
        <w:spacing w:line="240" w:lineRule="auto"/>
        <w:rPr>
          <w:color w:val="auto"/>
        </w:rPr>
      </w:pPr>
      <w:r>
        <w:rPr>
          <w:rFonts w:hint="eastAsia"/>
          <w:color w:val="auto"/>
        </w:rPr>
        <w:t>案件统计</w:t>
      </w:r>
    </w:p>
    <w:p w14:paraId="1A22EE9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按当日、当月、当年统计显示环卫部门处置的案件数，包括案件总数、已处置数、未处置数、案件超时数等。</w:t>
      </w:r>
    </w:p>
    <w:p w14:paraId="5937F59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点击环卫案件中每类案件的具体数字可以直接跳转到对应的环卫案件详细页面。</w:t>
      </w:r>
    </w:p>
    <w:p w14:paraId="359B4DB6">
      <w:pPr>
        <w:pStyle w:val="7"/>
        <w:numPr>
          <w:ilvl w:val="4"/>
          <w:numId w:val="61"/>
        </w:numPr>
        <w:spacing w:line="240" w:lineRule="auto"/>
        <w:rPr>
          <w:color w:val="auto"/>
        </w:rPr>
      </w:pPr>
      <w:r>
        <w:rPr>
          <w:rFonts w:hint="eastAsia"/>
          <w:color w:val="auto"/>
        </w:rPr>
        <w:t>考核评分</w:t>
      </w:r>
    </w:p>
    <w:p w14:paraId="6690FDF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根据对环卫作业公司、标段的考核情况，显示其每月得分数据。以折线图图表形式，展示各区域所包含标段的考核评分数据。</w:t>
      </w:r>
    </w:p>
    <w:p w14:paraId="2817CA98">
      <w:pPr>
        <w:pStyle w:val="7"/>
        <w:numPr>
          <w:ilvl w:val="4"/>
          <w:numId w:val="61"/>
        </w:numPr>
        <w:spacing w:line="240" w:lineRule="auto"/>
        <w:rPr>
          <w:color w:val="auto"/>
        </w:rPr>
      </w:pPr>
      <w:r>
        <w:rPr>
          <w:rFonts w:hint="eastAsia"/>
          <w:color w:val="auto"/>
        </w:rPr>
        <w:t>垃圾收运</w:t>
      </w:r>
    </w:p>
    <w:p w14:paraId="1AD37BC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基于垃圾收运作业情况，以图表形式展示各项所包含的数据，包括进场车辆、垃圾处理量、污水处理量等。</w:t>
      </w:r>
    </w:p>
    <w:p w14:paraId="443AE310">
      <w:pPr>
        <w:pStyle w:val="7"/>
        <w:numPr>
          <w:ilvl w:val="4"/>
          <w:numId w:val="61"/>
        </w:numPr>
        <w:spacing w:line="240" w:lineRule="auto"/>
        <w:rPr>
          <w:color w:val="auto"/>
        </w:rPr>
      </w:pPr>
      <w:r>
        <w:rPr>
          <w:rFonts w:hint="eastAsia"/>
          <w:color w:val="auto"/>
        </w:rPr>
        <w:t>垃圾处置</w:t>
      </w:r>
    </w:p>
    <w:p w14:paraId="1116F01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基于垃圾处置作业情况，以图表形式展示各项所包含的数据，包括垃圾产生量、收运量、处置量等。</w:t>
      </w:r>
    </w:p>
    <w:p w14:paraId="01A4071F">
      <w:pPr>
        <w:pStyle w:val="7"/>
        <w:numPr>
          <w:ilvl w:val="4"/>
          <w:numId w:val="61"/>
        </w:numPr>
        <w:spacing w:line="240" w:lineRule="auto"/>
        <w:rPr>
          <w:color w:val="auto"/>
        </w:rPr>
      </w:pPr>
      <w:r>
        <w:rPr>
          <w:rFonts w:hint="eastAsia"/>
          <w:color w:val="auto"/>
        </w:rPr>
        <w:t>餐厨垃圾</w:t>
      </w:r>
    </w:p>
    <w:p w14:paraId="1B89B67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基于餐厨垃圾作业情况，以图表形式展示各项所包含的数据，包括餐厨垃圾产生量、收运量、处置量。</w:t>
      </w:r>
    </w:p>
    <w:p w14:paraId="62D0B857">
      <w:pPr>
        <w:pStyle w:val="7"/>
        <w:numPr>
          <w:ilvl w:val="4"/>
          <w:numId w:val="61"/>
        </w:numPr>
        <w:spacing w:line="240" w:lineRule="auto"/>
        <w:rPr>
          <w:color w:val="auto"/>
        </w:rPr>
      </w:pPr>
      <w:r>
        <w:rPr>
          <w:rFonts w:hint="eastAsia"/>
          <w:color w:val="auto"/>
        </w:rPr>
        <w:t>渣土管理</w:t>
      </w:r>
    </w:p>
    <w:p w14:paraId="06045A0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展示通过图表形式渣土车辆、企业等渣土有关信息；</w:t>
      </w:r>
    </w:p>
    <w:p w14:paraId="3B964077">
      <w:pPr>
        <w:pStyle w:val="7"/>
        <w:numPr>
          <w:ilvl w:val="4"/>
          <w:numId w:val="61"/>
        </w:numPr>
        <w:spacing w:line="240" w:lineRule="auto"/>
        <w:rPr>
          <w:color w:val="auto"/>
        </w:rPr>
      </w:pPr>
      <w:r>
        <w:rPr>
          <w:rFonts w:hint="eastAsia"/>
          <w:color w:val="auto"/>
        </w:rPr>
        <w:t>环境卫生监管</w:t>
      </w:r>
    </w:p>
    <w:p w14:paraId="380668A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通过图表形式展示环卫车、机构人员、环卫任务等环卫相关信息；</w:t>
      </w:r>
    </w:p>
    <w:p w14:paraId="349409F4">
      <w:pPr>
        <w:pStyle w:val="7"/>
        <w:numPr>
          <w:ilvl w:val="4"/>
          <w:numId w:val="61"/>
        </w:numPr>
        <w:spacing w:line="240" w:lineRule="auto"/>
        <w:rPr>
          <w:color w:val="auto"/>
        </w:rPr>
      </w:pPr>
      <w:r>
        <w:rPr>
          <w:rFonts w:hint="eastAsia"/>
          <w:color w:val="auto"/>
        </w:rPr>
        <w:t>户外广告</w:t>
      </w:r>
    </w:p>
    <w:p w14:paraId="66AFDDF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 xml:space="preserve">统计并展示城市户外广告的情况，通过时空地图展示户外广告分布信息，为决策者提供监管依据。 </w:t>
      </w:r>
    </w:p>
    <w:p w14:paraId="35AAFAE7">
      <w:pPr>
        <w:pStyle w:val="6"/>
        <w:numPr>
          <w:ilvl w:val="3"/>
          <w:numId w:val="61"/>
        </w:numPr>
        <w:spacing w:line="240" w:lineRule="auto"/>
        <w:rPr>
          <w:rFonts w:asciiTheme="majorEastAsia" w:hAnsiTheme="majorEastAsia" w:eastAsiaTheme="majorEastAsia"/>
          <w:bCs w:val="0"/>
          <w:color w:val="auto"/>
        </w:rPr>
      </w:pPr>
      <w:bookmarkStart w:id="217" w:name="_Toc16802"/>
      <w:bookmarkStart w:id="218" w:name="_Toc1537"/>
      <w:bookmarkStart w:id="219" w:name="_Toc15736"/>
      <w:bookmarkStart w:id="220" w:name="_Toc2278"/>
      <w:bookmarkStart w:id="221" w:name="_Toc30549"/>
      <w:bookmarkStart w:id="222" w:name="_Toc31345"/>
      <w:r>
        <w:rPr>
          <w:rFonts w:hint="eastAsia" w:asciiTheme="majorEastAsia" w:hAnsiTheme="majorEastAsia" w:eastAsiaTheme="majorEastAsia"/>
          <w:color w:val="auto"/>
        </w:rPr>
        <w:t>园林绿化</w:t>
      </w:r>
      <w:bookmarkEnd w:id="217"/>
      <w:r>
        <w:rPr>
          <w:rFonts w:hint="eastAsia" w:asciiTheme="majorEastAsia" w:hAnsiTheme="majorEastAsia" w:eastAsiaTheme="majorEastAsia"/>
          <w:color w:val="auto"/>
        </w:rPr>
        <w:t>专题</w:t>
      </w:r>
      <w:bookmarkEnd w:id="218"/>
      <w:bookmarkEnd w:id="219"/>
      <w:bookmarkEnd w:id="220"/>
      <w:bookmarkEnd w:id="221"/>
      <w:bookmarkEnd w:id="222"/>
    </w:p>
    <w:p w14:paraId="79DD9D3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福州市林地面积7792平方公里，占全市总面积的65%，现有森林总面积947万亩，林木总蓄积量1680万立方米。福州以独特的自然优势提出了打造“绿城、花城、水城”的“三城合一”建设模式，先后荣获“中国优秀旅游城市”、“全国文明城市”、“国家园林城市”的荣誉称号。2010年全国绿化委员会授予福州“全国绿化模范城市”称号，2016年，福州市深入开展“全民动员、绿化福州”活动，掀起新一轮植树造荫、绿荫惠民的执潮。2017年国家林业局正式授予福州“国家森林城市”称号，目前福州森林覆盖率达56%，位居全国省会城市第二位，全市建成区森林覆盖率43.93%，城区人均公园绿地面积达15.05平方米，城区街道树冠覆盖率达33.7%，并形成了植绿护绿特色化、城乡绿化一体化、城区道路和内河林荫化、城市公园森林化等特点。</w:t>
      </w:r>
    </w:p>
    <w:p w14:paraId="044C3919">
      <w:pPr>
        <w:pStyle w:val="7"/>
        <w:numPr>
          <w:ilvl w:val="4"/>
          <w:numId w:val="61"/>
        </w:numPr>
        <w:spacing w:line="240" w:lineRule="auto"/>
        <w:rPr>
          <w:color w:val="auto"/>
        </w:rPr>
      </w:pPr>
      <w:r>
        <w:rPr>
          <w:rFonts w:hint="eastAsia"/>
          <w:color w:val="auto"/>
        </w:rPr>
        <w:t>总体概览</w:t>
      </w:r>
    </w:p>
    <w:p w14:paraId="18462F9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按行政区划统计全市的古树名木、行道树、绿地、森林覆盖率、城区人均公园绿地面积、绿化管养护设施设备、管养人员数、目前正在施工的绿化项目等进行统计展示；</w:t>
      </w:r>
    </w:p>
    <w:p w14:paraId="0CEE1D2B">
      <w:pPr>
        <w:pStyle w:val="7"/>
        <w:numPr>
          <w:ilvl w:val="4"/>
          <w:numId w:val="61"/>
        </w:numPr>
        <w:spacing w:line="240" w:lineRule="auto"/>
        <w:rPr>
          <w:color w:val="auto"/>
        </w:rPr>
      </w:pPr>
      <w:r>
        <w:rPr>
          <w:rFonts w:hint="eastAsia"/>
          <w:color w:val="auto"/>
        </w:rPr>
        <w:t>绿化一张图</w:t>
      </w:r>
    </w:p>
    <w:p w14:paraId="4C45DD3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将全市园林绿化数据（古树名木、行道树、绿地、树木管护设施等）与GIS进行融合，展示全市园木绿化情况。并将全市管护人员、管护车辆、施工项目等在地图上落点，并融合全市视频信息形成全市园林绿化一张图。为全市园木绿化的管养、规划等提供支撑。</w:t>
      </w:r>
    </w:p>
    <w:p w14:paraId="2BF48790">
      <w:pPr>
        <w:pStyle w:val="7"/>
        <w:numPr>
          <w:ilvl w:val="4"/>
          <w:numId w:val="61"/>
        </w:numPr>
        <w:spacing w:line="240" w:lineRule="auto"/>
        <w:rPr>
          <w:color w:val="auto"/>
        </w:rPr>
      </w:pPr>
      <w:r>
        <w:rPr>
          <w:rFonts w:hint="eastAsia"/>
          <w:color w:val="auto"/>
        </w:rPr>
        <w:t>病虫害预警</w:t>
      </w:r>
    </w:p>
    <w:p w14:paraId="63204C6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针对城市园林绿化多发、常发病虫害提供预警功能，</w:t>
      </w:r>
      <w:r>
        <w:rPr>
          <w:rFonts w:cs="宋体" w:asciiTheme="majorEastAsia" w:hAnsiTheme="majorEastAsia" w:eastAsiaTheme="majorEastAsia"/>
          <w:color w:val="auto"/>
          <w:sz w:val="24"/>
          <w:szCs w:val="21"/>
        </w:rPr>
        <w:t>.</w:t>
      </w:r>
      <w:r>
        <w:rPr>
          <w:rFonts w:hint="eastAsia" w:cs="宋体" w:asciiTheme="majorEastAsia" w:hAnsiTheme="majorEastAsia" w:eastAsiaTheme="majorEastAsia"/>
          <w:color w:val="auto"/>
          <w:sz w:val="24"/>
          <w:szCs w:val="21"/>
        </w:rPr>
        <w:t>整合历年来的病虫害信息数据形成知识库，分析常见病虫害类型及其多发区域、多发时段，预先提供预警预报，方便用户查询处置建议</w:t>
      </w:r>
      <w:r>
        <w:rPr>
          <w:rFonts w:cs="宋体" w:asciiTheme="majorEastAsia" w:hAnsiTheme="majorEastAsia" w:eastAsiaTheme="majorEastAsia"/>
          <w:color w:val="auto"/>
          <w:sz w:val="24"/>
          <w:szCs w:val="21"/>
        </w:rPr>
        <w:t>.</w:t>
      </w:r>
    </w:p>
    <w:p w14:paraId="5295AF61">
      <w:pPr>
        <w:pStyle w:val="7"/>
        <w:numPr>
          <w:ilvl w:val="4"/>
          <w:numId w:val="61"/>
        </w:numPr>
        <w:spacing w:line="240" w:lineRule="auto"/>
        <w:rPr>
          <w:color w:val="auto"/>
        </w:rPr>
      </w:pPr>
      <w:r>
        <w:rPr>
          <w:rFonts w:hint="eastAsia"/>
          <w:color w:val="auto"/>
        </w:rPr>
        <w:t>数据综合分析</w:t>
      </w:r>
    </w:p>
    <w:p w14:paraId="6B39919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根据园林绿化综合数据资源、决策分析模型等因素，实现包括全市树种分布分析、各项绿地指标计算和变化检测等统计分析功能。分析结果可以是表格形式或是专题图形式。</w:t>
      </w:r>
    </w:p>
    <w:p w14:paraId="09AD95DE">
      <w:pPr>
        <w:pStyle w:val="7"/>
        <w:numPr>
          <w:ilvl w:val="4"/>
          <w:numId w:val="61"/>
        </w:numPr>
        <w:spacing w:line="240" w:lineRule="auto"/>
        <w:rPr>
          <w:color w:val="auto"/>
        </w:rPr>
      </w:pPr>
      <w:r>
        <w:rPr>
          <w:rFonts w:hint="eastAsia"/>
          <w:color w:val="auto"/>
        </w:rPr>
        <w:t>绿化资源属性查询</w:t>
      </w:r>
    </w:p>
    <w:p w14:paraId="0EB79CC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实现设置不同的属性查询条件，查询到符合条件的各类园林绿化资源的属性信息，并可以进一步查询到关联的图片、文本、视频等信息。</w:t>
      </w:r>
    </w:p>
    <w:p w14:paraId="6C8B795D">
      <w:pPr>
        <w:pStyle w:val="7"/>
        <w:numPr>
          <w:ilvl w:val="4"/>
          <w:numId w:val="61"/>
        </w:numPr>
        <w:spacing w:line="240" w:lineRule="auto"/>
        <w:rPr>
          <w:color w:val="auto"/>
        </w:rPr>
      </w:pPr>
      <w:r>
        <w:rPr>
          <w:rFonts w:hint="eastAsia"/>
          <w:color w:val="auto"/>
        </w:rPr>
        <w:t>园林设施</w:t>
      </w:r>
    </w:p>
    <w:p w14:paraId="079A1EA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对园林绿化的基础设施数据进行实时展示，包括绿地，行道树，古树名木等数据。</w:t>
      </w:r>
    </w:p>
    <w:p w14:paraId="3E2CA7B3">
      <w:pPr>
        <w:pStyle w:val="7"/>
        <w:numPr>
          <w:ilvl w:val="4"/>
          <w:numId w:val="61"/>
        </w:numPr>
        <w:spacing w:line="240" w:lineRule="auto"/>
        <w:rPr>
          <w:color w:val="auto"/>
        </w:rPr>
      </w:pPr>
      <w:r>
        <w:rPr>
          <w:rFonts w:hint="eastAsia"/>
          <w:color w:val="auto"/>
        </w:rPr>
        <w:t>养护统计</w:t>
      </w:r>
    </w:p>
    <w:p w14:paraId="00F91A8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统计各类市政园林绿化日常养护工作，包含绿地修剪、施肥、浇水，树木绿篱的修剪、施肥、除草、浇水、病虫害防治，园林绿化设施的保养维护等的养护情况，以柱状图展示各类园林设施的养护统计数。</w:t>
      </w:r>
    </w:p>
    <w:p w14:paraId="6D04AD29">
      <w:pPr>
        <w:pStyle w:val="7"/>
        <w:numPr>
          <w:ilvl w:val="4"/>
          <w:numId w:val="61"/>
        </w:numPr>
        <w:spacing w:line="240" w:lineRule="auto"/>
        <w:rPr>
          <w:color w:val="auto"/>
        </w:rPr>
      </w:pPr>
      <w:r>
        <w:rPr>
          <w:rFonts w:hint="eastAsia"/>
          <w:color w:val="auto"/>
        </w:rPr>
        <w:t>考核评分</w:t>
      </w:r>
    </w:p>
    <w:p w14:paraId="6A08C7A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根据对园林作业公司、标段的考核情况，显示其每月得分数据。以折线图图表形式，展示各区域所包含标段的考核评分数据。</w:t>
      </w:r>
    </w:p>
    <w:p w14:paraId="35D9ABF9">
      <w:pPr>
        <w:pStyle w:val="7"/>
        <w:numPr>
          <w:ilvl w:val="4"/>
          <w:numId w:val="61"/>
        </w:numPr>
        <w:spacing w:line="240" w:lineRule="auto"/>
        <w:rPr>
          <w:color w:val="auto"/>
        </w:rPr>
      </w:pPr>
      <w:r>
        <w:rPr>
          <w:rFonts w:hint="eastAsia"/>
          <w:color w:val="auto"/>
        </w:rPr>
        <w:t>高发问题</w:t>
      </w:r>
    </w:p>
    <w:p w14:paraId="0BAF3C4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展示园林问题发生的空间、类型的规律分析结果，高发类型分析：展示当天上报园林类案件的类别高发统计结果。</w:t>
      </w:r>
    </w:p>
    <w:p w14:paraId="56DE94E5">
      <w:pPr>
        <w:pStyle w:val="7"/>
        <w:numPr>
          <w:ilvl w:val="4"/>
          <w:numId w:val="61"/>
        </w:numPr>
        <w:spacing w:line="240" w:lineRule="auto"/>
        <w:rPr>
          <w:color w:val="auto"/>
        </w:rPr>
      </w:pPr>
      <w:r>
        <w:rPr>
          <w:rFonts w:hint="eastAsia"/>
          <w:color w:val="auto"/>
        </w:rPr>
        <w:t>实时检测</w:t>
      </w:r>
    </w:p>
    <w:p w14:paraId="18553E4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以列表形式展示各园林检测设备最新告警情况，通告内容包括位置信息、设备编号、告警信息、推送情况等。</w:t>
      </w:r>
    </w:p>
    <w:p w14:paraId="4B86CB45">
      <w:pPr>
        <w:pStyle w:val="7"/>
        <w:numPr>
          <w:ilvl w:val="4"/>
          <w:numId w:val="61"/>
        </w:numPr>
        <w:spacing w:line="240" w:lineRule="auto"/>
        <w:rPr>
          <w:color w:val="auto"/>
        </w:rPr>
      </w:pPr>
      <w:r>
        <w:rPr>
          <w:rFonts w:hint="eastAsia"/>
          <w:color w:val="auto"/>
        </w:rPr>
        <w:t>城市公园</w:t>
      </w:r>
    </w:p>
    <w:p w14:paraId="0806DB7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展示公园的总体情况，可在地图上显示公园的分布，点击具体的公园，可查看公园详情。</w:t>
      </w:r>
    </w:p>
    <w:p w14:paraId="54C2C4BF">
      <w:pPr>
        <w:pStyle w:val="6"/>
        <w:numPr>
          <w:ilvl w:val="3"/>
          <w:numId w:val="61"/>
        </w:numPr>
        <w:spacing w:line="240" w:lineRule="auto"/>
        <w:rPr>
          <w:color w:val="auto"/>
        </w:rPr>
      </w:pPr>
      <w:bookmarkStart w:id="223" w:name="_Toc22226"/>
      <w:bookmarkStart w:id="224" w:name="_Toc12059"/>
      <w:bookmarkStart w:id="225" w:name="_Toc20075"/>
      <w:bookmarkStart w:id="226" w:name="_Toc28453"/>
      <w:bookmarkStart w:id="227" w:name="_Toc12578"/>
      <w:bookmarkStart w:id="228" w:name="_Toc25237"/>
      <w:r>
        <w:rPr>
          <w:rFonts w:hint="eastAsia"/>
          <w:color w:val="auto"/>
        </w:rPr>
        <w:t>城市执法</w:t>
      </w:r>
      <w:bookmarkEnd w:id="223"/>
      <w:r>
        <w:rPr>
          <w:rFonts w:hint="eastAsia"/>
          <w:color w:val="auto"/>
        </w:rPr>
        <w:t>专题</w:t>
      </w:r>
      <w:bookmarkEnd w:id="224"/>
      <w:bookmarkEnd w:id="225"/>
      <w:bookmarkEnd w:id="226"/>
      <w:bookmarkEnd w:id="227"/>
      <w:bookmarkEnd w:id="228"/>
    </w:p>
    <w:p w14:paraId="29DE0D5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展示执法队伍、执法人员等相关信息，显示在线执法人员，可查看轨迹数据，统计案卷数量，显示案卷定位及详细信息，统计每个队伍上报的案卷数量并展示详细信息。</w:t>
      </w:r>
    </w:p>
    <w:p w14:paraId="5771247D">
      <w:pPr>
        <w:pStyle w:val="7"/>
        <w:numPr>
          <w:ilvl w:val="4"/>
          <w:numId w:val="61"/>
        </w:numPr>
        <w:spacing w:line="240" w:lineRule="auto"/>
        <w:rPr>
          <w:color w:val="auto"/>
        </w:rPr>
      </w:pPr>
      <w:r>
        <w:rPr>
          <w:rFonts w:hint="eastAsia"/>
          <w:color w:val="auto"/>
        </w:rPr>
        <w:t>运行情况</w:t>
      </w:r>
    </w:p>
    <w:p w14:paraId="40B914B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实时运行情况：展示今日案件数和当前在线人员数量。统计展示沿街商铺、小摊小贩、企业单位和社区人员数量。</w:t>
      </w:r>
    </w:p>
    <w:p w14:paraId="5E17487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执法统计：以日/月/年三个维度分类别展示执法队伍数量、执法人员数量、案件数量和在线人员数量。</w:t>
      </w:r>
    </w:p>
    <w:p w14:paraId="315EAA7F">
      <w:pPr>
        <w:pStyle w:val="7"/>
        <w:numPr>
          <w:ilvl w:val="4"/>
          <w:numId w:val="61"/>
        </w:numPr>
        <w:spacing w:line="240" w:lineRule="auto"/>
        <w:rPr>
          <w:color w:val="auto"/>
        </w:rPr>
      </w:pPr>
      <w:r>
        <w:rPr>
          <w:rFonts w:hint="eastAsia"/>
          <w:color w:val="auto"/>
        </w:rPr>
        <w:t>高发问题分析</w:t>
      </w:r>
    </w:p>
    <w:p w14:paraId="191035F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通过柱状图的形式以日</w:t>
      </w:r>
      <w:r>
        <w:rPr>
          <w:rFonts w:cs="宋体" w:asciiTheme="majorEastAsia" w:hAnsiTheme="majorEastAsia" w:eastAsiaTheme="majorEastAsia"/>
          <w:color w:val="auto"/>
          <w:sz w:val="24"/>
          <w:szCs w:val="21"/>
        </w:rPr>
        <w:t>/月/年三个维度展示执法过程中的高发问题类型。</w:t>
      </w:r>
    </w:p>
    <w:p w14:paraId="732BBEE3">
      <w:pPr>
        <w:pStyle w:val="7"/>
        <w:numPr>
          <w:ilvl w:val="4"/>
          <w:numId w:val="61"/>
        </w:numPr>
        <w:spacing w:line="240" w:lineRule="auto"/>
        <w:rPr>
          <w:color w:val="auto"/>
        </w:rPr>
      </w:pPr>
      <w:r>
        <w:rPr>
          <w:rFonts w:hint="eastAsia"/>
          <w:color w:val="auto"/>
        </w:rPr>
        <w:t>各区社会主体分析</w:t>
      </w:r>
    </w:p>
    <w:p w14:paraId="3260613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获取城市社会主体数据，按照区县、主体类别（沿街商铺、小摊小贩、企业单位和社区人员）等维度进行分析，直观展现各区主体分布状况，为城市管理提供数据支撑。</w:t>
      </w:r>
    </w:p>
    <w:p w14:paraId="1147AD16">
      <w:pPr>
        <w:pStyle w:val="7"/>
        <w:numPr>
          <w:ilvl w:val="4"/>
          <w:numId w:val="61"/>
        </w:numPr>
        <w:spacing w:line="240" w:lineRule="auto"/>
        <w:rPr>
          <w:color w:val="auto"/>
        </w:rPr>
      </w:pPr>
      <w:r>
        <w:rPr>
          <w:rFonts w:hint="eastAsia"/>
          <w:color w:val="auto"/>
        </w:rPr>
        <w:t>执法依据应用统计</w:t>
      </w:r>
    </w:p>
    <w:p w14:paraId="2FA934E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对案件数据进行分析，统计案件的执法依据。</w:t>
      </w:r>
    </w:p>
    <w:p w14:paraId="1C161C3C">
      <w:pPr>
        <w:pStyle w:val="7"/>
        <w:numPr>
          <w:ilvl w:val="4"/>
          <w:numId w:val="61"/>
        </w:numPr>
        <w:spacing w:line="240" w:lineRule="auto"/>
        <w:rPr>
          <w:color w:val="auto"/>
        </w:rPr>
      </w:pPr>
      <w:r>
        <w:rPr>
          <w:rFonts w:hint="eastAsia"/>
          <w:color w:val="auto"/>
        </w:rPr>
        <w:t>各月执法案件数量分析</w:t>
      </w:r>
    </w:p>
    <w:p w14:paraId="4D0669C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以柱状图的方式展示每月执法程序案件数量，分析一般程序和简易程序案件趋势。</w:t>
      </w:r>
    </w:p>
    <w:p w14:paraId="57AFC3F1">
      <w:pPr>
        <w:pStyle w:val="7"/>
        <w:numPr>
          <w:ilvl w:val="4"/>
          <w:numId w:val="61"/>
        </w:numPr>
        <w:spacing w:line="240" w:lineRule="auto"/>
        <w:rPr>
          <w:color w:val="auto"/>
        </w:rPr>
      </w:pPr>
      <w:r>
        <w:rPr>
          <w:rFonts w:hint="eastAsia"/>
          <w:color w:val="auto"/>
        </w:rPr>
        <w:t>各区执法案件数量分析</w:t>
      </w:r>
    </w:p>
    <w:p w14:paraId="3EE569BF">
      <w:pPr>
        <w:spacing w:before="163" w:after="163"/>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以柱状图的方式展示各区县执法程序案件数量，分析一般程序和简易程序案件在各区县的差异情况。</w:t>
      </w:r>
    </w:p>
    <w:p w14:paraId="1B7A57C3">
      <w:pPr>
        <w:pStyle w:val="7"/>
        <w:numPr>
          <w:ilvl w:val="4"/>
          <w:numId w:val="61"/>
        </w:numPr>
        <w:spacing w:line="240" w:lineRule="auto"/>
        <w:rPr>
          <w:color w:val="auto"/>
        </w:rPr>
      </w:pPr>
      <w:r>
        <w:rPr>
          <w:rFonts w:hint="eastAsia"/>
          <w:color w:val="auto"/>
        </w:rPr>
        <w:t>执法一张图</w:t>
      </w:r>
    </w:p>
    <w:p w14:paraId="3039753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热力图</w:t>
      </w:r>
    </w:p>
    <w:p w14:paraId="7DF7717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以日/月/年三个维度对案件的地理空间分布情况进行聚类，生成案件分布热力图，颜色越深代表问题频发。</w:t>
      </w:r>
    </w:p>
    <w:p w14:paraId="2BAA77E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人员地图定位</w:t>
      </w:r>
    </w:p>
    <w:p w14:paraId="6BCEF36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在地图上根据人员实时坐标信息，展示人员列表中相应人员的定位点。</w:t>
      </w:r>
    </w:p>
    <w:p w14:paraId="477E453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人员轨迹回放</w:t>
      </w:r>
    </w:p>
    <w:p w14:paraId="1E4A739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可查看人员在一定时间内的运行轨迹，可选择时间、回放速度、暂停、播放。</w:t>
      </w:r>
    </w:p>
    <w:p w14:paraId="1FB2E4E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案件地图定位</w:t>
      </w:r>
    </w:p>
    <w:p w14:paraId="56D0E06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在地图上根据案件上报坐标信息，展示案件列表中相应案件的定位点。</w:t>
      </w:r>
    </w:p>
    <w:p w14:paraId="12D7A273">
      <w:pPr>
        <w:pStyle w:val="7"/>
        <w:numPr>
          <w:ilvl w:val="4"/>
          <w:numId w:val="61"/>
        </w:numPr>
        <w:spacing w:line="240" w:lineRule="auto"/>
        <w:rPr>
          <w:color w:val="auto"/>
        </w:rPr>
      </w:pPr>
      <w:r>
        <w:rPr>
          <w:rFonts w:hint="eastAsia"/>
          <w:color w:val="auto"/>
        </w:rPr>
        <w:t>执法力量</w:t>
      </w:r>
    </w:p>
    <w:p w14:paraId="5A94EE9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执法力量模块用于展示城管执法的参与力量，包括执法机构数量和人员数量，同时可通过统计图展示各执法机构的人员分布及当前执法人员在线情况。</w:t>
      </w:r>
    </w:p>
    <w:p w14:paraId="6E660AD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执法人员：以醒目数字展示执法人员的数量，同时通过统计图展示在线人员数量。</w:t>
      </w:r>
    </w:p>
    <w:p w14:paraId="6957B54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执法机构：以醒目数字展示执法机构的数量，同时通过统计图展示各执法机构中的人员数量和当前执法人员在线情况。</w:t>
      </w:r>
    </w:p>
    <w:p w14:paraId="5DA64C0A">
      <w:pPr>
        <w:pStyle w:val="7"/>
        <w:numPr>
          <w:ilvl w:val="4"/>
          <w:numId w:val="61"/>
        </w:numPr>
        <w:spacing w:line="240" w:lineRule="auto"/>
        <w:rPr>
          <w:color w:val="auto"/>
        </w:rPr>
      </w:pPr>
      <w:r>
        <w:rPr>
          <w:rFonts w:hint="eastAsia"/>
          <w:color w:val="auto"/>
        </w:rPr>
        <w:t>执法事项</w:t>
      </w:r>
    </w:p>
    <w:p w14:paraId="67F1E30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执法事项模块用于展示执法单位所拥有的执法事项数量，包括执法事项的类别数量以及各类别下的具体执法事项数量。</w:t>
      </w:r>
    </w:p>
    <w:p w14:paraId="7699168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市政公用：展示执法单位关于市政公用的执法事项数量。</w:t>
      </w:r>
    </w:p>
    <w:p w14:paraId="0F0D453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园林绿化：展示执法单位关于园林绿化的执法事项数量。</w:t>
      </w:r>
    </w:p>
    <w:p w14:paraId="74A7AFF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环境保护：展示执法单位关于环境保护的执法事项数量。</w:t>
      </w:r>
    </w:p>
    <w:p w14:paraId="0D8477C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工商管理：展示执法单位关于工商管理的执法事项数量。</w:t>
      </w:r>
    </w:p>
    <w:p w14:paraId="49107FC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国土规划：展示执法单位关于国土规划的执法事项数量。</w:t>
      </w:r>
    </w:p>
    <w:p w14:paraId="71A3BF23">
      <w:pPr>
        <w:pStyle w:val="7"/>
        <w:numPr>
          <w:ilvl w:val="4"/>
          <w:numId w:val="61"/>
        </w:numPr>
        <w:spacing w:line="240" w:lineRule="auto"/>
        <w:rPr>
          <w:color w:val="auto"/>
        </w:rPr>
      </w:pPr>
      <w:r>
        <w:rPr>
          <w:rFonts w:hint="eastAsia"/>
          <w:color w:val="auto"/>
        </w:rPr>
        <w:t>监管对象</w:t>
      </w:r>
    </w:p>
    <w:p w14:paraId="540A58C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监管对象模块用于展示执法单位所监管对象的数量，分为个人、商铺、企业、民房、广告等类别。</w:t>
      </w:r>
    </w:p>
    <w:p w14:paraId="5E7F0C0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个人：展示监管对象为个人的数量。</w:t>
      </w:r>
    </w:p>
    <w:p w14:paraId="1FD6A9B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商铺：展示监管对象为商铺的数量。</w:t>
      </w:r>
    </w:p>
    <w:p w14:paraId="7BE01DB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企业：展示监管对象为企业的数量。</w:t>
      </w:r>
    </w:p>
    <w:p w14:paraId="4579166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民房：展示监管对象为民房的数量。</w:t>
      </w:r>
    </w:p>
    <w:p w14:paraId="310850C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广告：展示监管对象为广告的数量。</w:t>
      </w:r>
    </w:p>
    <w:p w14:paraId="3CC71F8A">
      <w:pPr>
        <w:pStyle w:val="7"/>
        <w:numPr>
          <w:ilvl w:val="4"/>
          <w:numId w:val="61"/>
        </w:numPr>
        <w:spacing w:line="240" w:lineRule="auto"/>
        <w:rPr>
          <w:color w:val="auto"/>
        </w:rPr>
      </w:pPr>
      <w:r>
        <w:rPr>
          <w:rFonts w:hint="eastAsia"/>
          <w:color w:val="auto"/>
        </w:rPr>
        <w:t>法律法规</w:t>
      </w:r>
    </w:p>
    <w:p w14:paraId="28CDC1F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法律法规模块用于展示系统中录入的法律法规数量，并按类别统计，同时展示从法律法规中拆分出的案由总数。</w:t>
      </w:r>
    </w:p>
    <w:p w14:paraId="04A4E7E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法律法规：以图表形式分类别以不同颜色展示法律、行政法规、地方性法规、部门规章、政府规章、全部法律法规的数量。</w:t>
      </w:r>
    </w:p>
    <w:p w14:paraId="6FBE18C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案由：展示录入系统中的法律法规拆分后的案由数量。</w:t>
      </w:r>
    </w:p>
    <w:p w14:paraId="3DF48A60">
      <w:pPr>
        <w:pStyle w:val="7"/>
        <w:numPr>
          <w:ilvl w:val="4"/>
          <w:numId w:val="61"/>
        </w:numPr>
        <w:spacing w:line="240" w:lineRule="auto"/>
        <w:rPr>
          <w:color w:val="auto"/>
        </w:rPr>
      </w:pPr>
      <w:r>
        <w:rPr>
          <w:rFonts w:hint="eastAsia"/>
          <w:color w:val="auto"/>
        </w:rPr>
        <w:t>实时运行</w:t>
      </w:r>
    </w:p>
    <w:p w14:paraId="00A6999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实时运行模块用于展示城管执法工作的实时运行情况，从数量和地理分布两个方面展示包括单兵、人员、车辆、视频、案件等的实时情况。</w:t>
      </w:r>
    </w:p>
    <w:p w14:paraId="2F5467B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单兵情况：展示当前接入的单兵数量。</w:t>
      </w:r>
    </w:p>
    <w:p w14:paraId="086ABEA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人员情况：展示当天各类人员的实时在线情况，可以在地图上按照网格查看人员的在线分布情况。</w:t>
      </w:r>
    </w:p>
    <w:p w14:paraId="31DCF0A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车辆情况：展示当天各类车辆在线工作情况，可以在地图上按照行业类别查看车辆的工作分布情况。</w:t>
      </w:r>
    </w:p>
    <w:p w14:paraId="4991EB5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视频情况：展示各类视频资源的分布情况，可以在地图上按照视频来源、视频管控区域查看视频。</w:t>
      </w:r>
    </w:p>
    <w:p w14:paraId="0FC1FB2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案件情况：以天、月、年三个维度展示各类型案件（执法检查、一般程序、简易程序等）的办理数量，并可在地图展示。</w:t>
      </w:r>
    </w:p>
    <w:p w14:paraId="0543DD0A">
      <w:pPr>
        <w:pStyle w:val="7"/>
        <w:numPr>
          <w:ilvl w:val="4"/>
          <w:numId w:val="61"/>
        </w:numPr>
        <w:spacing w:line="240" w:lineRule="auto"/>
        <w:rPr>
          <w:color w:val="auto"/>
        </w:rPr>
      </w:pPr>
      <w:r>
        <w:rPr>
          <w:rFonts w:hint="eastAsia"/>
          <w:color w:val="auto"/>
        </w:rPr>
        <w:t>高发分析</w:t>
      </w:r>
    </w:p>
    <w:p w14:paraId="60B16F6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高发分析模块用于展示城市管理问题从时间、空间、问题类型三个维度进行分析，展示其趋势情况。</w:t>
      </w:r>
    </w:p>
    <w:p w14:paraId="50C8F33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高发问题：展示当天上报案件的类别高发统计结果，指标包括立案数和结案数。</w:t>
      </w:r>
    </w:p>
    <w:p w14:paraId="1ED8AAF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高发区域：展示当天上报案件的区域（街道、镇分别统计）高发统计结果，指标包括该街道镇所在区的立案、结案数和街道镇的立案、结案数。</w:t>
      </w:r>
    </w:p>
    <w:p w14:paraId="6F3EC19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高发时段：展示当天上报案件的各时段立案和结案情况。</w:t>
      </w:r>
    </w:p>
    <w:p w14:paraId="20A0C06E">
      <w:pPr>
        <w:pStyle w:val="7"/>
        <w:numPr>
          <w:ilvl w:val="4"/>
          <w:numId w:val="61"/>
        </w:numPr>
        <w:spacing w:line="240" w:lineRule="auto"/>
        <w:rPr>
          <w:color w:val="auto"/>
        </w:rPr>
      </w:pPr>
      <w:r>
        <w:rPr>
          <w:rFonts w:hint="eastAsia"/>
          <w:color w:val="auto"/>
        </w:rPr>
        <w:t>趋势分析</w:t>
      </w:r>
    </w:p>
    <w:p w14:paraId="09E28CF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趋势分析模块用于展示执法检查、一般程序、简易程序三种类型案卷的发生趋势。</w:t>
      </w:r>
    </w:p>
    <w:p w14:paraId="5E62548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日趋势：该部分展示执法检查、一般程序、简易程序三种类型案卷以“日”为单位的发生的趋势。</w:t>
      </w:r>
    </w:p>
    <w:p w14:paraId="1F888A4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月趋势：该部分展示执法检查、一般程序、简易程序三种类型案卷以“年”为单位的发生月趋势。</w:t>
      </w:r>
    </w:p>
    <w:p w14:paraId="7D4CE6E9">
      <w:pPr>
        <w:pStyle w:val="7"/>
        <w:numPr>
          <w:ilvl w:val="4"/>
          <w:numId w:val="61"/>
        </w:numPr>
        <w:spacing w:line="240" w:lineRule="auto"/>
        <w:rPr>
          <w:color w:val="auto"/>
        </w:rPr>
      </w:pPr>
      <w:r>
        <w:rPr>
          <w:rFonts w:hint="eastAsia"/>
          <w:color w:val="auto"/>
        </w:rPr>
        <w:t>机构考核</w:t>
      </w:r>
    </w:p>
    <w:p w14:paraId="1EA5D0C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机构考核模块用于展示执法机构当月的案件处理情况、巡查情况以及考勤情况。</w:t>
      </w:r>
    </w:p>
    <w:p w14:paraId="39C4836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案件类型：展示当月各执法机构上报执法检查、简易程序、一般程序的数量；</w:t>
      </w:r>
    </w:p>
    <w:p w14:paraId="21E7AFD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巡查距离：展示当月各执法机构巡查距离；</w:t>
      </w:r>
    </w:p>
    <w:p w14:paraId="54FC90A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考勤统计：展示当月各执法机构的考勤情况；</w:t>
      </w:r>
    </w:p>
    <w:p w14:paraId="2EADB5E1">
      <w:pPr>
        <w:pStyle w:val="7"/>
        <w:numPr>
          <w:ilvl w:val="4"/>
          <w:numId w:val="61"/>
        </w:numPr>
        <w:spacing w:line="240" w:lineRule="auto"/>
        <w:rPr>
          <w:color w:val="auto"/>
        </w:rPr>
      </w:pPr>
      <w:r>
        <w:rPr>
          <w:rFonts w:hint="eastAsia"/>
          <w:color w:val="auto"/>
        </w:rPr>
        <w:t>人员考核</w:t>
      </w:r>
    </w:p>
    <w:p w14:paraId="31E51BB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人员考核模块用于展示执法人员当月的案件处理情况、巡查情况以及考勤情况；</w:t>
      </w:r>
    </w:p>
    <w:p w14:paraId="5765F68D">
      <w:pPr>
        <w:pStyle w:val="7"/>
        <w:numPr>
          <w:ilvl w:val="4"/>
          <w:numId w:val="61"/>
        </w:numPr>
        <w:spacing w:line="240" w:lineRule="auto"/>
        <w:rPr>
          <w:color w:val="auto"/>
        </w:rPr>
      </w:pPr>
      <w:r>
        <w:rPr>
          <w:rFonts w:hint="eastAsia"/>
          <w:color w:val="auto"/>
        </w:rPr>
        <w:t>执法机构</w:t>
      </w:r>
    </w:p>
    <w:p w14:paraId="34B204E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展示城市管理执法机构信息及机构人员信息，通过树状形式直观展示。</w:t>
      </w:r>
    </w:p>
    <w:p w14:paraId="6F417A59">
      <w:pPr>
        <w:pStyle w:val="7"/>
        <w:numPr>
          <w:ilvl w:val="4"/>
          <w:numId w:val="61"/>
        </w:numPr>
        <w:spacing w:line="240" w:lineRule="auto"/>
        <w:rPr>
          <w:color w:val="auto"/>
        </w:rPr>
      </w:pPr>
      <w:r>
        <w:rPr>
          <w:rFonts w:hint="eastAsia"/>
          <w:color w:val="auto"/>
        </w:rPr>
        <w:t>事件统计</w:t>
      </w:r>
    </w:p>
    <w:p w14:paraId="7E9DCD8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统计系统截止目前累计处理的案件数、已经办结的案件数、未派遣分拨的案件数、部门正在处理的案件数、部门处理完成待核查的案件数。</w:t>
      </w:r>
    </w:p>
    <w:p w14:paraId="6747B4A7">
      <w:pPr>
        <w:pStyle w:val="41"/>
        <w:rPr>
          <w:color w:val="auto"/>
        </w:rPr>
      </w:pPr>
    </w:p>
    <w:p w14:paraId="22D1F0D8">
      <w:pPr>
        <w:keepNext/>
        <w:keepLines/>
        <w:numPr>
          <w:ilvl w:val="2"/>
          <w:numId w:val="37"/>
        </w:numPr>
        <w:ind w:firstLine="200"/>
        <w:contextualSpacing/>
        <w:jc w:val="left"/>
        <w:outlineLvl w:val="2"/>
        <w:rPr>
          <w:rFonts w:ascii="宋体" w:hAnsi="宋体" w:eastAsia="宋体" w:cs="宋体"/>
          <w:color w:val="auto"/>
          <w:sz w:val="28"/>
          <w:szCs w:val="28"/>
        </w:rPr>
      </w:pPr>
      <w:bookmarkStart w:id="229" w:name="_Toc81934404"/>
      <w:bookmarkStart w:id="230" w:name="_Toc95404037"/>
      <w:bookmarkStart w:id="231" w:name="_Toc83216253"/>
      <w:bookmarkStart w:id="232" w:name="_Toc81901259"/>
      <w:r>
        <w:rPr>
          <w:rFonts w:hint="eastAsia" w:ascii="宋体" w:hAnsi="宋体" w:eastAsia="宋体" w:cs="宋体"/>
          <w:color w:val="auto"/>
          <w:sz w:val="28"/>
          <w:szCs w:val="28"/>
        </w:rPr>
        <w:t>城市运行监测系统</w:t>
      </w:r>
      <w:bookmarkEnd w:id="229"/>
      <w:bookmarkEnd w:id="230"/>
      <w:bookmarkEnd w:id="231"/>
      <w:bookmarkEnd w:id="232"/>
    </w:p>
    <w:p w14:paraId="47FB4F2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现有e福州综合指挥平台能力，对标《城市运行管理服务平台技术标准》，建设城市运行监测系统，升级构建横向联动“市政、园林、环卫、城管”等多部门、纵向贯穿“市、区县、街镇、社区、网格”五级的事件处置体系，完成城市管理事件的统一预防准备与指挥联动处置，实现对城市管理问题的监测预警、隐患排查、风险评估、预防准备及指挥联动等功能，提升城市管理日常指挥协同及突发事件的事前预警防范能力，事中分析研判、联动指挥能力，事后总结评估能力，提高城市科学化、精细化、智能化管理服务水平，推动实现城市治理体系和治理能力现代化。实现包含监测信息管理、风险管理、监测报警、巡检巡查、风险防控、决策支持、隐患上报与突发事件推送等功能，应对市政设施、房屋建筑、交通设施和人员密集区域等领域的监测分析，及其他专项应用业务需求。</w:t>
      </w:r>
    </w:p>
    <w:p w14:paraId="4AE020E8">
      <w:pPr>
        <w:pStyle w:val="6"/>
        <w:numPr>
          <w:ilvl w:val="3"/>
          <w:numId w:val="37"/>
        </w:numPr>
        <w:spacing w:line="240" w:lineRule="auto"/>
        <w:rPr>
          <w:color w:val="auto"/>
        </w:rPr>
      </w:pPr>
      <w:r>
        <w:rPr>
          <w:rFonts w:hint="eastAsia"/>
          <w:color w:val="auto"/>
        </w:rPr>
        <w:t>运行监测指标体系</w:t>
      </w:r>
    </w:p>
    <w:p w14:paraId="35810BE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市政公用设施监测、市容环卫监测、园林绿化监测、城市管理执法监测、城市管理物联感知监测、城市治理态势监测、城市突发事件监测等业务场景的所取得的监测数据，依照各个监测数据对城市运行的影响，分类、分级构建运行监测指标体系，使用户能够快速、精准地了解城市当前的运行的状况。</w:t>
      </w:r>
    </w:p>
    <w:p w14:paraId="23EEFB8F">
      <w:pPr>
        <w:pStyle w:val="6"/>
        <w:numPr>
          <w:ilvl w:val="3"/>
          <w:numId w:val="37"/>
        </w:numPr>
        <w:spacing w:line="240" w:lineRule="auto"/>
        <w:rPr>
          <w:color w:val="auto"/>
        </w:rPr>
      </w:pPr>
      <w:r>
        <w:rPr>
          <w:rFonts w:hint="eastAsia"/>
          <w:color w:val="auto"/>
        </w:rPr>
        <w:t>业务场景监测</w:t>
      </w:r>
      <w:r>
        <w:rPr>
          <w:rFonts w:hint="eastAsia"/>
          <w:color w:val="auto"/>
          <w:szCs w:val="24"/>
        </w:rPr>
        <w:t>预警</w:t>
      </w:r>
    </w:p>
    <w:p w14:paraId="0A2FAE0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接获取市政公用、市容环卫、园林绿化、城市管理执法、城市管理物联感知、城市治理态势等方面信息并进行分析实现监测预警。通过对接行业部门物联网设备或物联网管理平台，获取感知监测告警数据及与行业部门城市管理监测数据，结合各个领域训练的预警分析模型。基于地理信息时空平台，建立城市综合运行状态可视化展示视图，为管理者提供一个全面、动态的城市运行仪表盘，及时掌握城市运行各项监测数据信息，实现对城市运行状态监测和预警。</w:t>
      </w:r>
    </w:p>
    <w:p w14:paraId="7DE2898C">
      <w:pPr>
        <w:pStyle w:val="7"/>
        <w:numPr>
          <w:ilvl w:val="4"/>
          <w:numId w:val="37"/>
        </w:numPr>
        <w:spacing w:line="240" w:lineRule="auto"/>
        <w:rPr>
          <w:color w:val="auto"/>
        </w:rPr>
      </w:pPr>
      <w:r>
        <w:rPr>
          <w:rFonts w:hint="eastAsia"/>
          <w:color w:val="auto"/>
        </w:rPr>
        <w:t>风险“一张图”</w:t>
      </w:r>
    </w:p>
    <w:p w14:paraId="1273C35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汇聚城市运行中的风险信息和隐患信息，通过对数据的智能分析，筛选出重点关注的事件预警，并进行更新。及时发现城市中发生的重点事件概况，通过红、橙、黄、蓝风险一张图形式，展示城市运行风险等级分布和风险点危险源分布等功能。</w:t>
      </w:r>
    </w:p>
    <w:p w14:paraId="474A6748">
      <w:pPr>
        <w:pStyle w:val="7"/>
        <w:numPr>
          <w:ilvl w:val="4"/>
          <w:numId w:val="37"/>
        </w:numPr>
        <w:spacing w:line="240" w:lineRule="auto"/>
        <w:rPr>
          <w:color w:val="auto"/>
        </w:rPr>
      </w:pPr>
      <w:r>
        <w:rPr>
          <w:rFonts w:hint="eastAsia"/>
          <w:color w:val="auto"/>
        </w:rPr>
        <w:t>市政公用设施监测</w:t>
      </w:r>
    </w:p>
    <w:p w14:paraId="2761FFE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城市道路、下水道、隧道、自来水管网、煤气、天然气、电力管网等基础设施（或称市政设施），是充分发挥城市载体功能的先决条件，也是发挥城市综合功能的基础，是城市经济、科技、社会发展水平高低的重要标志，也是城市防灾、救灾的必要保证。市政基础设施的管理养护工作直接体现城市的管理水平，其对城市人民的生活和城市可持续发展的重要性是不言而喻的。</w:t>
      </w:r>
    </w:p>
    <w:p w14:paraId="0E486EB0">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市政设施分布监控</w:t>
      </w:r>
    </w:p>
    <w:p w14:paraId="7EADF76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基于地理信息时空平台对市政基础设施资源进行管理，支持分类、分区域查看各类市政设施的分布情况，并进行数量统计。</w:t>
      </w:r>
    </w:p>
    <w:p w14:paraId="0FF21B1F">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市政设施运行监控</w:t>
      </w:r>
    </w:p>
    <w:p w14:paraId="652B69A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市政设施运行监控实现路灯、供水等市政公用行业设施运行方面的指标数据的综合分析，包括基础设施监测、供水水质监测等信息进行综合展示，将分析结果展现为市政管理“驾驶舱”，作为预测预警或事件处置的依据。包括基础设施监测、供水水质监测。</w:t>
      </w:r>
    </w:p>
    <w:p w14:paraId="04C9EFEA">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市政设施监测预警</w:t>
      </w:r>
    </w:p>
    <w:p w14:paraId="236268F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将市政各业务安全运行指标数据进行综合展示，动态掌握市政设施实时运行状态，准确地统计任意时间各行业的运行情况，任意时间监测信息的曲线流量图和曲线走势图，预测未来一段时间的运行情况，实现对市政设施运行体征的总体监测和预测预警。</w:t>
      </w:r>
    </w:p>
    <w:p w14:paraId="6F50432F">
      <w:pPr>
        <w:pStyle w:val="7"/>
        <w:numPr>
          <w:ilvl w:val="4"/>
          <w:numId w:val="37"/>
        </w:numPr>
        <w:spacing w:line="240" w:lineRule="auto"/>
        <w:rPr>
          <w:color w:val="auto"/>
        </w:rPr>
      </w:pPr>
      <w:r>
        <w:rPr>
          <w:rFonts w:hint="eastAsia"/>
          <w:color w:val="auto"/>
        </w:rPr>
        <w:t>市容环卫预警</w:t>
      </w:r>
    </w:p>
    <w:p w14:paraId="0DA230F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依托大数据分析技术对汇聚的城市环境卫生管理所涉及到的人、车、物、事数据进行分析预警，用数字评估优化城市环卫管理工作实效；同时，充分依托移动互联技术为市民提供多种便民利民服务，激发市民参与城市管理的热情，打造全民环卫的新型城市管理模式。</w:t>
      </w:r>
    </w:p>
    <w:p w14:paraId="5D14F2B4">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环卫设施分布预警</w:t>
      </w:r>
    </w:p>
    <w:p w14:paraId="47798AD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对接市城管委环卫平台，实现对汇聚的垃圾桶、垃圾收集点、垃圾中转站、公共厕所等环卫设施相关数据进行统计分析，实现监测管理。</w:t>
      </w:r>
    </w:p>
    <w:p w14:paraId="67F59ECF">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环卫车辆预警</w:t>
      </w:r>
    </w:p>
    <w:p w14:paraId="3AEBDAA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对接市城管委相关业务系统有关环卫车辆的数据，实现环卫车辆数据统计分析和预警。</w:t>
      </w:r>
    </w:p>
    <w:p w14:paraId="62165851">
      <w:pPr>
        <w:keepNext/>
        <w:keepLines/>
        <w:numPr>
          <w:ilvl w:val="5"/>
          <w:numId w:val="37"/>
        </w:numPr>
        <w:outlineLvl w:val="5"/>
        <w:rPr>
          <w:rFonts w:ascii="宋体" w:hAnsi="宋体" w:cs="宋体"/>
          <w:color w:val="auto"/>
          <w:sz w:val="28"/>
          <w:szCs w:val="28"/>
        </w:rPr>
      </w:pPr>
      <w:r>
        <w:rPr>
          <w:rFonts w:ascii="宋体" w:hAnsi="宋体" w:cs="宋体"/>
          <w:color w:val="auto"/>
          <w:sz w:val="28"/>
          <w:szCs w:val="28"/>
        </w:rPr>
        <w:t>环卫视频</w:t>
      </w:r>
      <w:r>
        <w:rPr>
          <w:rFonts w:hint="eastAsia" w:ascii="宋体" w:hAnsi="宋体" w:cs="宋体"/>
          <w:color w:val="auto"/>
          <w:sz w:val="28"/>
          <w:szCs w:val="28"/>
        </w:rPr>
        <w:t>预警</w:t>
      </w:r>
    </w:p>
    <w:p w14:paraId="1501DCC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通过视频监控实现对重要环卫设施、重要环卫地点、重要环卫对象的监控预警，及时准确掌握监控对象工作情况。</w:t>
      </w:r>
    </w:p>
    <w:p w14:paraId="6D22014B">
      <w:pPr>
        <w:keepNext/>
        <w:keepLines/>
        <w:numPr>
          <w:ilvl w:val="5"/>
          <w:numId w:val="37"/>
        </w:numPr>
        <w:outlineLvl w:val="5"/>
        <w:rPr>
          <w:rFonts w:ascii="宋体" w:hAnsi="宋体" w:cs="宋体"/>
          <w:color w:val="auto"/>
          <w:sz w:val="28"/>
          <w:szCs w:val="28"/>
        </w:rPr>
      </w:pPr>
      <w:r>
        <w:rPr>
          <w:rFonts w:ascii="宋体" w:hAnsi="宋体" w:cs="宋体"/>
          <w:color w:val="auto"/>
          <w:sz w:val="28"/>
          <w:szCs w:val="28"/>
        </w:rPr>
        <w:t>环卫人员</w:t>
      </w:r>
      <w:r>
        <w:rPr>
          <w:rFonts w:hint="eastAsia" w:ascii="宋体" w:hAnsi="宋体" w:cs="宋体"/>
          <w:color w:val="auto"/>
          <w:sz w:val="28"/>
          <w:szCs w:val="28"/>
        </w:rPr>
        <w:t>预警</w:t>
      </w:r>
    </w:p>
    <w:p w14:paraId="4B9434E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统计分析环卫作业人员信息台账、人员上岗情况等信息，实现异常情况预警。</w:t>
      </w:r>
    </w:p>
    <w:p w14:paraId="6DDC29FA">
      <w:pPr>
        <w:keepNext/>
        <w:keepLines/>
        <w:numPr>
          <w:ilvl w:val="4"/>
          <w:numId w:val="62"/>
        </w:numPr>
        <w:adjustRightInd w:val="0"/>
        <w:outlineLvl w:val="4"/>
        <w:rPr>
          <w:rFonts w:ascii="宋体" w:hAnsi="宋体"/>
          <w:color w:val="auto"/>
          <w:sz w:val="28"/>
        </w:rPr>
      </w:pPr>
      <w:r>
        <w:rPr>
          <w:rFonts w:hint="eastAsia" w:ascii="宋体" w:hAnsi="宋体"/>
          <w:color w:val="auto"/>
          <w:sz w:val="28"/>
        </w:rPr>
        <w:t>园林绿化预警</w:t>
      </w:r>
    </w:p>
    <w:p w14:paraId="4E9C82D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通过对接福州市大数据平台，获取市政园林绿化基础数据，进行多维度分析，实现对社区公园、街头游园、郊野公园、绿道绿廊等市政园林设施的设施详情、责任单位、运行情况可视化展示，预警预测。</w:t>
      </w:r>
    </w:p>
    <w:p w14:paraId="4AB844ED">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lang w:eastAsia="zh-Hans"/>
        </w:rPr>
        <w:t>公园综合</w:t>
      </w:r>
      <w:r>
        <w:rPr>
          <w:rFonts w:hint="eastAsia" w:ascii="宋体" w:hAnsi="宋体" w:cs="宋体"/>
          <w:color w:val="auto"/>
          <w:sz w:val="28"/>
          <w:szCs w:val="28"/>
        </w:rPr>
        <w:t>预警</w:t>
      </w:r>
    </w:p>
    <w:p w14:paraId="6B9FCFD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lang w:eastAsia="zh-Hans"/>
        </w:rPr>
        <w:t>对社区公园、街头游园、郊野公园等市政园林设施</w:t>
      </w:r>
      <w:r>
        <w:rPr>
          <w:rFonts w:hint="eastAsia" w:cs="宋体" w:asciiTheme="majorEastAsia" w:hAnsiTheme="majorEastAsia" w:eastAsiaTheme="majorEastAsia"/>
          <w:color w:val="auto"/>
          <w:sz w:val="24"/>
          <w:szCs w:val="21"/>
        </w:rPr>
        <w:t>情况</w:t>
      </w:r>
      <w:r>
        <w:rPr>
          <w:rFonts w:hint="eastAsia" w:cs="宋体" w:asciiTheme="majorEastAsia" w:hAnsiTheme="majorEastAsia" w:eastAsiaTheme="majorEastAsia"/>
          <w:color w:val="auto"/>
          <w:sz w:val="24"/>
          <w:szCs w:val="21"/>
          <w:lang w:eastAsia="zh-Hans"/>
        </w:rPr>
        <w:t>进行</w:t>
      </w:r>
      <w:r>
        <w:rPr>
          <w:rFonts w:hint="eastAsia" w:cs="宋体" w:asciiTheme="majorEastAsia" w:hAnsiTheme="majorEastAsia" w:eastAsiaTheme="majorEastAsia"/>
          <w:color w:val="auto"/>
          <w:sz w:val="24"/>
          <w:szCs w:val="21"/>
        </w:rPr>
        <w:t>统计分析预警</w:t>
      </w:r>
      <w:r>
        <w:rPr>
          <w:rFonts w:hint="eastAsia" w:cs="宋体" w:asciiTheme="majorEastAsia" w:hAnsiTheme="majorEastAsia" w:eastAsiaTheme="majorEastAsia"/>
          <w:color w:val="auto"/>
          <w:sz w:val="24"/>
          <w:szCs w:val="21"/>
          <w:lang w:eastAsia="zh-Hans"/>
        </w:rPr>
        <w:t>，包括公园数量、公园选址、绿地面积、绿化覆盖率</w:t>
      </w:r>
      <w:r>
        <w:rPr>
          <w:rFonts w:hint="eastAsia" w:cs="宋体" w:asciiTheme="majorEastAsia" w:hAnsiTheme="majorEastAsia" w:eastAsiaTheme="majorEastAsia"/>
          <w:color w:val="auto"/>
          <w:sz w:val="24"/>
          <w:szCs w:val="21"/>
        </w:rPr>
        <w:t>、入园人数等</w:t>
      </w:r>
      <w:r>
        <w:rPr>
          <w:rFonts w:hint="eastAsia" w:cs="宋体" w:asciiTheme="majorEastAsia" w:hAnsiTheme="majorEastAsia" w:eastAsiaTheme="majorEastAsia"/>
          <w:color w:val="auto"/>
          <w:sz w:val="24"/>
          <w:szCs w:val="21"/>
          <w:lang w:eastAsia="zh-Hans"/>
        </w:rPr>
        <w:t>。</w:t>
      </w:r>
    </w:p>
    <w:p w14:paraId="1E107E23">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违法建设预警</w:t>
      </w:r>
    </w:p>
    <w:p w14:paraId="6E79413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针对绿线范围违法建设、绿地系统规划实施和古树名木保护等情况进行统计分析预警。</w:t>
      </w:r>
    </w:p>
    <w:p w14:paraId="49E8E1CA">
      <w:pPr>
        <w:keepNext/>
        <w:keepLines/>
        <w:numPr>
          <w:ilvl w:val="5"/>
          <w:numId w:val="37"/>
        </w:numPr>
        <w:outlineLvl w:val="5"/>
        <w:rPr>
          <w:rFonts w:ascii="宋体" w:hAnsi="宋体" w:cs="宋体"/>
          <w:color w:val="auto"/>
          <w:sz w:val="28"/>
          <w:szCs w:val="28"/>
        </w:rPr>
      </w:pPr>
      <w:r>
        <w:rPr>
          <w:rFonts w:ascii="宋体" w:hAnsi="宋体" w:cs="宋体"/>
          <w:color w:val="auto"/>
          <w:sz w:val="28"/>
          <w:szCs w:val="28"/>
        </w:rPr>
        <w:t>园林养护监测</w:t>
      </w:r>
    </w:p>
    <w:p w14:paraId="3C3D134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将养护地块作为园林养护管理基本单元，将所有的养护地块精准上图，支持查看养护地块的问题汇总、作业情况等。</w:t>
      </w:r>
    </w:p>
    <w:p w14:paraId="68BFCCAE">
      <w:pPr>
        <w:keepNext/>
        <w:keepLines/>
        <w:numPr>
          <w:ilvl w:val="5"/>
          <w:numId w:val="37"/>
        </w:numPr>
        <w:outlineLvl w:val="5"/>
        <w:rPr>
          <w:rFonts w:ascii="宋体" w:hAnsi="宋体" w:cs="宋体"/>
          <w:color w:val="auto"/>
          <w:sz w:val="28"/>
          <w:szCs w:val="28"/>
        </w:rPr>
      </w:pPr>
      <w:r>
        <w:rPr>
          <w:rFonts w:ascii="宋体" w:hAnsi="宋体" w:cs="宋体"/>
          <w:color w:val="auto"/>
          <w:sz w:val="28"/>
          <w:szCs w:val="28"/>
        </w:rPr>
        <w:t>园林事件监测</w:t>
      </w:r>
    </w:p>
    <w:p w14:paraId="43EFC4E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整合日常巡查、领导批示、媒体曝光、公众举报等多种园林事件发现渠道，全面掌握园林事件发生情况，提高城市园林绿化监管水平。</w:t>
      </w:r>
    </w:p>
    <w:p w14:paraId="736CC291">
      <w:pPr>
        <w:keepNext/>
        <w:keepLines/>
        <w:numPr>
          <w:ilvl w:val="4"/>
          <w:numId w:val="62"/>
        </w:numPr>
        <w:adjustRightInd w:val="0"/>
        <w:outlineLvl w:val="4"/>
        <w:rPr>
          <w:rFonts w:ascii="宋体" w:hAnsi="宋体"/>
          <w:color w:val="auto"/>
          <w:sz w:val="28"/>
        </w:rPr>
      </w:pPr>
      <w:r>
        <w:rPr>
          <w:rFonts w:hint="eastAsia" w:ascii="宋体" w:hAnsi="宋体"/>
          <w:color w:val="auto"/>
          <w:sz w:val="28"/>
        </w:rPr>
        <w:t>城市管理执法监测</w:t>
      </w:r>
    </w:p>
    <w:p w14:paraId="6E5B8A1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对接城管执法相关业务平台，建立上下联动、横向贯通的城市综合执法业务监测预警应用，实现执法人员、渣土车、两违整治、街面停车等专项问题的监测预警管理。助力落实高效的日常巡检防控与调度指挥有机结合的信息化处理机制，实现执法流程全环闭、指挥调度全时段。</w:t>
      </w:r>
    </w:p>
    <w:p w14:paraId="6F1BB9AA">
      <w:pPr>
        <w:keepNext/>
        <w:keepLines/>
        <w:numPr>
          <w:ilvl w:val="5"/>
          <w:numId w:val="37"/>
        </w:numPr>
        <w:outlineLvl w:val="5"/>
        <w:rPr>
          <w:rFonts w:ascii="宋体" w:hAnsi="宋体" w:cs="宋体"/>
          <w:color w:val="auto"/>
          <w:sz w:val="28"/>
          <w:szCs w:val="28"/>
        </w:rPr>
      </w:pPr>
      <w:r>
        <w:rPr>
          <w:rFonts w:ascii="宋体" w:hAnsi="宋体" w:cs="宋体"/>
          <w:color w:val="auto"/>
          <w:sz w:val="28"/>
          <w:szCs w:val="28"/>
        </w:rPr>
        <w:t>视频</w:t>
      </w:r>
      <w:r>
        <w:rPr>
          <w:rFonts w:hint="eastAsia" w:ascii="宋体" w:hAnsi="宋体" w:cs="宋体"/>
          <w:color w:val="auto"/>
          <w:sz w:val="28"/>
          <w:szCs w:val="28"/>
        </w:rPr>
        <w:t>监测</w:t>
      </w:r>
      <w:r>
        <w:rPr>
          <w:rFonts w:ascii="宋体" w:hAnsi="宋体" w:cs="宋体"/>
          <w:color w:val="auto"/>
          <w:sz w:val="28"/>
          <w:szCs w:val="28"/>
        </w:rPr>
        <w:t>预警</w:t>
      </w:r>
    </w:p>
    <w:p w14:paraId="69BBC7B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福州市时空信息平台获取全市布控的移动点视频监控，方便工作人员在处理问题时可以调用视频显示现场周边情况，及时准确的掌握所监视路口、路段周围的市政、交通、治安、违章停车等情况，为指挥判断提供迅速直观的信息，从而对各类问题作出准确判断并及时响应。</w:t>
      </w:r>
    </w:p>
    <w:p w14:paraId="22C02303">
      <w:pPr>
        <w:keepNext/>
        <w:keepLines/>
        <w:numPr>
          <w:ilvl w:val="5"/>
          <w:numId w:val="37"/>
        </w:numPr>
        <w:outlineLvl w:val="5"/>
        <w:rPr>
          <w:rFonts w:ascii="宋体" w:hAnsi="宋体" w:cs="宋体"/>
          <w:color w:val="auto"/>
          <w:sz w:val="28"/>
          <w:szCs w:val="28"/>
        </w:rPr>
      </w:pPr>
      <w:r>
        <w:rPr>
          <w:rFonts w:ascii="宋体" w:hAnsi="宋体" w:cs="宋体"/>
          <w:color w:val="auto"/>
          <w:sz w:val="28"/>
          <w:szCs w:val="28"/>
        </w:rPr>
        <w:t>移动执法处置</w:t>
      </w:r>
      <w:r>
        <w:rPr>
          <w:rFonts w:hint="eastAsia" w:ascii="宋体" w:hAnsi="宋体" w:cs="宋体"/>
          <w:color w:val="auto"/>
          <w:sz w:val="28"/>
          <w:szCs w:val="28"/>
        </w:rPr>
        <w:t>监控</w:t>
      </w:r>
    </w:p>
    <w:p w14:paraId="2BF3D33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执法人员需要对现场取证时，在通过移动终端的拍照、摄像功能，拍摄照片、录像、并制作现场勘验记录，同时对证据上传到后台进行监测。</w:t>
      </w:r>
    </w:p>
    <w:p w14:paraId="002F3210">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执法处置督查监控</w:t>
      </w:r>
    </w:p>
    <w:p w14:paraId="18948E41">
      <w:pPr>
        <w:spacing w:before="159" w:after="159"/>
        <w:ind w:firstLine="480"/>
        <w:rPr>
          <w:rFonts w:ascii="宋体" w:hAnsi="宋体"/>
          <w:color w:val="auto"/>
        </w:rPr>
      </w:pPr>
      <w:r>
        <w:rPr>
          <w:rFonts w:hint="eastAsia" w:ascii="宋体" w:hAnsi="宋体"/>
          <w:color w:val="auto"/>
        </w:rPr>
        <w:t>通过对执法处置进行督查管理</w:t>
      </w:r>
      <w:r>
        <w:rPr>
          <w:rFonts w:hint="eastAsia" w:ascii="宋体" w:hAnsi="宋体"/>
          <w:color w:val="auto"/>
          <w:lang w:eastAsia="zh-Hans"/>
        </w:rPr>
        <w:t>，</w:t>
      </w:r>
      <w:r>
        <w:rPr>
          <w:rFonts w:hint="eastAsia" w:ascii="宋体" w:hAnsi="宋体"/>
          <w:color w:val="auto"/>
        </w:rPr>
        <w:t>及时发现执法过程中存在的问题并及时进行改进和优化，与执法形成完整的闭环，促进整个执法工作能够健康运行。</w:t>
      </w:r>
    </w:p>
    <w:p w14:paraId="0AFB28D3">
      <w:pPr>
        <w:keepNext/>
        <w:keepLines/>
        <w:numPr>
          <w:ilvl w:val="5"/>
          <w:numId w:val="37"/>
        </w:numPr>
        <w:outlineLvl w:val="5"/>
        <w:rPr>
          <w:rFonts w:ascii="宋体" w:hAnsi="宋体" w:cs="宋体"/>
          <w:color w:val="auto"/>
          <w:sz w:val="28"/>
          <w:szCs w:val="28"/>
        </w:rPr>
      </w:pPr>
      <w:r>
        <w:rPr>
          <w:rFonts w:ascii="宋体" w:hAnsi="宋体" w:cs="宋体"/>
          <w:color w:val="auto"/>
          <w:sz w:val="28"/>
          <w:szCs w:val="28"/>
        </w:rPr>
        <w:t>执法车辆监控</w:t>
      </w:r>
    </w:p>
    <w:p w14:paraId="3DA6EE7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执法车辆监控管理实现对装有GPS车载终端的执法车辆等进行定位监控和管理，并结合GIS地理信息系统，实现对车辆的空间可视化管理。</w:t>
      </w:r>
    </w:p>
    <w:p w14:paraId="56C44907">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事件上报来源感知</w:t>
      </w:r>
    </w:p>
    <w:p w14:paraId="608C1D0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展现福州市城市治理事件整体情况的态势监测与预警，用户可查看各类城市治理事件的上报情况。支持用户查询操作，用户可手动选择监测阶段，检索查询对应阶段的城市治理事件详情。</w:t>
      </w:r>
    </w:p>
    <w:p w14:paraId="77140812">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部门处置情况感知</w:t>
      </w:r>
    </w:p>
    <w:p w14:paraId="77B971E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为相关人员提供城市治理事件的部门整体处置情况。</w:t>
      </w:r>
    </w:p>
    <w:p w14:paraId="5CDA4CBB">
      <w:pPr>
        <w:keepNext/>
        <w:keepLines/>
        <w:numPr>
          <w:ilvl w:val="4"/>
          <w:numId w:val="62"/>
        </w:numPr>
        <w:adjustRightInd w:val="0"/>
        <w:outlineLvl w:val="4"/>
        <w:rPr>
          <w:rFonts w:ascii="宋体" w:hAnsi="宋体"/>
          <w:color w:val="auto"/>
          <w:sz w:val="28"/>
        </w:rPr>
      </w:pPr>
      <w:r>
        <w:rPr>
          <w:rFonts w:ascii="宋体" w:hAnsi="宋体"/>
          <w:color w:val="auto"/>
          <w:sz w:val="28"/>
        </w:rPr>
        <w:t>城市管理物联感知</w:t>
      </w:r>
      <w:r>
        <w:rPr>
          <w:rFonts w:hint="eastAsia" w:ascii="宋体" w:hAnsi="宋体"/>
          <w:color w:val="auto"/>
          <w:sz w:val="28"/>
        </w:rPr>
        <w:t>监测</w:t>
      </w:r>
    </w:p>
    <w:p w14:paraId="3C0C007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现有福州市物联感知设备，对接获取各类物联感知数据，实时监测城市每个角落的运行状态。通过获取的“神经元”感知数据，实现对城市管理各个部件的实时监测预警，及时告警城市可能发生的问题和隐患。</w:t>
      </w:r>
    </w:p>
    <w:p w14:paraId="34DD46CF">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井盖安全监测预警</w:t>
      </w:r>
    </w:p>
    <w:p w14:paraId="09CB1BF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对接现有福州市物联设备感知平台相关感知数据，实现对井盖各种异常状态的报警。</w:t>
      </w:r>
    </w:p>
    <w:p w14:paraId="33046147">
      <w:pPr>
        <w:keepNext/>
        <w:keepLines/>
        <w:numPr>
          <w:ilvl w:val="5"/>
          <w:numId w:val="37"/>
        </w:numPr>
        <w:outlineLvl w:val="5"/>
        <w:rPr>
          <w:rFonts w:ascii="宋体" w:hAnsi="宋体" w:cs="宋体"/>
          <w:color w:val="auto"/>
          <w:sz w:val="28"/>
          <w:szCs w:val="28"/>
        </w:rPr>
      </w:pPr>
      <w:r>
        <w:rPr>
          <w:rFonts w:ascii="宋体" w:hAnsi="宋体" w:cs="宋体"/>
          <w:color w:val="auto"/>
          <w:sz w:val="28"/>
          <w:szCs w:val="28"/>
        </w:rPr>
        <w:t>城市内涝监测预警</w:t>
      </w:r>
    </w:p>
    <w:p w14:paraId="5CF2189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与福州市联排联调中心、排水公司、防汛办等信息系统对接，实现对城市防汛排涝的综合监测，助力各信息系统全面掌握城市排水现状、及时采取防汛排涝措施，实现对城市内涝的全方位监控和全局化调度管理。</w:t>
      </w:r>
    </w:p>
    <w:p w14:paraId="552FB791">
      <w:pPr>
        <w:keepNext/>
        <w:keepLines/>
        <w:numPr>
          <w:ilvl w:val="5"/>
          <w:numId w:val="37"/>
        </w:numPr>
        <w:outlineLvl w:val="5"/>
        <w:rPr>
          <w:rFonts w:ascii="宋体" w:hAnsi="宋体" w:cs="宋体"/>
          <w:color w:val="auto"/>
          <w:sz w:val="28"/>
          <w:szCs w:val="28"/>
        </w:rPr>
      </w:pPr>
      <w:r>
        <w:rPr>
          <w:rFonts w:ascii="宋体" w:hAnsi="宋体" w:cs="宋体"/>
          <w:color w:val="auto"/>
          <w:sz w:val="28"/>
          <w:szCs w:val="28"/>
        </w:rPr>
        <w:t>噪声</w:t>
      </w:r>
      <w:r>
        <w:rPr>
          <w:rFonts w:hint="eastAsia" w:ascii="宋体" w:hAnsi="宋体" w:cs="宋体"/>
          <w:color w:val="auto"/>
          <w:sz w:val="28"/>
          <w:szCs w:val="28"/>
          <w:lang w:eastAsia="zh-Hans"/>
        </w:rPr>
        <w:t>环境</w:t>
      </w:r>
      <w:r>
        <w:rPr>
          <w:rFonts w:ascii="宋体" w:hAnsi="宋体" w:cs="宋体"/>
          <w:color w:val="auto"/>
          <w:sz w:val="28"/>
          <w:szCs w:val="28"/>
        </w:rPr>
        <w:t>监测预警</w:t>
      </w:r>
    </w:p>
    <w:p w14:paraId="1FF7327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对接重点区域、重点场所的噪音监测平台，通过监测软件设置的告警阈值，实现对各类噪音告警数据的在线监测。</w:t>
      </w:r>
    </w:p>
    <w:p w14:paraId="23F3085B">
      <w:pPr>
        <w:pStyle w:val="8"/>
        <w:numPr>
          <w:ilvl w:val="5"/>
          <w:numId w:val="37"/>
        </w:numPr>
        <w:spacing w:line="240" w:lineRule="auto"/>
        <w:rPr>
          <w:color w:val="auto"/>
        </w:rPr>
      </w:pPr>
      <w:r>
        <w:rPr>
          <w:rFonts w:hint="eastAsia"/>
          <w:color w:val="auto"/>
        </w:rPr>
        <w:t>渣土运输车辆监测预警</w:t>
      </w:r>
    </w:p>
    <w:p w14:paraId="729D150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对接渣土运输车辆信息系统，用户可在GIS地图上直接查看渣土车的实时位置、运行状态，点击图标可查看车辆的基本信息，并能查看到历史运行轨迹回放。用户也可以在地图上直接选定特定区域，查找区域范围内的重点监测目标。</w:t>
      </w:r>
    </w:p>
    <w:p w14:paraId="3E7152BC">
      <w:pPr>
        <w:keepNext/>
        <w:keepLines/>
        <w:numPr>
          <w:ilvl w:val="4"/>
          <w:numId w:val="62"/>
        </w:numPr>
        <w:adjustRightInd w:val="0"/>
        <w:outlineLvl w:val="4"/>
        <w:rPr>
          <w:rFonts w:ascii="宋体" w:hAnsi="宋体"/>
          <w:color w:val="auto"/>
          <w:sz w:val="28"/>
        </w:rPr>
      </w:pPr>
      <w:r>
        <w:rPr>
          <w:rFonts w:ascii="宋体" w:hAnsi="宋体"/>
          <w:color w:val="auto"/>
          <w:sz w:val="28"/>
        </w:rPr>
        <w:t>城市突发事件</w:t>
      </w:r>
      <w:r>
        <w:rPr>
          <w:rFonts w:hint="eastAsia" w:ascii="宋体" w:hAnsi="宋体"/>
          <w:color w:val="auto"/>
          <w:sz w:val="28"/>
        </w:rPr>
        <w:t>监测</w:t>
      </w:r>
    </w:p>
    <w:p w14:paraId="53F8204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利用e福州综合指挥平台应急风险监测数据，与福建省应急综合管理平台对接，实现城市运行各个专业领域城市突发事件的整体态势监测预警管理。</w:t>
      </w:r>
    </w:p>
    <w:p w14:paraId="6EF9E02B">
      <w:pPr>
        <w:pStyle w:val="6"/>
        <w:numPr>
          <w:ilvl w:val="3"/>
          <w:numId w:val="37"/>
        </w:numPr>
        <w:spacing w:line="240" w:lineRule="auto"/>
        <w:rPr>
          <w:color w:val="auto"/>
        </w:rPr>
      </w:pPr>
      <w:r>
        <w:rPr>
          <w:rFonts w:hint="eastAsia"/>
          <w:color w:val="auto"/>
        </w:rPr>
        <w:t>运行监测综合分析</w:t>
      </w:r>
    </w:p>
    <w:p w14:paraId="52837A4E">
      <w:pPr>
        <w:pStyle w:val="7"/>
        <w:numPr>
          <w:ilvl w:val="4"/>
          <w:numId w:val="37"/>
        </w:numPr>
        <w:spacing w:line="240" w:lineRule="auto"/>
        <w:rPr>
          <w:color w:val="auto"/>
        </w:rPr>
      </w:pPr>
      <w:r>
        <w:rPr>
          <w:rFonts w:hint="eastAsia"/>
          <w:color w:val="auto"/>
        </w:rPr>
        <w:t>市政公用设施监测分析</w:t>
      </w:r>
    </w:p>
    <w:p w14:paraId="3FF34E3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建立市政行业数据仓库和数据分析挖掘模型，基于大数据分析引擎和分布式海量数据挖掘技术，对全市市政信息进行多维分析和深度挖掘，为市政行业安全提供数据支持。</w:t>
      </w:r>
    </w:p>
    <w:p w14:paraId="2ABBD50B">
      <w:pPr>
        <w:pStyle w:val="7"/>
        <w:numPr>
          <w:ilvl w:val="4"/>
          <w:numId w:val="37"/>
        </w:numPr>
        <w:spacing w:line="240" w:lineRule="auto"/>
        <w:rPr>
          <w:color w:val="auto"/>
        </w:rPr>
      </w:pPr>
      <w:r>
        <w:rPr>
          <w:rFonts w:hint="eastAsia"/>
          <w:color w:val="auto"/>
        </w:rPr>
        <w:t>市容环卫监测分析</w:t>
      </w:r>
    </w:p>
    <w:p w14:paraId="3A84844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实现对于市容环卫监测各类数据信息进行智能化汇总和分析，制成数字和图形报表，用柱状图和饼状图来显示一目了然、突出重点、全盘分析。</w:t>
      </w:r>
    </w:p>
    <w:p w14:paraId="57D8BABC">
      <w:pPr>
        <w:pStyle w:val="7"/>
        <w:numPr>
          <w:ilvl w:val="4"/>
          <w:numId w:val="37"/>
        </w:numPr>
        <w:spacing w:line="240" w:lineRule="auto"/>
        <w:rPr>
          <w:color w:val="auto"/>
        </w:rPr>
      </w:pPr>
      <w:r>
        <w:rPr>
          <w:rFonts w:hint="eastAsia"/>
          <w:color w:val="auto"/>
        </w:rPr>
        <w:t>园林绿化监测分析</w:t>
      </w:r>
    </w:p>
    <w:p w14:paraId="2650120F">
      <w:pPr>
        <w:keepNext/>
        <w:keepLines/>
        <w:numPr>
          <w:ilvl w:val="5"/>
          <w:numId w:val="37"/>
        </w:numPr>
        <w:outlineLvl w:val="5"/>
        <w:rPr>
          <w:rFonts w:ascii="宋体" w:hAnsi="宋体" w:cs="宋体"/>
          <w:color w:val="auto"/>
          <w:sz w:val="28"/>
          <w:szCs w:val="28"/>
        </w:rPr>
      </w:pPr>
      <w:r>
        <w:rPr>
          <w:rFonts w:ascii="宋体" w:hAnsi="宋体" w:cs="宋体"/>
          <w:color w:val="auto"/>
          <w:sz w:val="28"/>
          <w:szCs w:val="28"/>
        </w:rPr>
        <w:t>园林绿化综合分析</w:t>
      </w:r>
    </w:p>
    <w:p w14:paraId="24604F3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园林绿化综合分析是依据园林景点、风景名胜区、城镇绿地、古树名木等综合数据，利用数据搜索和数据挖掘技术，实现园林绿化的查询、统计、分析、综合评价等功能。</w:t>
      </w:r>
    </w:p>
    <w:p w14:paraId="596013DC">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园林智能决策分析</w:t>
      </w:r>
    </w:p>
    <w:p w14:paraId="2412B8F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基于园林基础数据，提供对园林绿化的多维度决策分析，为园林绿化管理工作的信息化、标准化、动态化提供分析支撑，为城市管理领导决策提供辅助支持。</w:t>
      </w:r>
    </w:p>
    <w:p w14:paraId="59E975DC">
      <w:pPr>
        <w:pStyle w:val="7"/>
        <w:numPr>
          <w:ilvl w:val="4"/>
          <w:numId w:val="37"/>
        </w:numPr>
        <w:spacing w:line="240" w:lineRule="auto"/>
        <w:rPr>
          <w:color w:val="auto"/>
        </w:rPr>
      </w:pPr>
      <w:r>
        <w:rPr>
          <w:rFonts w:hint="eastAsia"/>
          <w:color w:val="auto"/>
        </w:rPr>
        <w:t>城市管理执法监测分析</w:t>
      </w:r>
    </w:p>
    <w:p w14:paraId="286AA170">
      <w:pPr>
        <w:ind w:firstLine="480" w:firstLineChars="200"/>
        <w:rPr>
          <w:rFonts w:cs="宋体" w:asciiTheme="majorEastAsia" w:hAnsiTheme="majorEastAsia" w:eastAsiaTheme="majorEastAsia"/>
          <w:color w:val="auto"/>
          <w:sz w:val="24"/>
          <w:szCs w:val="21"/>
          <w:lang w:val="zh-CN"/>
        </w:rPr>
      </w:pPr>
      <w:r>
        <w:rPr>
          <w:rFonts w:hint="eastAsia" w:cs="宋体" w:asciiTheme="majorEastAsia" w:hAnsiTheme="majorEastAsia" w:eastAsiaTheme="majorEastAsia"/>
          <w:color w:val="auto"/>
          <w:sz w:val="24"/>
          <w:szCs w:val="21"/>
        </w:rPr>
        <w:t>执法监督考核通过集成综合执法应用平台相关业务系统内各种功能与信息，协助用户掌握全市综合执法各类实时动态信息与业务管理资源信息。</w:t>
      </w:r>
    </w:p>
    <w:p w14:paraId="1FBC6794">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执法情况分析</w:t>
      </w:r>
    </w:p>
    <w:p w14:paraId="4F0A11B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执法情况分析包括执法队伍/执法人员/在线人员统计情况、执法业务流程统计情况、高发分析、趋势分析等功能。</w:t>
      </w:r>
    </w:p>
    <w:p w14:paraId="35B19974">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执法在线分析</w:t>
      </w:r>
    </w:p>
    <w:p w14:paraId="6456991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执法在线分析功能包括在线人员实时位置展示、在线人员列表展示、在线人员详情信息展示、全部人员列表展示等功能。</w:t>
      </w:r>
    </w:p>
    <w:p w14:paraId="161662FD">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案件流程分析</w:t>
      </w:r>
    </w:p>
    <w:p w14:paraId="04A3036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案件流程分析实现案件检索、案件列表、案件详情信息查看等功能。</w:t>
      </w:r>
    </w:p>
    <w:p w14:paraId="45E990A6">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执法队伍分析</w:t>
      </w:r>
    </w:p>
    <w:p w14:paraId="0F0AD91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执法队伍分析实现执法机构在编人员数量统计、执法机构处罚案件总数统计、执法机构案件总数、执法人员基础信息展示等功能。</w:t>
      </w:r>
    </w:p>
    <w:p w14:paraId="49DE9DEA">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事件受理趋势分析</w:t>
      </w:r>
    </w:p>
    <w:p w14:paraId="1C36EC9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统计图表、分布图、关系图、空间统计图、空间分布图、空间关系图等多种数据分析图表，展现部门办件受理趋势，以多种维度（每日、每周、每月）统计事件的受理数量及增长趋势，实现多种渠道上报来源的监测分析，为用户决策研判提供全面的数据支持。</w:t>
      </w:r>
    </w:p>
    <w:p w14:paraId="00A9A809">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事件类型分布统计</w:t>
      </w:r>
    </w:p>
    <w:p w14:paraId="24BF3AB9">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统计图表、分布图、关系图、空间统计图、空间分布图、空间关系图等多种数据分析图表，整体展示各大类型的城市治理事件的分布情况，为领导直观的呈现城市治理事件的主要类型与高发区域，提供辅助决策支持。</w:t>
      </w:r>
    </w:p>
    <w:p w14:paraId="125F11C6">
      <w:pPr>
        <w:keepNext/>
        <w:keepLines/>
        <w:numPr>
          <w:ilvl w:val="5"/>
          <w:numId w:val="37"/>
        </w:numPr>
        <w:outlineLvl w:val="5"/>
        <w:rPr>
          <w:rFonts w:ascii="宋体" w:hAnsi="宋体" w:cs="宋体"/>
          <w:color w:val="auto"/>
          <w:sz w:val="28"/>
          <w:szCs w:val="28"/>
        </w:rPr>
      </w:pPr>
      <w:r>
        <w:rPr>
          <w:rFonts w:hint="eastAsia" w:ascii="宋体" w:hAnsi="宋体" w:cs="宋体"/>
          <w:color w:val="auto"/>
          <w:sz w:val="28"/>
          <w:szCs w:val="28"/>
        </w:rPr>
        <w:t>事件区域分布展示</w:t>
      </w:r>
    </w:p>
    <w:p w14:paraId="30CBD3D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统计图表、分布图、关系图、空间统计图、空间分布图、空间关系图等多种数据分析图表，整体展示各个区县、街道城市治理事件受理/办理数量，同时分析展示各个区县、街道城市治理事件的办理及时率与办结率等指标信息。</w:t>
      </w:r>
    </w:p>
    <w:p w14:paraId="59E79BF4">
      <w:pPr>
        <w:pStyle w:val="7"/>
        <w:numPr>
          <w:ilvl w:val="4"/>
          <w:numId w:val="37"/>
        </w:numPr>
        <w:spacing w:line="240" w:lineRule="auto"/>
        <w:rPr>
          <w:color w:val="auto"/>
        </w:rPr>
      </w:pPr>
      <w:r>
        <w:rPr>
          <w:rFonts w:hint="eastAsia"/>
          <w:color w:val="auto"/>
        </w:rPr>
        <w:t>城市管理物联感知监测分析</w:t>
      </w:r>
    </w:p>
    <w:p w14:paraId="07F6BE8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汇聚城市物联网感知设备所取得的井盖信息、内涝信息、噪声在线监测信息，呈现物联网感知设备所取得的相关信息。</w:t>
      </w:r>
    </w:p>
    <w:p w14:paraId="155C8EE4">
      <w:pPr>
        <w:pStyle w:val="8"/>
        <w:numPr>
          <w:ilvl w:val="5"/>
          <w:numId w:val="37"/>
        </w:numPr>
        <w:spacing w:line="240" w:lineRule="auto"/>
        <w:rPr>
          <w:color w:val="auto"/>
        </w:rPr>
      </w:pPr>
      <w:r>
        <w:rPr>
          <w:rFonts w:hint="eastAsia"/>
          <w:color w:val="auto"/>
          <w:lang w:eastAsia="zh-Hans"/>
        </w:rPr>
        <w:t>井盖监测分析</w:t>
      </w:r>
    </w:p>
    <w:p w14:paraId="5556051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lang w:eastAsia="zh-Hans"/>
        </w:rPr>
        <w:t>针对井盖的破损、被盗、重压、井下水位过高等事故损失进行分析，为井盖管理工作提供依据</w:t>
      </w:r>
      <w:r>
        <w:rPr>
          <w:rFonts w:hint="eastAsia" w:cs="宋体" w:asciiTheme="majorEastAsia" w:hAnsiTheme="majorEastAsia" w:eastAsiaTheme="majorEastAsia"/>
          <w:color w:val="auto"/>
          <w:sz w:val="24"/>
          <w:szCs w:val="21"/>
        </w:rPr>
        <w:t>。</w:t>
      </w:r>
    </w:p>
    <w:p w14:paraId="127DE51B">
      <w:pPr>
        <w:pStyle w:val="8"/>
        <w:numPr>
          <w:ilvl w:val="5"/>
          <w:numId w:val="37"/>
        </w:numPr>
        <w:spacing w:line="240" w:lineRule="auto"/>
        <w:rPr>
          <w:color w:val="auto"/>
        </w:rPr>
      </w:pPr>
      <w:r>
        <w:rPr>
          <w:rFonts w:hint="eastAsia"/>
          <w:color w:val="auto"/>
          <w:lang w:eastAsia="zh-Hans"/>
        </w:rPr>
        <w:t>内涝监测分析</w:t>
      </w:r>
    </w:p>
    <w:p w14:paraId="5EC30D7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基于与福州市联排联调中心、排水公司、防汛办等信息系统对接数据，针对排涝运行中的各项指标集中分析，提供历史数据查询及多个安全指标数据对比的功能。</w:t>
      </w:r>
    </w:p>
    <w:p w14:paraId="06FAE2E5">
      <w:pPr>
        <w:pStyle w:val="8"/>
        <w:numPr>
          <w:ilvl w:val="5"/>
          <w:numId w:val="37"/>
        </w:numPr>
        <w:spacing w:line="240" w:lineRule="auto"/>
        <w:rPr>
          <w:color w:val="auto"/>
        </w:rPr>
      </w:pPr>
      <w:r>
        <w:rPr>
          <w:rFonts w:hint="eastAsia"/>
          <w:color w:val="auto"/>
          <w:lang w:eastAsia="zh-Hans"/>
        </w:rPr>
        <w:t>噪声污染监测分析</w:t>
      </w:r>
    </w:p>
    <w:p w14:paraId="2298120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lang w:eastAsia="zh-Hans"/>
        </w:rPr>
        <w:t>针对</w:t>
      </w:r>
      <w:r>
        <w:rPr>
          <w:rFonts w:hint="eastAsia" w:cs="宋体" w:asciiTheme="majorEastAsia" w:hAnsiTheme="majorEastAsia" w:eastAsiaTheme="majorEastAsia"/>
          <w:color w:val="auto"/>
          <w:sz w:val="24"/>
          <w:szCs w:val="21"/>
        </w:rPr>
        <w:t>施工现场</w:t>
      </w:r>
      <w:r>
        <w:rPr>
          <w:rFonts w:hint="eastAsia" w:cs="宋体" w:asciiTheme="majorEastAsia" w:hAnsiTheme="majorEastAsia" w:eastAsiaTheme="majorEastAsia"/>
          <w:color w:val="auto"/>
          <w:sz w:val="24"/>
          <w:szCs w:val="21"/>
          <w:lang w:eastAsia="zh-Hans"/>
        </w:rPr>
        <w:t>进行噪声污染</w:t>
      </w:r>
      <w:r>
        <w:rPr>
          <w:rFonts w:hint="eastAsia" w:cs="宋体" w:asciiTheme="majorEastAsia" w:hAnsiTheme="majorEastAsia" w:eastAsiaTheme="majorEastAsia"/>
          <w:color w:val="auto"/>
          <w:sz w:val="24"/>
          <w:szCs w:val="21"/>
        </w:rPr>
        <w:t>数据分析。</w:t>
      </w:r>
    </w:p>
    <w:p w14:paraId="14F66FCE">
      <w:pPr>
        <w:pStyle w:val="8"/>
        <w:numPr>
          <w:ilvl w:val="5"/>
          <w:numId w:val="37"/>
        </w:numPr>
        <w:spacing w:line="240" w:lineRule="auto"/>
        <w:rPr>
          <w:color w:val="auto"/>
        </w:rPr>
      </w:pPr>
      <w:r>
        <w:rPr>
          <w:rFonts w:hint="eastAsia"/>
          <w:color w:val="auto"/>
        </w:rPr>
        <w:t>渣土运输车辆</w:t>
      </w:r>
      <w:r>
        <w:rPr>
          <w:rFonts w:hint="eastAsia"/>
          <w:color w:val="auto"/>
          <w:lang w:eastAsia="zh-Hans"/>
        </w:rPr>
        <w:t>运行分析</w:t>
      </w:r>
    </w:p>
    <w:p w14:paraId="4DF9511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lang w:eastAsia="zh-Hans"/>
        </w:rPr>
        <w:t>通过渣土车的实时及历史数据，进行车辆运行分析，便于车辆运行管理。</w:t>
      </w:r>
    </w:p>
    <w:p w14:paraId="0C05ADA1">
      <w:pPr>
        <w:pStyle w:val="7"/>
        <w:numPr>
          <w:ilvl w:val="4"/>
          <w:numId w:val="37"/>
        </w:numPr>
        <w:spacing w:line="240" w:lineRule="auto"/>
        <w:rPr>
          <w:color w:val="auto"/>
        </w:rPr>
      </w:pPr>
      <w:r>
        <w:rPr>
          <w:rFonts w:hint="eastAsia"/>
          <w:color w:val="auto"/>
        </w:rPr>
        <w:t>城市突发事件监测分析</w:t>
      </w:r>
    </w:p>
    <w:p w14:paraId="09347AF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提供统计图表、分布图、关系图、空间统计图、空间分布图、空间关系图等多种数据分析图表，整体展示各类突发事件的数量，同时分析展示各类事件的数量变化趋势。</w:t>
      </w:r>
    </w:p>
    <w:p w14:paraId="45C61998">
      <w:pPr>
        <w:pStyle w:val="7"/>
        <w:numPr>
          <w:ilvl w:val="4"/>
          <w:numId w:val="37"/>
        </w:numPr>
        <w:spacing w:line="240" w:lineRule="auto"/>
        <w:rPr>
          <w:color w:val="auto"/>
        </w:rPr>
      </w:pPr>
      <w:r>
        <w:rPr>
          <w:rFonts w:hint="eastAsia"/>
          <w:color w:val="auto"/>
        </w:rPr>
        <w:t>食品安全专题分析</w:t>
      </w:r>
    </w:p>
    <w:p w14:paraId="28E646F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对食品安全事故的事故类型、影响范围、预案处置流程和现场情况进行多维度分析，以GIS和分析图表结合的方式进行可视化展示。</w:t>
      </w:r>
    </w:p>
    <w:p w14:paraId="20AC371B">
      <w:pPr>
        <w:pStyle w:val="6"/>
        <w:numPr>
          <w:ilvl w:val="3"/>
          <w:numId w:val="37"/>
        </w:numPr>
        <w:spacing w:line="240" w:lineRule="auto"/>
        <w:rPr>
          <w:color w:val="auto"/>
        </w:rPr>
      </w:pPr>
      <w:r>
        <w:rPr>
          <w:rFonts w:hint="eastAsia"/>
          <w:color w:val="auto"/>
        </w:rPr>
        <w:t>监测信息管理</w:t>
      </w:r>
    </w:p>
    <w:p w14:paraId="02F47F83">
      <w:pPr>
        <w:pStyle w:val="7"/>
        <w:numPr>
          <w:ilvl w:val="4"/>
          <w:numId w:val="37"/>
        </w:numPr>
        <w:spacing w:line="240" w:lineRule="auto"/>
        <w:rPr>
          <w:color w:val="auto"/>
        </w:rPr>
      </w:pPr>
      <w:r>
        <w:rPr>
          <w:rFonts w:hint="eastAsia"/>
          <w:color w:val="auto"/>
        </w:rPr>
        <w:t>监测信息分类管理</w:t>
      </w:r>
    </w:p>
    <w:p w14:paraId="7E4AF73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实现对各业务场景获取的信息资源分级、分类进行整理，形成统一的监测信息目录，为监测预警、综合分析、信息查询等功能提供服务，方便信息资源的检索、定位、获取、加工。</w:t>
      </w:r>
    </w:p>
    <w:p w14:paraId="2906ED34">
      <w:pPr>
        <w:pStyle w:val="7"/>
        <w:numPr>
          <w:ilvl w:val="4"/>
          <w:numId w:val="37"/>
        </w:numPr>
        <w:spacing w:line="240" w:lineRule="auto"/>
        <w:rPr>
          <w:color w:val="auto"/>
        </w:rPr>
      </w:pPr>
      <w:r>
        <w:rPr>
          <w:rFonts w:hint="eastAsia"/>
          <w:color w:val="auto"/>
        </w:rPr>
        <w:t>监测信息更新维护</w:t>
      </w:r>
    </w:p>
    <w:p w14:paraId="6CA4132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为保持数据的现势性，平台提供按区域、按类别的数据动态更新。</w:t>
      </w:r>
    </w:p>
    <w:p w14:paraId="2C0D11D5">
      <w:pPr>
        <w:pStyle w:val="7"/>
        <w:numPr>
          <w:ilvl w:val="4"/>
          <w:numId w:val="37"/>
        </w:numPr>
        <w:spacing w:line="240" w:lineRule="auto"/>
        <w:rPr>
          <w:color w:val="auto"/>
        </w:rPr>
      </w:pPr>
      <w:r>
        <w:rPr>
          <w:rFonts w:hint="eastAsia"/>
          <w:color w:val="auto"/>
        </w:rPr>
        <w:t>监测信息详情</w:t>
      </w:r>
    </w:p>
    <w:p w14:paraId="7A61690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汇聚的行业应用数据，实现对监测信息进行关联整理，通过分类标签可调用相关业务数据详细信息。</w:t>
      </w:r>
    </w:p>
    <w:p w14:paraId="6C42C0E1">
      <w:pPr>
        <w:pStyle w:val="7"/>
        <w:numPr>
          <w:ilvl w:val="4"/>
          <w:numId w:val="37"/>
        </w:numPr>
        <w:spacing w:line="240" w:lineRule="auto"/>
        <w:rPr>
          <w:color w:val="auto"/>
        </w:rPr>
      </w:pPr>
      <w:r>
        <w:rPr>
          <w:rFonts w:hint="eastAsia"/>
          <w:color w:val="auto"/>
        </w:rPr>
        <w:t>监测信息综合查询</w:t>
      </w:r>
    </w:p>
    <w:p w14:paraId="24CE36A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基于已归集汇聚行业应用数据，可以按区域、行业进行查询，也可以输入关键字进行查询，同时可以对预警信息、统计分析等进行多维度查询。</w:t>
      </w:r>
    </w:p>
    <w:p w14:paraId="77D0B08C">
      <w:pPr>
        <w:pStyle w:val="6"/>
        <w:numPr>
          <w:ilvl w:val="3"/>
          <w:numId w:val="37"/>
        </w:numPr>
        <w:spacing w:line="240" w:lineRule="auto"/>
        <w:rPr>
          <w:color w:val="auto"/>
        </w:rPr>
      </w:pPr>
      <w:r>
        <w:rPr>
          <w:rFonts w:hint="eastAsia"/>
          <w:color w:val="auto"/>
        </w:rPr>
        <w:t>风险排查</w:t>
      </w:r>
    </w:p>
    <w:p w14:paraId="6F13A55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以排查整治流程为干线，快速排查和复查风险隐患情况；对隐患排查整治信息及时、有效地进行跟踪、整改，并将统计数据及时上报，形成各级政府、监管职能部门、社区协同工作的“群防群控”应用体系。完整保存隐患排查治理流程中所有过程记录和图片、音频、视频等附件资料，通过网络进行流转，实现信息传递的零延误，打破办公空间限制，用户可以实现随时随地进行风险排查管理工作，大大提高了风险隐患信息获取和处理的及时性。具备接收城市运行风险和隐患信息、出现突发事件时发送相关预警和应急疏散信息等功能。</w:t>
      </w:r>
    </w:p>
    <w:p w14:paraId="32255551">
      <w:pPr>
        <w:pStyle w:val="7"/>
        <w:numPr>
          <w:ilvl w:val="4"/>
          <w:numId w:val="37"/>
        </w:numPr>
        <w:spacing w:line="240" w:lineRule="auto"/>
        <w:rPr>
          <w:color w:val="auto"/>
        </w:rPr>
      </w:pPr>
      <w:r>
        <w:rPr>
          <w:rFonts w:hint="eastAsia"/>
          <w:color w:val="auto"/>
        </w:rPr>
        <w:t>巡查检查</w:t>
      </w:r>
    </w:p>
    <w:p w14:paraId="0EAA434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城市运行监测对象所涉及的运行安全事项进行分级分类管理，制定巡查和检查计划，并通过移动端应用程序对运行安全事项进行日常巡查和技术检查，将发现的安全风险隐患问题进行及时上报，并进行排查态势分析。</w:t>
      </w:r>
    </w:p>
    <w:p w14:paraId="75E14501">
      <w:pPr>
        <w:keepNext/>
        <w:keepLines/>
        <w:numPr>
          <w:ilvl w:val="5"/>
          <w:numId w:val="37"/>
        </w:numPr>
        <w:ind w:left="-931" w:firstLine="560"/>
        <w:outlineLvl w:val="5"/>
        <w:rPr>
          <w:rFonts w:cs="宋体" w:asciiTheme="majorEastAsia" w:hAnsiTheme="majorEastAsia" w:eastAsiaTheme="majorEastAsia"/>
          <w:color w:val="auto"/>
          <w:sz w:val="28"/>
          <w:szCs w:val="28"/>
        </w:rPr>
      </w:pPr>
      <w:r>
        <w:rPr>
          <w:rFonts w:cs="宋体" w:asciiTheme="majorEastAsia" w:hAnsiTheme="majorEastAsia" w:eastAsiaTheme="majorEastAsia"/>
          <w:color w:val="auto"/>
          <w:sz w:val="28"/>
          <w:szCs w:val="28"/>
        </w:rPr>
        <w:t>隐患上报</w:t>
      </w:r>
    </w:p>
    <w:p w14:paraId="2812C29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城市管理相关部门应建立隐患自查自纠制度，明确排查主体，构建检查体系，明确各项检查要素的检查主体和监督主体强化日常安全检查的基础作用，定期组织本单位相关人员按照隐患排查制度排查城市风险隐患事件，对排查出的事件/问题隐患进行登记，并通过系统向监管部门上报，上报过程中可根据上级要求选定重点隐患（初步设定为一段时间内前十大隐患，部门自行评定）上报至上级部门，上级部门对下级部门上报重点隐患信息可查看并选择督办。</w:t>
      </w:r>
    </w:p>
    <w:p w14:paraId="1AA0626D">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cs="宋体" w:asciiTheme="majorEastAsia" w:hAnsiTheme="majorEastAsia" w:eastAsiaTheme="majorEastAsia"/>
          <w:color w:val="auto"/>
          <w:sz w:val="28"/>
          <w:szCs w:val="28"/>
        </w:rPr>
        <w:t>隐患信息登记</w:t>
      </w:r>
    </w:p>
    <w:p w14:paraId="3CB1CB7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实现各个监管部门的风险隐患排查登记管理功能，将排查出的各类风险隐患统计归档。</w:t>
      </w:r>
    </w:p>
    <w:p w14:paraId="3AFE2959">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现场拍照上传</w:t>
      </w:r>
    </w:p>
    <w:p w14:paraId="3A0A5DF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支持安全隐患信息登记的现场图片上传管理功能，支持直接拍照上传或选择手机存储图片等方式上传。</w:t>
      </w:r>
    </w:p>
    <w:p w14:paraId="6605024F">
      <w:pPr>
        <w:pStyle w:val="8"/>
        <w:numPr>
          <w:ilvl w:val="5"/>
          <w:numId w:val="37"/>
        </w:numPr>
        <w:spacing w:line="240" w:lineRule="auto"/>
        <w:rPr>
          <w:color w:val="auto"/>
        </w:rPr>
      </w:pPr>
      <w:r>
        <w:rPr>
          <w:rFonts w:hint="eastAsia"/>
          <w:color w:val="auto"/>
        </w:rPr>
        <w:t>排查记录管理</w:t>
      </w:r>
    </w:p>
    <w:p w14:paraId="691F018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提供管理人员对各单位上报的隐患排查结果进行查看，以列表形式进行展示，用户可以通过类型、单位等字段对信息进行快速筛选。</w:t>
      </w:r>
    </w:p>
    <w:p w14:paraId="60488091">
      <w:pPr>
        <w:pStyle w:val="7"/>
        <w:numPr>
          <w:ilvl w:val="4"/>
          <w:numId w:val="37"/>
        </w:numPr>
        <w:spacing w:line="240" w:lineRule="auto"/>
        <w:rPr>
          <w:color w:val="auto"/>
        </w:rPr>
      </w:pPr>
      <w:r>
        <w:rPr>
          <w:rFonts w:hint="eastAsia"/>
          <w:color w:val="auto"/>
        </w:rPr>
        <w:t>排查情况分析</w:t>
      </w:r>
    </w:p>
    <w:p w14:paraId="77DD21E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为了提高城市管理的效率，及时排查城市管理对象的运行异常情况，实现日常城市各个类别的隐患排查治理流程化管理功能。基于GIS平台，在电子地图上叠加展示各隐患排查情况及发现隐患情况，便于用户了解本辖区隐患排查的整体态势。</w:t>
      </w:r>
    </w:p>
    <w:p w14:paraId="5D617A41">
      <w:pPr>
        <w:pStyle w:val="8"/>
        <w:numPr>
          <w:ilvl w:val="5"/>
          <w:numId w:val="37"/>
        </w:numPr>
        <w:spacing w:line="240" w:lineRule="auto"/>
        <w:rPr>
          <w:color w:val="auto"/>
        </w:rPr>
      </w:pPr>
      <w:r>
        <w:rPr>
          <w:rFonts w:hint="eastAsia"/>
          <w:color w:val="auto"/>
        </w:rPr>
        <w:t>排查分析</w:t>
      </w:r>
    </w:p>
    <w:p w14:paraId="4CC94ED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以统计图表的方式展示各社区各类风险隐患的排查率、整改率情况以及不同隐患等级的数量及占比情况。</w:t>
      </w:r>
    </w:p>
    <w:p w14:paraId="7B2B1A60">
      <w:pPr>
        <w:pStyle w:val="8"/>
        <w:numPr>
          <w:ilvl w:val="5"/>
          <w:numId w:val="37"/>
        </w:numPr>
        <w:spacing w:line="240" w:lineRule="auto"/>
        <w:rPr>
          <w:color w:val="auto"/>
        </w:rPr>
      </w:pPr>
      <w:r>
        <w:rPr>
          <w:rFonts w:hint="eastAsia"/>
          <w:color w:val="auto"/>
        </w:rPr>
        <w:t>排查列表</w:t>
      </w:r>
    </w:p>
    <w:p w14:paraId="2A6DFCE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选择风险隐患的所处状态，系统将以列表的方式展示各类风险隐患的详细信息。并支持列表和GIS地图关联互动，通过列表信息能快速定位到GIS地图，方便对关注隐患所在位置进行快速定位，并辅助对周边进行综合判断。</w:t>
      </w:r>
    </w:p>
    <w:p w14:paraId="2D2906FB">
      <w:pPr>
        <w:pStyle w:val="7"/>
        <w:numPr>
          <w:ilvl w:val="4"/>
          <w:numId w:val="37"/>
        </w:numPr>
        <w:spacing w:line="240" w:lineRule="auto"/>
        <w:rPr>
          <w:color w:val="auto"/>
        </w:rPr>
      </w:pPr>
      <w:r>
        <w:rPr>
          <w:rFonts w:hint="eastAsia"/>
          <w:color w:val="auto"/>
        </w:rPr>
        <w:t>隐患态势分析</w:t>
      </w:r>
    </w:p>
    <w:p w14:paraId="2EB4934F">
      <w:pPr>
        <w:pStyle w:val="8"/>
        <w:numPr>
          <w:ilvl w:val="5"/>
          <w:numId w:val="37"/>
        </w:numPr>
        <w:spacing w:line="240" w:lineRule="auto"/>
        <w:rPr>
          <w:color w:val="auto"/>
        </w:rPr>
      </w:pPr>
      <w:r>
        <w:rPr>
          <w:rFonts w:hint="eastAsia"/>
          <w:color w:val="auto"/>
        </w:rPr>
        <w:t>隐患统计汇总</w:t>
      </w:r>
    </w:p>
    <w:p w14:paraId="793BFBEB">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按照分级分类标准建立风险隐患台帐，多维度分析统计风险隐患信息，利用地理信息GIS系统等绘制出直观可视的主要风险隐患分布图和资源储备分布图。</w:t>
      </w:r>
    </w:p>
    <w:p w14:paraId="696BF4D3">
      <w:pPr>
        <w:pStyle w:val="8"/>
        <w:numPr>
          <w:ilvl w:val="5"/>
          <w:numId w:val="37"/>
        </w:numPr>
        <w:spacing w:line="240" w:lineRule="auto"/>
        <w:rPr>
          <w:color w:val="auto"/>
        </w:rPr>
      </w:pPr>
      <w:r>
        <w:rPr>
          <w:rFonts w:hint="eastAsia"/>
          <w:color w:val="auto"/>
        </w:rPr>
        <w:t>隐患态势分析</w:t>
      </w:r>
    </w:p>
    <w:p w14:paraId="2B6E410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实现对安全风险隐患问题治理进行统计分析，通过同比、环比进行分析了解风险隐患发展趋势，同时针对隐患治理的情况进行分析，掌握其中的变化趋势。</w:t>
      </w:r>
    </w:p>
    <w:p w14:paraId="460926BE">
      <w:pPr>
        <w:pStyle w:val="7"/>
        <w:numPr>
          <w:ilvl w:val="4"/>
          <w:numId w:val="37"/>
        </w:numPr>
        <w:spacing w:line="240" w:lineRule="auto"/>
        <w:rPr>
          <w:color w:val="auto"/>
        </w:rPr>
      </w:pPr>
      <w:r>
        <w:rPr>
          <w:rFonts w:hint="eastAsia"/>
          <w:color w:val="auto"/>
        </w:rPr>
        <w:t>隐患治理</w:t>
      </w:r>
    </w:p>
    <w:p w14:paraId="080D334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巡查检查上报的安全风险隐患问题进行闭环化管理，按相关技术标准，制定治理方案和计划，下达治理任务，跟踪督办治理情况，并对治理结果进行审查验收等功能；宜通过大数据手段建立各类城市运行监测对象的安全风险隐患持续改进和预防机制。</w:t>
      </w:r>
    </w:p>
    <w:p w14:paraId="45CF5E15">
      <w:pPr>
        <w:keepNext/>
        <w:keepLines/>
        <w:numPr>
          <w:ilvl w:val="5"/>
          <w:numId w:val="37"/>
        </w:numPr>
        <w:ind w:left="-931" w:firstLine="560"/>
        <w:outlineLvl w:val="5"/>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隐患评估</w:t>
      </w:r>
    </w:p>
    <w:p w14:paraId="7234D54E">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各类风险隐患的成因，易发时间、地点及发生概率，可控性和紧急程度，可能造成的直接危害及次生危害，受其影响区域内其它风险隐患情况、多灾种耦合的可能性，需整改的内容、有针对性的防范措施及落实情况，全面深入地进行分析、评估并统计汇总上报。</w:t>
      </w:r>
    </w:p>
    <w:p w14:paraId="27D50ECD">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风险隐患评估</w:t>
      </w:r>
    </w:p>
    <w:p w14:paraId="63DAE6E7">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提供隐患评估的专业人员针对每个隐患点各类信息进行评估，包括对直接危害、次生危害、影响区域内其它风险隐患情况、多灾种耦合的可能性等因素的评估分析。</w:t>
      </w:r>
    </w:p>
    <w:p w14:paraId="6CA3CEB7">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汇总上报</w:t>
      </w:r>
    </w:p>
    <w:p w14:paraId="1D10FFD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评估的专业人员完成隐患的评估工作后，将评估过程与结果数据进行上报操作，系统提供临时保存功能，对未完成的评估记录进行临时保存。</w:t>
      </w:r>
    </w:p>
    <w:p w14:paraId="40C9CA9D">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评估查阅</w:t>
      </w:r>
    </w:p>
    <w:p w14:paraId="47D7359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系统对人员评估的上报结果进行统一记录维护，提供管理人员对风险评估的结果进行查阅。系统以列表形式展示上报的评估结果。</w:t>
      </w:r>
    </w:p>
    <w:p w14:paraId="1235D362">
      <w:pPr>
        <w:keepNext/>
        <w:keepLines/>
        <w:numPr>
          <w:ilvl w:val="5"/>
          <w:numId w:val="37"/>
        </w:numPr>
        <w:ind w:left="-931" w:firstLine="560"/>
        <w:outlineLvl w:val="5"/>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隐患治理管理</w:t>
      </w:r>
    </w:p>
    <w:p w14:paraId="3FA715F1">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对风险隐患情况复杂、短期内难以整改的，要制定切实可行的整改方案和应对预案，落实整改措施、责任人和整改期限等，防范突发公共事件的发生；对问题较多、隐患严重、危险较大的，要采取停产、停业整顿或停止使用等果断措施。</w:t>
      </w:r>
    </w:p>
    <w:p w14:paraId="719CDB7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通过建立隐患排查整改机制，实现对隐患“上报、整改、复查”的闭环管理，详细记录隐患整改的过程信息，实现复杂的隐患排查治理工作流程化、常态化和信息化。</w:t>
      </w:r>
    </w:p>
    <w:p w14:paraId="627E65CC">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cs="宋体" w:asciiTheme="majorEastAsia" w:hAnsiTheme="majorEastAsia" w:eastAsiaTheme="majorEastAsia"/>
          <w:color w:val="auto"/>
          <w:sz w:val="28"/>
          <w:szCs w:val="28"/>
        </w:rPr>
        <w:t>隐患排查情况检索</w:t>
      </w:r>
    </w:p>
    <w:p w14:paraId="6A2FDE8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实现城市事件安全隐患检索管理功能。</w:t>
      </w:r>
    </w:p>
    <w:p w14:paraId="1231511D">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隐患信息核查</w:t>
      </w:r>
    </w:p>
    <w:p w14:paraId="1CBB09C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针对上报的隐患信息进行核查，通过系统安排相关人员进行核查，确认存在该隐患信息，则生成隐患治理工单。</w:t>
      </w:r>
    </w:p>
    <w:p w14:paraId="0A9362AD">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cs="宋体" w:asciiTheme="majorEastAsia" w:hAnsiTheme="majorEastAsia" w:eastAsiaTheme="majorEastAsia"/>
          <w:color w:val="auto"/>
          <w:sz w:val="28"/>
          <w:szCs w:val="28"/>
        </w:rPr>
        <w:t>隐患信息整改</w:t>
      </w:r>
    </w:p>
    <w:p w14:paraId="2A551DF0">
      <w:pPr>
        <w:spacing w:before="159" w:after="159"/>
        <w:ind w:firstLine="480"/>
        <w:rPr>
          <w:rFonts w:asciiTheme="majorEastAsia" w:hAnsiTheme="majorEastAsia" w:eastAsiaTheme="majorEastAsia"/>
          <w:color w:val="auto"/>
        </w:rPr>
      </w:pPr>
      <w:r>
        <w:rPr>
          <w:rFonts w:hint="eastAsia" w:cs="宋体" w:asciiTheme="majorEastAsia" w:hAnsiTheme="majorEastAsia" w:eastAsiaTheme="majorEastAsia"/>
          <w:color w:val="auto"/>
          <w:sz w:val="24"/>
          <w:szCs w:val="21"/>
        </w:rPr>
        <w:t>隐患治理工单生成后，通过系统自动或手动派发相应责任单位，由责任单位安排相关人员整改隐患。</w:t>
      </w:r>
    </w:p>
    <w:p w14:paraId="53E58F60">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整改项目创建</w:t>
      </w:r>
    </w:p>
    <w:p w14:paraId="2F922F9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根据整改类型的不同，进行整改项目的创建。项目创建完成后，并进一步完成项目与排查任务的关联。</w:t>
      </w:r>
    </w:p>
    <w:p w14:paraId="3F295C32">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项目配置管理</w:t>
      </w:r>
    </w:p>
    <w:p w14:paraId="06BAB53C">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实现已创建项目的整体配置，包括对项目基础信息的修改，以及查看详细的项目信息。</w:t>
      </w:r>
    </w:p>
    <w:p w14:paraId="40943119">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隐患预警管理</w:t>
      </w:r>
    </w:p>
    <w:p w14:paraId="14B6039A">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根据风险隐患类别进行系统的隐患分类预警管理，实现隐患预警分类汇总提醒。</w:t>
      </w:r>
    </w:p>
    <w:p w14:paraId="63EDEF3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系统实现对重要城市事件隐患信息进行状态提醒，支持所有提醒同时提供短信方式发送至相关负责人手机。</w:t>
      </w:r>
    </w:p>
    <w:p w14:paraId="10AEE5AA">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cs="宋体" w:asciiTheme="majorEastAsia" w:hAnsiTheme="majorEastAsia" w:eastAsiaTheme="majorEastAsia"/>
          <w:color w:val="auto"/>
          <w:sz w:val="28"/>
          <w:szCs w:val="28"/>
        </w:rPr>
        <w:t>重大隐患督办管理</w:t>
      </w:r>
    </w:p>
    <w:p w14:paraId="7844DD1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监管部门对符合条件的重大隐患实行挂牌督办，并可与多级政府部门实现多级部门挂牌督办，系统默认展示所有本部门及上级部门挂牌督办的重大隐患列表。</w:t>
      </w:r>
    </w:p>
    <w:p w14:paraId="1F70856A">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cs="宋体" w:asciiTheme="majorEastAsia" w:hAnsiTheme="majorEastAsia" w:eastAsiaTheme="majorEastAsia"/>
          <w:color w:val="auto"/>
          <w:sz w:val="28"/>
          <w:szCs w:val="28"/>
        </w:rPr>
        <w:t>隐患复查</w:t>
      </w:r>
      <w:r>
        <w:rPr>
          <w:rFonts w:hint="eastAsia" w:cs="宋体" w:asciiTheme="majorEastAsia" w:hAnsiTheme="majorEastAsia" w:eastAsiaTheme="majorEastAsia"/>
          <w:color w:val="auto"/>
          <w:sz w:val="28"/>
          <w:szCs w:val="28"/>
        </w:rPr>
        <w:t>跟踪</w:t>
      </w:r>
    </w:p>
    <w:p w14:paraId="609E05C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针对隐患排查过程中查找出来的隐患，执法人员需要下达隐患整改通知，对相应隐患进行跟踪复查，直到隐患消除为止。</w:t>
      </w:r>
    </w:p>
    <w:p w14:paraId="6601511E">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cs="宋体" w:asciiTheme="majorEastAsia" w:hAnsiTheme="majorEastAsia" w:eastAsiaTheme="majorEastAsia"/>
          <w:color w:val="auto"/>
          <w:sz w:val="28"/>
          <w:szCs w:val="28"/>
        </w:rPr>
        <w:t>申报复查验收</w:t>
      </w:r>
    </w:p>
    <w:p w14:paraId="46DD426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相关责任单位对隐患工单整改完毕后，申报复查验收，如果隐患复查验收没有通过，这条隐患则需要重新进入整改流程，进行再次整改。</w:t>
      </w:r>
    </w:p>
    <w:p w14:paraId="4FB347F5">
      <w:pPr>
        <w:keepNext/>
        <w:keepLines/>
        <w:numPr>
          <w:ilvl w:val="5"/>
          <w:numId w:val="37"/>
        </w:numPr>
        <w:ind w:left="-931" w:firstLine="560"/>
        <w:outlineLvl w:val="5"/>
        <w:rPr>
          <w:rFonts w:cs="宋体" w:asciiTheme="majorEastAsia" w:hAnsiTheme="majorEastAsia" w:eastAsiaTheme="majorEastAsia"/>
          <w:color w:val="auto"/>
          <w:sz w:val="28"/>
          <w:szCs w:val="28"/>
        </w:rPr>
      </w:pPr>
      <w:r>
        <w:rPr>
          <w:rFonts w:cs="宋体" w:asciiTheme="majorEastAsia" w:hAnsiTheme="majorEastAsia" w:eastAsiaTheme="majorEastAsia"/>
          <w:color w:val="auto"/>
          <w:sz w:val="28"/>
          <w:szCs w:val="28"/>
        </w:rPr>
        <w:t>隐患治理档案管理</w:t>
      </w:r>
    </w:p>
    <w:p w14:paraId="4F1DA07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实现对城市事件隐患排查治理归档功能，记录隐患整改工单信息。</w:t>
      </w:r>
    </w:p>
    <w:p w14:paraId="746BF8A1">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隐患治理档案查询</w:t>
      </w:r>
    </w:p>
    <w:p w14:paraId="060CE093">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多种方式的信息查询功能，实现常规检索和高级检索功能，常规检索包括已整改、未整改、全部三个维度筛选显示；通过隐患名称的精准查询和模糊查询，直接展示隐患台账的相关信息。高级检索通过隐患来源、企业名称等多个维度信息进行精准查询。</w:t>
      </w:r>
    </w:p>
    <w:p w14:paraId="7A22180C">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隐患治理档案展示</w:t>
      </w:r>
    </w:p>
    <w:p w14:paraId="799694C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提供列表的形式展示各级各部门的隐患治理档案，支持操作查看展示隐患档案详细信息。</w:t>
      </w:r>
    </w:p>
    <w:p w14:paraId="6BEAC59D">
      <w:pPr>
        <w:keepNext/>
        <w:keepLines/>
        <w:numPr>
          <w:ilvl w:val="5"/>
          <w:numId w:val="37"/>
        </w:numPr>
        <w:ind w:left="-931" w:firstLine="560"/>
        <w:outlineLvl w:val="5"/>
        <w:rPr>
          <w:rFonts w:cs="宋体" w:asciiTheme="majorEastAsia" w:hAnsiTheme="majorEastAsia" w:eastAsiaTheme="majorEastAsia"/>
          <w:color w:val="auto"/>
          <w:sz w:val="28"/>
          <w:szCs w:val="28"/>
        </w:rPr>
      </w:pPr>
      <w:r>
        <w:rPr>
          <w:rFonts w:cs="宋体" w:asciiTheme="majorEastAsia" w:hAnsiTheme="majorEastAsia" w:eastAsiaTheme="majorEastAsia"/>
          <w:color w:val="auto"/>
          <w:sz w:val="28"/>
          <w:szCs w:val="28"/>
        </w:rPr>
        <w:t>隐患排查</w:t>
      </w:r>
      <w:r>
        <w:rPr>
          <w:rFonts w:hint="eastAsia" w:cs="宋体" w:asciiTheme="majorEastAsia" w:hAnsiTheme="majorEastAsia" w:eastAsiaTheme="majorEastAsia"/>
          <w:color w:val="auto"/>
          <w:sz w:val="28"/>
          <w:szCs w:val="28"/>
        </w:rPr>
        <w:t>清单管理</w:t>
      </w:r>
    </w:p>
    <w:p w14:paraId="6A81A92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为方便隐患排查清单的管理，提供隐患排查清单的新增、删除、修改和查询功能。</w:t>
      </w:r>
    </w:p>
    <w:p w14:paraId="7FBB9354">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隐患排查清单查询</w:t>
      </w:r>
    </w:p>
    <w:p w14:paraId="52FEC614">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系统提供隐患排查清单查询功能。通过输入清单名称、清单描述等条件，实现隐患排查清单的快速查询，查询结果以列表形式进行显示。</w:t>
      </w:r>
    </w:p>
    <w:p w14:paraId="08ACB001">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隐患排查清单新增</w:t>
      </w:r>
    </w:p>
    <w:p w14:paraId="61469CB6">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通过填写清单名称、清单编码、备注等信息，实现隐患排查清单的新增功能。</w:t>
      </w:r>
    </w:p>
    <w:p w14:paraId="3219A593">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隐患排查清单修改</w:t>
      </w:r>
    </w:p>
    <w:p w14:paraId="4FEA0D4D">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通过选择需要修改的隐患排查清单，实现隐患排查清单的修改功能。</w:t>
      </w:r>
    </w:p>
    <w:p w14:paraId="4AA95187">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隐患排查清单删除</w:t>
      </w:r>
    </w:p>
    <w:p w14:paraId="368C171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通过选择需要删除的隐患排查清单，实现隐患排查清单的删除功能。</w:t>
      </w:r>
    </w:p>
    <w:p w14:paraId="09E15CF6">
      <w:pPr>
        <w:keepNext/>
        <w:keepLines/>
        <w:numPr>
          <w:ilvl w:val="5"/>
          <w:numId w:val="37"/>
        </w:numPr>
        <w:ind w:left="-931" w:firstLine="560"/>
        <w:outlineLvl w:val="5"/>
        <w:rPr>
          <w:rFonts w:cs="宋体" w:asciiTheme="majorEastAsia" w:hAnsiTheme="majorEastAsia" w:eastAsiaTheme="majorEastAsia"/>
          <w:color w:val="auto"/>
          <w:sz w:val="28"/>
          <w:szCs w:val="28"/>
        </w:rPr>
      </w:pPr>
      <w:r>
        <w:rPr>
          <w:rFonts w:cs="宋体" w:asciiTheme="majorEastAsia" w:hAnsiTheme="majorEastAsia" w:eastAsiaTheme="majorEastAsia"/>
          <w:color w:val="auto"/>
          <w:sz w:val="28"/>
          <w:szCs w:val="28"/>
        </w:rPr>
        <w:t>隐患排查</w:t>
      </w:r>
      <w:r>
        <w:rPr>
          <w:rFonts w:hint="eastAsia" w:cs="宋体" w:asciiTheme="majorEastAsia" w:hAnsiTheme="majorEastAsia" w:eastAsiaTheme="majorEastAsia"/>
          <w:color w:val="auto"/>
          <w:sz w:val="28"/>
          <w:szCs w:val="28"/>
        </w:rPr>
        <w:t>流程管理</w:t>
      </w:r>
    </w:p>
    <w:p w14:paraId="42B735D8">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建立如下城市事件隐患排查治理流程，实现对隐患“上报、整改、复查”的全流程闭环管理，详细记录隐患整改的过程信息，实现复杂的隐患排查治理工作流程化、常态化和信息化。</w:t>
      </w:r>
    </w:p>
    <w:p w14:paraId="4395E632">
      <w:pPr>
        <w:spacing w:before="159" w:after="159"/>
        <w:ind w:firstLine="480"/>
        <w:rPr>
          <w:rFonts w:asciiTheme="majorEastAsia" w:hAnsiTheme="majorEastAsia" w:eastAsiaTheme="majorEastAsia"/>
          <w:color w:val="auto"/>
        </w:rPr>
      </w:pPr>
      <w:r>
        <w:rPr>
          <w:rFonts w:asciiTheme="majorEastAsia" w:hAnsiTheme="majorEastAsia" w:eastAsiaTheme="majorEastAsia"/>
          <w:color w:val="auto"/>
        </w:rPr>
        <w:drawing>
          <wp:inline distT="0" distB="0" distL="0" distR="0">
            <wp:extent cx="5688330" cy="4563110"/>
            <wp:effectExtent l="0" t="0" r="7620" b="8890"/>
            <wp:docPr id="456" name="图片 45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456" descr="图示&#10;&#10;描述已自动生成"/>
                    <pic:cNvPicPr>
                      <a:picLocks noChangeAspect="1"/>
                    </pic:cNvPicPr>
                  </pic:nvPicPr>
                  <pic:blipFill>
                    <a:blip r:embed="rId58" cstate="print"/>
                    <a:stretch>
                      <a:fillRect/>
                    </a:stretch>
                  </pic:blipFill>
                  <pic:spPr>
                    <a:xfrm>
                      <a:off x="0" y="0"/>
                      <a:ext cx="5688330" cy="4563110"/>
                    </a:xfrm>
                    <a:prstGeom prst="rect">
                      <a:avLst/>
                    </a:prstGeom>
                  </pic:spPr>
                </pic:pic>
              </a:graphicData>
            </a:graphic>
          </wp:inline>
        </w:drawing>
      </w:r>
    </w:p>
    <w:p w14:paraId="0896488E">
      <w:pPr>
        <w:ind w:firstLine="480"/>
        <w:jc w:val="center"/>
        <w:rPr>
          <w:color w:val="auto"/>
        </w:rPr>
      </w:pPr>
      <w:bookmarkStart w:id="233" w:name="_Toc7892"/>
      <w:r>
        <w:rPr>
          <w:rFonts w:hint="eastAsia"/>
          <w:color w:val="auto"/>
        </w:rPr>
        <w:t>城市事件隐患排查治理流程</w:t>
      </w:r>
      <w:bookmarkEnd w:id="233"/>
      <w:r>
        <w:rPr>
          <w:rFonts w:hint="eastAsia"/>
          <w:color w:val="auto"/>
        </w:rPr>
        <w:t xml:space="preserve">示意图 </w:t>
      </w:r>
    </w:p>
    <w:p w14:paraId="6A71FE49">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隐患排查流程设计</w:t>
      </w:r>
    </w:p>
    <w:p w14:paraId="1709E792">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平台提供隐患排查流程设计功能，便于业务人员通过图形化组件拖拉的方式进行流程设计，同时支持关联人员、添加条件、添加子流程。</w:t>
      </w:r>
    </w:p>
    <w:p w14:paraId="2635DBC6">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隐患排查流程跟踪</w:t>
      </w:r>
    </w:p>
    <w:p w14:paraId="5D453190">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所有涉及到流程的相关人员包括流程发起人，办理人，流程跟踪人员都可以通过图形化的方式查询流程的进展情况，随时了解流程动态并可以通过流程详细记录了解流程整个办理过程与签收情况，针对流程查询与实时跟踪。</w:t>
      </w:r>
    </w:p>
    <w:p w14:paraId="384C3CE9">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隐患排查流程监控</w:t>
      </w:r>
    </w:p>
    <w:p w14:paraId="25548305">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平台面向不同流程的管理员以及各级领导提供了丰富的流程查询监控功能，可以按流程、按表单任何元素组合查询并可以导出查询结果到excel。</w:t>
      </w:r>
    </w:p>
    <w:p w14:paraId="55C6CF23">
      <w:pPr>
        <w:keepNext/>
        <w:keepLines/>
        <w:numPr>
          <w:ilvl w:val="6"/>
          <w:numId w:val="37"/>
        </w:numPr>
        <w:spacing w:before="240" w:after="64"/>
        <w:ind w:left="-976" w:firstLine="560"/>
        <w:outlineLvl w:val="6"/>
        <w:rPr>
          <w:rFonts w:cs="宋体" w:asciiTheme="majorEastAsia" w:hAnsiTheme="majorEastAsia" w:eastAsiaTheme="majorEastAsia"/>
          <w:color w:val="auto"/>
          <w:sz w:val="28"/>
          <w:szCs w:val="28"/>
        </w:rPr>
      </w:pPr>
      <w:r>
        <w:rPr>
          <w:rFonts w:hint="eastAsia" w:cs="宋体" w:asciiTheme="majorEastAsia" w:hAnsiTheme="majorEastAsia" w:eastAsiaTheme="majorEastAsia"/>
          <w:color w:val="auto"/>
          <w:sz w:val="28"/>
          <w:szCs w:val="28"/>
        </w:rPr>
        <w:t>隐患排查流程图视</w:t>
      </w:r>
    </w:p>
    <w:p w14:paraId="02E66F9F">
      <w:pPr>
        <w:ind w:firstLine="480" w:firstLineChars="200"/>
        <w:rPr>
          <w:rFonts w:cs="宋体" w:asciiTheme="majorEastAsia" w:hAnsiTheme="majorEastAsia" w:eastAsiaTheme="majorEastAsia"/>
          <w:color w:val="auto"/>
          <w:sz w:val="24"/>
          <w:szCs w:val="21"/>
        </w:rPr>
      </w:pPr>
      <w:r>
        <w:rPr>
          <w:rFonts w:hint="eastAsia" w:cs="宋体" w:asciiTheme="majorEastAsia" w:hAnsiTheme="majorEastAsia" w:eastAsiaTheme="majorEastAsia"/>
          <w:color w:val="auto"/>
          <w:sz w:val="24"/>
          <w:szCs w:val="21"/>
        </w:rPr>
        <w:t>在流程办理的各个环节，系统都提供图形化的视图。图形为流程设计时流程管理员定义的模型。</w:t>
      </w:r>
    </w:p>
    <w:p w14:paraId="3FD72D7A">
      <w:pPr>
        <w:pStyle w:val="41"/>
        <w:rPr>
          <w:color w:val="auto"/>
        </w:rPr>
      </w:pPr>
    </w:p>
    <w:p w14:paraId="4CA653E4">
      <w:pPr>
        <w:pStyle w:val="27"/>
        <w:widowControl/>
        <w:spacing w:before="75" w:beforeAutospacing="0" w:after="75" w:afterAutospacing="0"/>
        <w:outlineLvl w:val="1"/>
        <w:rPr>
          <w:color w:val="auto"/>
        </w:rPr>
      </w:pPr>
      <w:r>
        <w:rPr>
          <w:rFonts w:hint="eastAsia" w:ascii="宋体" w:hAnsi="宋体" w:eastAsia="宋体" w:cs="宋体"/>
          <w:color w:val="auto"/>
        </w:rPr>
        <w:t>三、商务条件</w:t>
      </w:r>
      <w:r>
        <w:rPr>
          <w:rStyle w:val="32"/>
          <w:rFonts w:hint="eastAsia" w:ascii="宋体" w:hAnsi="宋体" w:eastAsia="宋体" w:cs="宋体"/>
          <w:color w:val="auto"/>
        </w:rPr>
        <w:t>（以“★”标示的内容为不允许负偏离的实质性要求）</w:t>
      </w:r>
    </w:p>
    <w:p w14:paraId="2BE3E702">
      <w:pPr>
        <w:pStyle w:val="27"/>
        <w:widowControl/>
        <w:spacing w:before="75" w:beforeAutospacing="0" w:after="75" w:afterAutospacing="0"/>
        <w:rPr>
          <w:color w:val="auto"/>
        </w:rPr>
      </w:pPr>
      <w:r>
        <w:rPr>
          <w:rStyle w:val="32"/>
          <w:rFonts w:ascii="宋体" w:hAnsi="宋体" w:eastAsia="宋体" w:cs="宋体"/>
          <w:color w:val="auto"/>
        </w:rPr>
        <w:t>包：1</w:t>
      </w:r>
      <w:r>
        <w:rPr>
          <w:rStyle w:val="32"/>
          <w:rFonts w:hint="eastAsia" w:ascii="宋体" w:hAnsi="宋体" w:eastAsia="宋体" w:cs="宋体"/>
          <w:color w:val="auto"/>
        </w:rPr>
        <w:br w:type="textWrapping"/>
      </w:r>
      <w:r>
        <w:rPr>
          <w:rStyle w:val="32"/>
          <w:rFonts w:hint="eastAsia" w:ascii="宋体" w:hAnsi="宋体" w:eastAsia="宋体" w:cs="宋体"/>
          <w:color w:val="auto"/>
        </w:rPr>
        <w:t>1、交付地点：福建省福州市仓山区南江滨西大道1</w:t>
      </w:r>
      <w:r>
        <w:rPr>
          <w:rStyle w:val="32"/>
          <w:rFonts w:ascii="宋体" w:hAnsi="宋体" w:eastAsia="宋体" w:cs="宋体"/>
          <w:color w:val="auto"/>
        </w:rPr>
        <w:t>99号</w:t>
      </w:r>
      <w:r>
        <w:rPr>
          <w:rStyle w:val="32"/>
          <w:rFonts w:hint="eastAsia" w:ascii="宋体" w:hAnsi="宋体" w:eastAsia="宋体" w:cs="宋体"/>
          <w:color w:val="auto"/>
        </w:rPr>
        <w:t>福州规划馆4楼</w:t>
      </w:r>
      <w:r>
        <w:rPr>
          <w:rStyle w:val="32"/>
          <w:rFonts w:hint="eastAsia" w:ascii="宋体" w:hAnsi="宋体" w:eastAsia="宋体" w:cs="宋体"/>
          <w:color w:val="auto"/>
        </w:rPr>
        <w:tab/>
      </w:r>
      <w:r>
        <w:rPr>
          <w:rStyle w:val="32"/>
          <w:rFonts w:hint="eastAsia" w:ascii="宋体" w:hAnsi="宋体" w:eastAsia="宋体" w:cs="宋体"/>
          <w:color w:val="auto"/>
        </w:rPr>
        <w:t xml:space="preserve"> </w:t>
      </w:r>
      <w:r>
        <w:rPr>
          <w:rStyle w:val="32"/>
          <w:rFonts w:hint="eastAsia" w:ascii="宋体" w:hAnsi="宋体" w:eastAsia="宋体" w:cs="宋体"/>
          <w:color w:val="auto"/>
        </w:rPr>
        <w:br w:type="textWrapping"/>
      </w:r>
      <w:r>
        <w:rPr>
          <w:rStyle w:val="32"/>
          <w:rFonts w:hint="eastAsia" w:ascii="宋体" w:hAnsi="宋体" w:eastAsia="宋体" w:cs="宋体"/>
          <w:color w:val="auto"/>
        </w:rPr>
        <w:t>2、交付时间：福州市城市综合管理服务平台项目建设期为</w:t>
      </w:r>
      <w:r>
        <w:rPr>
          <w:rStyle w:val="32"/>
          <w:rFonts w:hint="eastAsia" w:ascii="宋体" w:hAnsi="宋体" w:eastAsia="宋体" w:cs="宋体"/>
          <w:color w:val="auto"/>
          <w:lang w:eastAsia="zh-CN"/>
        </w:rPr>
        <w:t>合同签订后</w:t>
      </w:r>
      <w:r>
        <w:rPr>
          <w:rStyle w:val="32"/>
          <w:rFonts w:hint="eastAsia" w:ascii="宋体" w:hAnsi="宋体" w:eastAsia="宋体" w:cs="宋体"/>
          <w:color w:val="auto"/>
        </w:rPr>
        <w:t>6个月。</w:t>
      </w:r>
      <w:r>
        <w:rPr>
          <w:rStyle w:val="32"/>
          <w:color w:val="auto"/>
        </w:rPr>
        <w:t>按建设进度由业主</w:t>
      </w:r>
      <w:r>
        <w:rPr>
          <w:rStyle w:val="32"/>
          <w:rFonts w:hint="eastAsia"/>
          <w:color w:val="auto"/>
        </w:rPr>
        <w:t>组织</w:t>
      </w:r>
      <w:r>
        <w:rPr>
          <w:rStyle w:val="32"/>
          <w:color w:val="auto"/>
        </w:rPr>
        <w:t>项目初验测试与终验测试，符合测试要求条件时中标人应提交初验测试报告、项目终验测试报告。</w:t>
      </w:r>
      <w:r>
        <w:rPr>
          <w:rStyle w:val="32"/>
          <w:color w:val="auto"/>
        </w:rPr>
        <w:br w:type="textWrapping"/>
      </w:r>
      <w:r>
        <w:rPr>
          <w:rStyle w:val="32"/>
          <w:rFonts w:hint="eastAsia" w:ascii="宋体" w:hAnsi="宋体" w:eastAsia="宋体" w:cs="宋体"/>
          <w:color w:val="auto"/>
        </w:rPr>
        <w:t>3、交付条件：经采购人竣工验收合格后交付使用。</w:t>
      </w:r>
      <w:r>
        <w:rPr>
          <w:rStyle w:val="32"/>
          <w:rFonts w:hint="eastAsia" w:ascii="宋体" w:hAnsi="宋体" w:eastAsia="宋体" w:cs="宋体"/>
          <w:color w:val="auto"/>
        </w:rPr>
        <w:br w:type="textWrapping"/>
      </w:r>
      <w:r>
        <w:rPr>
          <w:rStyle w:val="32"/>
          <w:rFonts w:hint="eastAsia" w:ascii="宋体" w:hAnsi="宋体" w:eastAsia="宋体" w:cs="宋体"/>
          <w:color w:val="auto"/>
        </w:rPr>
        <w:t>4、是否收取履约保证金： 是。履约保证金百分比：10%。说明：若中标人为中小微企业，履约保证金百分比：8%。提交时间：中标人在合同签订</w:t>
      </w:r>
      <w:r>
        <w:rPr>
          <w:rStyle w:val="32"/>
          <w:rFonts w:hint="eastAsia" w:ascii="宋体" w:hAnsi="宋体" w:eastAsia="宋体" w:cs="宋体"/>
          <w:color w:val="auto"/>
          <w:lang w:eastAsia="zh-CN"/>
        </w:rPr>
        <w:t>后</w:t>
      </w:r>
      <w:r>
        <w:rPr>
          <w:rStyle w:val="32"/>
          <w:rFonts w:hint="eastAsia" w:ascii="宋体" w:hAnsi="宋体" w:eastAsia="宋体" w:cs="宋体"/>
          <w:color w:val="auto"/>
          <w:lang w:val="en-US" w:eastAsia="zh-CN"/>
        </w:rPr>
        <w:t>10个工作日内</w:t>
      </w:r>
      <w:r>
        <w:rPr>
          <w:rStyle w:val="32"/>
          <w:rFonts w:hint="eastAsia" w:ascii="宋体" w:hAnsi="宋体" w:eastAsia="宋体" w:cs="宋体"/>
          <w:color w:val="auto"/>
        </w:rPr>
        <w:t>，向采购人提交</w:t>
      </w:r>
      <w:r>
        <w:rPr>
          <w:rStyle w:val="32"/>
          <w:rFonts w:hint="eastAsia" w:ascii="宋体" w:hAnsi="宋体" w:eastAsia="宋体" w:cs="宋体"/>
          <w:color w:val="auto"/>
          <w:lang w:eastAsia="zh-CN"/>
        </w:rPr>
        <w:t>见索即付保函</w:t>
      </w:r>
      <w:r>
        <w:rPr>
          <w:rStyle w:val="32"/>
          <w:rFonts w:hint="eastAsia" w:ascii="宋体" w:hAnsi="宋体" w:eastAsia="宋体" w:cs="宋体"/>
          <w:color w:val="auto"/>
        </w:rPr>
        <w:t>。开具保函所需费用由中标人承担。履约保证金有效期至项目验收通过后28天内无息退还。</w:t>
      </w:r>
      <w:r>
        <w:rPr>
          <w:rStyle w:val="32"/>
          <w:rFonts w:hint="eastAsia" w:ascii="宋体" w:hAnsi="宋体" w:eastAsia="宋体" w:cs="宋体"/>
          <w:color w:val="auto"/>
        </w:rPr>
        <w:br w:type="textWrapping"/>
      </w:r>
      <w:r>
        <w:rPr>
          <w:rStyle w:val="32"/>
          <w:rFonts w:hint="eastAsia" w:ascii="宋体" w:hAnsi="宋体" w:eastAsia="宋体" w:cs="宋体"/>
          <w:color w:val="auto"/>
        </w:rPr>
        <w:t>5、是否邀请投标人参与验收：否</w:t>
      </w:r>
      <w:r>
        <w:rPr>
          <w:rStyle w:val="32"/>
          <w:rFonts w:hint="eastAsia" w:ascii="宋体" w:hAnsi="宋体" w:eastAsia="宋体" w:cs="宋体"/>
          <w:color w:val="auto"/>
        </w:rPr>
        <w:br w:type="textWrapping"/>
      </w:r>
      <w:r>
        <w:rPr>
          <w:rStyle w:val="32"/>
          <w:rFonts w:hint="eastAsia" w:ascii="宋体" w:hAnsi="宋体" w:eastAsia="宋体" w:cs="宋体"/>
          <w:color w:val="auto"/>
        </w:rPr>
        <w:t xml:space="preserve">6、验收方式数据表格 </w:t>
      </w:r>
    </w:p>
    <w:tbl>
      <w:tblPr>
        <w:tblStyle w:val="30"/>
        <w:tblW w:w="833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184"/>
        <w:gridCol w:w="7152"/>
      </w:tblGrid>
      <w:tr w14:paraId="2F3E85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184" w:type="dxa"/>
            <w:shd w:val="clear" w:color="auto" w:fill="auto"/>
            <w:vAlign w:val="center"/>
          </w:tcPr>
          <w:p w14:paraId="50C8C374">
            <w:pPr>
              <w:widowControl/>
              <w:jc w:val="center"/>
              <w:rPr>
                <w:color w:val="auto"/>
              </w:rPr>
            </w:pPr>
            <w:r>
              <w:rPr>
                <w:rFonts w:ascii="宋体" w:hAnsi="宋体" w:eastAsia="宋体" w:cs="宋体"/>
                <w:color w:val="auto"/>
                <w:kern w:val="0"/>
                <w:sz w:val="24"/>
                <w:lang w:bidi="ar"/>
              </w:rPr>
              <w:t>验收期次</w:t>
            </w:r>
          </w:p>
        </w:tc>
        <w:tc>
          <w:tcPr>
            <w:tcW w:w="7152" w:type="dxa"/>
            <w:shd w:val="clear" w:color="auto" w:fill="auto"/>
            <w:vAlign w:val="center"/>
          </w:tcPr>
          <w:p w14:paraId="3DF0D838">
            <w:pPr>
              <w:widowControl/>
              <w:jc w:val="center"/>
              <w:rPr>
                <w:color w:val="auto"/>
              </w:rPr>
            </w:pPr>
            <w:r>
              <w:rPr>
                <w:rFonts w:ascii="宋体" w:hAnsi="宋体" w:eastAsia="宋体" w:cs="宋体"/>
                <w:color w:val="auto"/>
                <w:kern w:val="0"/>
                <w:sz w:val="24"/>
                <w:lang w:bidi="ar"/>
              </w:rPr>
              <w:t>验收期次说明</w:t>
            </w:r>
          </w:p>
        </w:tc>
      </w:tr>
      <w:tr w14:paraId="2AEE50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184" w:type="dxa"/>
            <w:shd w:val="clear" w:color="auto" w:fill="auto"/>
            <w:vAlign w:val="center"/>
          </w:tcPr>
          <w:p w14:paraId="67CBAC62">
            <w:pPr>
              <w:widowControl/>
              <w:jc w:val="center"/>
              <w:rPr>
                <w:color w:val="auto"/>
              </w:rPr>
            </w:pPr>
            <w:r>
              <w:rPr>
                <w:rFonts w:ascii="宋体" w:hAnsi="宋体" w:eastAsia="宋体" w:cs="宋体"/>
                <w:color w:val="auto"/>
                <w:kern w:val="0"/>
                <w:sz w:val="24"/>
                <w:lang w:bidi="ar"/>
              </w:rPr>
              <w:t>1</w:t>
            </w:r>
          </w:p>
        </w:tc>
        <w:tc>
          <w:tcPr>
            <w:tcW w:w="7152" w:type="dxa"/>
            <w:shd w:val="clear" w:color="auto" w:fill="auto"/>
            <w:vAlign w:val="center"/>
          </w:tcPr>
          <w:p w14:paraId="36B89CD6">
            <w:pPr>
              <w:widowControl/>
              <w:jc w:val="left"/>
              <w:rPr>
                <w:color w:val="auto"/>
              </w:rPr>
            </w:pPr>
            <w:r>
              <w:rPr>
                <w:rFonts w:ascii="宋体" w:hAnsi="宋体" w:eastAsia="宋体" w:cs="宋体"/>
                <w:color w:val="auto"/>
                <w:kern w:val="0"/>
                <w:sz w:val="24"/>
                <w:lang w:bidi="ar"/>
              </w:rPr>
              <w:t>验收测试（初验）：系统设备安装、调试、软件开发、系统部署、软硬件集成、系统初步上线和应用培训等完成并达到本文件规定的指标后，可进行项目验收测试（初验）。中标人向采购人提交自检结果的报告，并提出初验申请，由采购人组织中标人及授权监理单位等共同实施对项目完成情况进行全面验收并进行检测，实施初步验收。</w:t>
            </w:r>
          </w:p>
        </w:tc>
      </w:tr>
      <w:tr w14:paraId="130B8E7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184" w:type="dxa"/>
            <w:shd w:val="clear" w:color="auto" w:fill="auto"/>
            <w:vAlign w:val="center"/>
          </w:tcPr>
          <w:p w14:paraId="7FCEF487">
            <w:pPr>
              <w:widowControl/>
              <w:jc w:val="center"/>
              <w:rPr>
                <w:color w:val="auto"/>
              </w:rPr>
            </w:pPr>
            <w:r>
              <w:rPr>
                <w:rFonts w:ascii="宋体" w:hAnsi="宋体" w:eastAsia="宋体" w:cs="宋体"/>
                <w:color w:val="auto"/>
                <w:kern w:val="0"/>
                <w:sz w:val="24"/>
                <w:lang w:bidi="ar"/>
              </w:rPr>
              <w:t>2</w:t>
            </w:r>
          </w:p>
        </w:tc>
        <w:tc>
          <w:tcPr>
            <w:tcW w:w="7152" w:type="dxa"/>
            <w:shd w:val="clear" w:color="auto" w:fill="auto"/>
            <w:vAlign w:val="center"/>
          </w:tcPr>
          <w:p w14:paraId="777CD5CA">
            <w:pPr>
              <w:widowControl/>
              <w:jc w:val="left"/>
              <w:rPr>
                <w:color w:val="auto"/>
              </w:rPr>
            </w:pPr>
            <w:r>
              <w:rPr>
                <w:rFonts w:ascii="宋体" w:hAnsi="宋体" w:eastAsia="宋体" w:cs="宋体"/>
                <w:color w:val="auto"/>
                <w:kern w:val="0"/>
                <w:sz w:val="24"/>
                <w:lang w:bidi="ar"/>
              </w:rPr>
              <w:t>系统试运行：项目完成经初步验收后，进入三个月的试运行阶段。试运行期间中标人应有专业技术人员进行现场技术支持，出现的任何系统软硬件问题，应由中标人及时处理修正或更新，由于设备质量等造成某些指标达不到要求，中标人应按采购人要求更换、修复、修改等，直至连续无故障试运行三个月，所产生的费用由中标人承担。同时，采购人将委托有资质的第三方检验（检测）机构对系统的整体性能和功能进行测试，测试结果必须符合招标文件要求及合同中的相关条款，中标人还应向采购人提供汇总的测试记录。系统经过三个月试运行，所有性能指标达到技术规范的要求时，可申请进行最终验收。</w:t>
            </w:r>
          </w:p>
        </w:tc>
      </w:tr>
      <w:tr w14:paraId="39CD48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184" w:type="dxa"/>
            <w:shd w:val="clear" w:color="auto" w:fill="auto"/>
            <w:vAlign w:val="center"/>
          </w:tcPr>
          <w:p w14:paraId="63D49A88">
            <w:pPr>
              <w:widowControl/>
              <w:jc w:val="center"/>
              <w:rPr>
                <w:color w:val="auto"/>
              </w:rPr>
            </w:pPr>
            <w:r>
              <w:rPr>
                <w:rFonts w:ascii="宋体" w:hAnsi="宋体" w:eastAsia="宋体" w:cs="宋体"/>
                <w:color w:val="auto"/>
                <w:kern w:val="0"/>
                <w:sz w:val="24"/>
                <w:lang w:bidi="ar"/>
              </w:rPr>
              <w:t>3</w:t>
            </w:r>
          </w:p>
        </w:tc>
        <w:tc>
          <w:tcPr>
            <w:tcW w:w="7152" w:type="dxa"/>
            <w:shd w:val="clear" w:color="auto" w:fill="auto"/>
            <w:vAlign w:val="center"/>
          </w:tcPr>
          <w:p w14:paraId="78CDDA6D">
            <w:pPr>
              <w:widowControl/>
              <w:jc w:val="left"/>
              <w:rPr>
                <w:color w:val="auto"/>
              </w:rPr>
            </w:pPr>
            <w:r>
              <w:rPr>
                <w:rFonts w:ascii="宋体" w:hAnsi="宋体" w:eastAsia="宋体" w:cs="宋体"/>
                <w:color w:val="auto"/>
                <w:kern w:val="0"/>
                <w:sz w:val="24"/>
                <w:lang w:bidi="ar"/>
              </w:rPr>
              <w:t>最终验收：在全部达到要求时，采购人将与中标人及授权监理单位三方实施最终验收，并签署最终验收文件。最终验收文件应当包括每一项技术、服务、安全标准的履约情况。验收结果经三方确认后，三方代表必须按规定的验收交接单上的项目对照本合同填好验收结果并签名盖章。在此期间，中标人在采购人现场进行安装、调试、集成直至验收等完成本建设项目所发生的一切成本和费用由中标人承担且已含在投标总价中。</w:t>
            </w:r>
          </w:p>
        </w:tc>
      </w:tr>
    </w:tbl>
    <w:p w14:paraId="0C519906">
      <w:pPr>
        <w:pStyle w:val="27"/>
        <w:widowControl/>
        <w:spacing w:before="75" w:beforeAutospacing="0" w:after="75" w:afterAutospacing="0"/>
        <w:rPr>
          <w:color w:val="auto"/>
        </w:rPr>
      </w:pPr>
      <w:r>
        <w:rPr>
          <w:rStyle w:val="32"/>
          <w:color w:val="auto"/>
        </w:rPr>
        <w:t xml:space="preserve">7、支付方式数据表格 </w:t>
      </w:r>
    </w:p>
    <w:tbl>
      <w:tblPr>
        <w:tblStyle w:val="30"/>
        <w:tblW w:w="833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212"/>
        <w:gridCol w:w="1411"/>
        <w:gridCol w:w="5713"/>
      </w:tblGrid>
      <w:tr w14:paraId="0D54B4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212" w:type="dxa"/>
            <w:shd w:val="clear" w:color="auto" w:fill="auto"/>
            <w:vAlign w:val="center"/>
          </w:tcPr>
          <w:p w14:paraId="364F307B">
            <w:pPr>
              <w:widowControl/>
              <w:jc w:val="center"/>
              <w:rPr>
                <w:color w:val="auto"/>
              </w:rPr>
            </w:pPr>
            <w:r>
              <w:rPr>
                <w:rFonts w:ascii="宋体" w:hAnsi="宋体" w:eastAsia="宋体" w:cs="宋体"/>
                <w:color w:val="auto"/>
                <w:kern w:val="0"/>
                <w:sz w:val="24"/>
                <w:lang w:bidi="ar"/>
              </w:rPr>
              <w:t>支付期次</w:t>
            </w:r>
          </w:p>
        </w:tc>
        <w:tc>
          <w:tcPr>
            <w:tcW w:w="1411" w:type="dxa"/>
            <w:shd w:val="clear" w:color="auto" w:fill="auto"/>
            <w:vAlign w:val="center"/>
          </w:tcPr>
          <w:p w14:paraId="64CAA6C7">
            <w:pPr>
              <w:widowControl/>
              <w:jc w:val="center"/>
              <w:rPr>
                <w:color w:val="auto"/>
              </w:rPr>
            </w:pPr>
            <w:r>
              <w:rPr>
                <w:rFonts w:ascii="宋体" w:hAnsi="宋体" w:eastAsia="宋体" w:cs="宋体"/>
                <w:color w:val="auto"/>
                <w:kern w:val="0"/>
                <w:sz w:val="24"/>
                <w:lang w:bidi="ar"/>
              </w:rPr>
              <w:t>支付比例(%)</w:t>
            </w:r>
          </w:p>
        </w:tc>
        <w:tc>
          <w:tcPr>
            <w:tcW w:w="5713" w:type="dxa"/>
            <w:shd w:val="clear" w:color="auto" w:fill="auto"/>
            <w:vAlign w:val="center"/>
          </w:tcPr>
          <w:p w14:paraId="43379A4D">
            <w:pPr>
              <w:widowControl/>
              <w:jc w:val="left"/>
              <w:rPr>
                <w:color w:val="auto"/>
              </w:rPr>
            </w:pPr>
            <w:r>
              <w:rPr>
                <w:rFonts w:ascii="宋体" w:hAnsi="宋体" w:eastAsia="宋体" w:cs="宋体"/>
                <w:color w:val="auto"/>
                <w:kern w:val="0"/>
                <w:sz w:val="24"/>
                <w:lang w:bidi="ar"/>
              </w:rPr>
              <w:t>支付期次说明</w:t>
            </w:r>
          </w:p>
        </w:tc>
      </w:tr>
      <w:tr w14:paraId="7926F9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212" w:type="dxa"/>
            <w:shd w:val="clear" w:color="auto" w:fill="auto"/>
            <w:vAlign w:val="center"/>
          </w:tcPr>
          <w:p w14:paraId="71F4D18B">
            <w:pPr>
              <w:widowControl/>
              <w:jc w:val="center"/>
              <w:rPr>
                <w:color w:val="auto"/>
              </w:rPr>
            </w:pPr>
            <w:r>
              <w:rPr>
                <w:rFonts w:ascii="宋体" w:hAnsi="宋体" w:eastAsia="宋体" w:cs="宋体"/>
                <w:color w:val="auto"/>
                <w:kern w:val="0"/>
                <w:sz w:val="24"/>
                <w:lang w:bidi="ar"/>
              </w:rPr>
              <w:t>1</w:t>
            </w:r>
          </w:p>
        </w:tc>
        <w:tc>
          <w:tcPr>
            <w:tcW w:w="1411" w:type="dxa"/>
            <w:shd w:val="clear" w:color="auto" w:fill="auto"/>
            <w:vAlign w:val="center"/>
          </w:tcPr>
          <w:p w14:paraId="6CA1A203">
            <w:pPr>
              <w:widowControl/>
              <w:jc w:val="center"/>
              <w:rPr>
                <w:color w:val="auto"/>
              </w:rPr>
            </w:pPr>
            <w:r>
              <w:rPr>
                <w:rFonts w:hint="eastAsia" w:ascii="宋体" w:hAnsi="宋体" w:eastAsia="宋体" w:cs="宋体"/>
                <w:color w:val="auto"/>
                <w:kern w:val="0"/>
                <w:sz w:val="24"/>
                <w:lang w:bidi="ar"/>
              </w:rPr>
              <w:t>1</w:t>
            </w:r>
            <w:r>
              <w:rPr>
                <w:rFonts w:ascii="宋体" w:hAnsi="宋体" w:eastAsia="宋体" w:cs="宋体"/>
                <w:color w:val="auto"/>
                <w:kern w:val="0"/>
                <w:sz w:val="24"/>
                <w:lang w:bidi="ar"/>
              </w:rPr>
              <w:t>0</w:t>
            </w:r>
          </w:p>
        </w:tc>
        <w:tc>
          <w:tcPr>
            <w:tcW w:w="5713" w:type="dxa"/>
            <w:shd w:val="clear" w:color="auto" w:fill="auto"/>
            <w:vAlign w:val="center"/>
          </w:tcPr>
          <w:p w14:paraId="3489BCCA">
            <w:pPr>
              <w:widowControl/>
              <w:jc w:val="left"/>
              <w:rPr>
                <w:color w:val="auto"/>
              </w:rPr>
            </w:pPr>
            <w:r>
              <w:rPr>
                <w:rFonts w:ascii="宋体" w:hAnsi="宋体" w:eastAsia="宋体" w:cs="宋体"/>
                <w:color w:val="auto"/>
                <w:kern w:val="0"/>
                <w:sz w:val="24"/>
                <w:lang w:bidi="ar"/>
              </w:rPr>
              <w:t>签订合同后待财政款下达后</w:t>
            </w:r>
            <w:r>
              <w:rPr>
                <w:rFonts w:hint="eastAsia" w:ascii="宋体" w:hAnsi="宋体" w:eastAsia="宋体" w:cs="宋体"/>
                <w:color w:val="auto"/>
                <w:kern w:val="0"/>
                <w:sz w:val="24"/>
                <w:lang w:bidi="ar"/>
              </w:rPr>
              <w:t>15</w:t>
            </w:r>
            <w:r>
              <w:rPr>
                <w:rFonts w:ascii="宋体" w:hAnsi="宋体" w:eastAsia="宋体" w:cs="宋体"/>
                <w:color w:val="auto"/>
                <w:kern w:val="0"/>
                <w:sz w:val="24"/>
                <w:lang w:bidi="ar"/>
              </w:rPr>
              <w:t>个工作日内支付合同总金额的</w:t>
            </w:r>
            <w:r>
              <w:rPr>
                <w:rFonts w:hint="eastAsia" w:ascii="宋体" w:hAnsi="宋体" w:eastAsia="宋体" w:cs="宋体"/>
                <w:color w:val="auto"/>
                <w:kern w:val="0"/>
                <w:sz w:val="24"/>
                <w:lang w:bidi="ar"/>
              </w:rPr>
              <w:t>1</w:t>
            </w:r>
            <w:r>
              <w:rPr>
                <w:rFonts w:ascii="宋体" w:hAnsi="宋体" w:eastAsia="宋体" w:cs="宋体"/>
                <w:color w:val="auto"/>
                <w:kern w:val="0"/>
                <w:sz w:val="24"/>
                <w:lang w:bidi="ar"/>
              </w:rPr>
              <w:t>0%。</w:t>
            </w:r>
          </w:p>
        </w:tc>
      </w:tr>
      <w:tr w14:paraId="650B09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212" w:type="dxa"/>
            <w:shd w:val="clear" w:color="auto" w:fill="auto"/>
            <w:vAlign w:val="center"/>
          </w:tcPr>
          <w:p w14:paraId="26B9E6F1">
            <w:pPr>
              <w:widowControl/>
              <w:jc w:val="center"/>
              <w:rPr>
                <w:color w:val="auto"/>
              </w:rPr>
            </w:pPr>
            <w:r>
              <w:rPr>
                <w:rFonts w:ascii="宋体" w:hAnsi="宋体" w:eastAsia="宋体" w:cs="宋体"/>
                <w:color w:val="auto"/>
                <w:kern w:val="0"/>
                <w:sz w:val="24"/>
                <w:lang w:bidi="ar"/>
              </w:rPr>
              <w:t>2</w:t>
            </w:r>
          </w:p>
        </w:tc>
        <w:tc>
          <w:tcPr>
            <w:tcW w:w="1411" w:type="dxa"/>
            <w:shd w:val="clear" w:color="auto" w:fill="auto"/>
            <w:vAlign w:val="center"/>
          </w:tcPr>
          <w:p w14:paraId="12CD18B5">
            <w:pPr>
              <w:widowControl/>
              <w:jc w:val="center"/>
              <w:rPr>
                <w:color w:val="auto"/>
              </w:rPr>
            </w:pPr>
            <w:r>
              <w:rPr>
                <w:rFonts w:hint="eastAsia" w:ascii="宋体" w:hAnsi="宋体" w:eastAsia="宋体" w:cs="宋体"/>
                <w:color w:val="auto"/>
                <w:kern w:val="0"/>
                <w:sz w:val="24"/>
                <w:lang w:bidi="ar"/>
              </w:rPr>
              <w:t>1</w:t>
            </w:r>
            <w:r>
              <w:rPr>
                <w:rFonts w:ascii="宋体" w:hAnsi="宋体" w:eastAsia="宋体" w:cs="宋体"/>
                <w:color w:val="auto"/>
                <w:kern w:val="0"/>
                <w:sz w:val="24"/>
                <w:lang w:bidi="ar"/>
              </w:rPr>
              <w:t>0</w:t>
            </w:r>
          </w:p>
        </w:tc>
        <w:tc>
          <w:tcPr>
            <w:tcW w:w="5713" w:type="dxa"/>
            <w:shd w:val="clear" w:color="auto" w:fill="auto"/>
            <w:vAlign w:val="center"/>
          </w:tcPr>
          <w:p w14:paraId="476ED483">
            <w:pPr>
              <w:widowControl/>
              <w:jc w:val="left"/>
              <w:rPr>
                <w:color w:val="auto"/>
              </w:rPr>
            </w:pPr>
            <w:r>
              <w:rPr>
                <w:rFonts w:ascii="宋体" w:hAnsi="宋体" w:eastAsia="宋体" w:cs="宋体"/>
                <w:color w:val="auto"/>
                <w:kern w:val="0"/>
                <w:sz w:val="24"/>
                <w:lang w:bidi="ar"/>
              </w:rPr>
              <w:t>项目初验后待财政款下达后</w:t>
            </w:r>
            <w:r>
              <w:rPr>
                <w:rFonts w:hint="eastAsia" w:ascii="宋体" w:hAnsi="宋体" w:eastAsia="宋体" w:cs="宋体"/>
                <w:color w:val="auto"/>
                <w:kern w:val="0"/>
                <w:sz w:val="24"/>
                <w:lang w:bidi="ar"/>
              </w:rPr>
              <w:t>15</w:t>
            </w:r>
            <w:r>
              <w:rPr>
                <w:rFonts w:ascii="宋体" w:hAnsi="宋体" w:eastAsia="宋体" w:cs="宋体"/>
                <w:color w:val="auto"/>
                <w:kern w:val="0"/>
                <w:sz w:val="24"/>
                <w:lang w:bidi="ar"/>
              </w:rPr>
              <w:t>个工作日内支付合同</w:t>
            </w:r>
            <w:r>
              <w:rPr>
                <w:rFonts w:hint="eastAsia" w:ascii="宋体" w:hAnsi="宋体" w:eastAsia="宋体" w:cs="宋体"/>
                <w:color w:val="auto"/>
                <w:kern w:val="0"/>
                <w:sz w:val="24"/>
                <w:lang w:bidi="ar"/>
              </w:rPr>
              <w:t>软件部分</w:t>
            </w:r>
            <w:r>
              <w:rPr>
                <w:rFonts w:ascii="宋体" w:hAnsi="宋体" w:eastAsia="宋体" w:cs="宋体"/>
                <w:color w:val="auto"/>
                <w:kern w:val="0"/>
                <w:sz w:val="24"/>
                <w:lang w:bidi="ar"/>
              </w:rPr>
              <w:t>金额的</w:t>
            </w:r>
            <w:r>
              <w:rPr>
                <w:rFonts w:hint="eastAsia" w:ascii="宋体" w:hAnsi="宋体" w:eastAsia="宋体" w:cs="宋体"/>
                <w:color w:val="auto"/>
                <w:kern w:val="0"/>
                <w:sz w:val="24"/>
                <w:lang w:bidi="ar"/>
              </w:rPr>
              <w:t>1</w:t>
            </w:r>
            <w:r>
              <w:rPr>
                <w:rFonts w:ascii="宋体" w:hAnsi="宋体" w:eastAsia="宋体" w:cs="宋体"/>
                <w:color w:val="auto"/>
                <w:kern w:val="0"/>
                <w:sz w:val="24"/>
                <w:lang w:bidi="ar"/>
              </w:rPr>
              <w:t>0%</w:t>
            </w:r>
            <w:r>
              <w:rPr>
                <w:rFonts w:hint="eastAsia" w:ascii="宋体" w:hAnsi="宋体" w:eastAsia="宋体" w:cs="宋体"/>
                <w:color w:val="auto"/>
                <w:kern w:val="0"/>
                <w:sz w:val="24"/>
                <w:lang w:bidi="ar"/>
              </w:rPr>
              <w:t>和其他部分40%</w:t>
            </w:r>
            <w:r>
              <w:rPr>
                <w:rFonts w:ascii="宋体" w:hAnsi="宋体" w:eastAsia="宋体" w:cs="宋体"/>
                <w:color w:val="auto"/>
                <w:kern w:val="0"/>
                <w:sz w:val="24"/>
                <w:lang w:bidi="ar"/>
              </w:rPr>
              <w:t>。</w:t>
            </w:r>
          </w:p>
        </w:tc>
      </w:tr>
      <w:tr w14:paraId="265A88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212" w:type="dxa"/>
            <w:shd w:val="clear" w:color="auto" w:fill="auto"/>
            <w:vAlign w:val="center"/>
          </w:tcPr>
          <w:p w14:paraId="09B6C5AA">
            <w:pPr>
              <w:widowControl/>
              <w:jc w:val="center"/>
              <w:rPr>
                <w:color w:val="auto"/>
              </w:rPr>
            </w:pPr>
            <w:r>
              <w:rPr>
                <w:rFonts w:ascii="宋体" w:hAnsi="宋体" w:eastAsia="宋体" w:cs="宋体"/>
                <w:color w:val="auto"/>
                <w:kern w:val="0"/>
                <w:sz w:val="24"/>
                <w:lang w:bidi="ar"/>
              </w:rPr>
              <w:t>3</w:t>
            </w:r>
          </w:p>
        </w:tc>
        <w:tc>
          <w:tcPr>
            <w:tcW w:w="1411" w:type="dxa"/>
            <w:shd w:val="clear" w:color="auto" w:fill="auto"/>
            <w:vAlign w:val="center"/>
          </w:tcPr>
          <w:p w14:paraId="407D8164">
            <w:pPr>
              <w:widowControl/>
              <w:jc w:val="center"/>
              <w:rPr>
                <w:color w:val="auto"/>
              </w:rPr>
            </w:pPr>
            <w:r>
              <w:rPr>
                <w:rFonts w:ascii="宋体" w:hAnsi="宋体" w:eastAsia="宋体" w:cs="宋体"/>
                <w:color w:val="auto"/>
                <w:kern w:val="0"/>
                <w:sz w:val="24"/>
                <w:lang w:bidi="ar"/>
              </w:rPr>
              <w:t>2</w:t>
            </w:r>
            <w:r>
              <w:rPr>
                <w:rFonts w:hint="eastAsia" w:ascii="宋体" w:hAnsi="宋体" w:eastAsia="宋体" w:cs="宋体"/>
                <w:color w:val="auto"/>
                <w:kern w:val="0"/>
                <w:sz w:val="24"/>
                <w:lang w:bidi="ar"/>
              </w:rPr>
              <w:t>0</w:t>
            </w:r>
          </w:p>
        </w:tc>
        <w:tc>
          <w:tcPr>
            <w:tcW w:w="5713" w:type="dxa"/>
            <w:shd w:val="clear" w:color="auto" w:fill="auto"/>
            <w:vAlign w:val="center"/>
          </w:tcPr>
          <w:p w14:paraId="3F76802F">
            <w:pPr>
              <w:widowControl/>
              <w:jc w:val="left"/>
              <w:rPr>
                <w:color w:val="auto"/>
              </w:rPr>
            </w:pPr>
            <w:r>
              <w:rPr>
                <w:rFonts w:ascii="宋体" w:hAnsi="宋体" w:eastAsia="宋体" w:cs="宋体"/>
                <w:color w:val="auto"/>
                <w:kern w:val="0"/>
                <w:sz w:val="24"/>
                <w:lang w:bidi="ar"/>
              </w:rPr>
              <w:t>项目终验后待财政款下达后</w:t>
            </w:r>
            <w:r>
              <w:rPr>
                <w:rFonts w:hint="eastAsia" w:ascii="宋体" w:hAnsi="宋体" w:eastAsia="宋体" w:cs="宋体"/>
                <w:color w:val="auto"/>
                <w:kern w:val="0"/>
                <w:sz w:val="24"/>
                <w:lang w:bidi="ar"/>
              </w:rPr>
              <w:t>15</w:t>
            </w:r>
            <w:r>
              <w:rPr>
                <w:rFonts w:ascii="宋体" w:hAnsi="宋体" w:eastAsia="宋体" w:cs="宋体"/>
                <w:color w:val="auto"/>
                <w:kern w:val="0"/>
                <w:sz w:val="24"/>
                <w:lang w:bidi="ar"/>
              </w:rPr>
              <w:t>个工作日内支付合同</w:t>
            </w:r>
            <w:r>
              <w:rPr>
                <w:rFonts w:hint="eastAsia" w:ascii="宋体" w:hAnsi="宋体" w:eastAsia="宋体" w:cs="宋体"/>
                <w:color w:val="auto"/>
                <w:kern w:val="0"/>
                <w:sz w:val="24"/>
                <w:lang w:bidi="ar"/>
              </w:rPr>
              <w:t>软件部分</w:t>
            </w:r>
            <w:r>
              <w:rPr>
                <w:rFonts w:ascii="宋体" w:hAnsi="宋体" w:eastAsia="宋体" w:cs="宋体"/>
                <w:color w:val="auto"/>
                <w:kern w:val="0"/>
                <w:sz w:val="24"/>
                <w:lang w:bidi="ar"/>
              </w:rPr>
              <w:t>金额的</w:t>
            </w:r>
            <w:r>
              <w:rPr>
                <w:rFonts w:hint="eastAsia" w:ascii="宋体" w:hAnsi="宋体" w:eastAsia="宋体" w:cs="宋体"/>
                <w:color w:val="auto"/>
                <w:kern w:val="0"/>
                <w:sz w:val="24"/>
                <w:lang w:bidi="ar"/>
              </w:rPr>
              <w:t>2</w:t>
            </w:r>
            <w:r>
              <w:rPr>
                <w:rFonts w:ascii="宋体" w:hAnsi="宋体" w:eastAsia="宋体" w:cs="宋体"/>
                <w:color w:val="auto"/>
                <w:kern w:val="0"/>
                <w:sz w:val="24"/>
                <w:lang w:bidi="ar"/>
              </w:rPr>
              <w:t>0%</w:t>
            </w:r>
            <w:r>
              <w:rPr>
                <w:rFonts w:hint="eastAsia" w:ascii="宋体" w:hAnsi="宋体" w:eastAsia="宋体" w:cs="宋体"/>
                <w:color w:val="auto"/>
                <w:kern w:val="0"/>
                <w:sz w:val="24"/>
                <w:lang w:bidi="ar"/>
              </w:rPr>
              <w:t>和其他部分45%</w:t>
            </w:r>
            <w:r>
              <w:rPr>
                <w:rFonts w:ascii="宋体" w:hAnsi="宋体" w:eastAsia="宋体" w:cs="宋体"/>
                <w:color w:val="auto"/>
                <w:kern w:val="0"/>
                <w:sz w:val="24"/>
                <w:lang w:bidi="ar"/>
              </w:rPr>
              <w:t>。</w:t>
            </w:r>
          </w:p>
        </w:tc>
      </w:tr>
      <w:tr w14:paraId="4852971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212" w:type="dxa"/>
            <w:shd w:val="clear" w:color="auto" w:fill="auto"/>
            <w:vAlign w:val="center"/>
          </w:tcPr>
          <w:p w14:paraId="11D3B25C">
            <w:pPr>
              <w:widowControl/>
              <w:jc w:val="center"/>
              <w:rPr>
                <w:color w:val="auto"/>
              </w:rPr>
            </w:pPr>
            <w:r>
              <w:rPr>
                <w:rFonts w:ascii="宋体" w:hAnsi="宋体" w:eastAsia="宋体" w:cs="宋体"/>
                <w:color w:val="auto"/>
                <w:kern w:val="0"/>
                <w:sz w:val="24"/>
                <w:lang w:bidi="ar"/>
              </w:rPr>
              <w:t>4</w:t>
            </w:r>
          </w:p>
        </w:tc>
        <w:tc>
          <w:tcPr>
            <w:tcW w:w="1411" w:type="dxa"/>
            <w:shd w:val="clear" w:color="auto" w:fill="auto"/>
            <w:vAlign w:val="center"/>
          </w:tcPr>
          <w:p w14:paraId="72BB8477">
            <w:pPr>
              <w:widowControl/>
              <w:jc w:val="center"/>
              <w:rPr>
                <w:color w:val="auto"/>
              </w:rPr>
            </w:pPr>
            <w:r>
              <w:rPr>
                <w:rFonts w:hint="eastAsia" w:ascii="宋体" w:hAnsi="宋体" w:eastAsia="宋体" w:cs="宋体"/>
                <w:color w:val="auto"/>
                <w:kern w:val="0"/>
                <w:sz w:val="24"/>
                <w:lang w:bidi="ar"/>
              </w:rPr>
              <w:t>60</w:t>
            </w:r>
          </w:p>
        </w:tc>
        <w:tc>
          <w:tcPr>
            <w:tcW w:w="5713" w:type="dxa"/>
            <w:shd w:val="clear" w:color="auto" w:fill="auto"/>
            <w:vAlign w:val="center"/>
          </w:tcPr>
          <w:p w14:paraId="3179A193">
            <w:pPr>
              <w:widowControl/>
              <w:jc w:val="left"/>
              <w:rPr>
                <w:color w:val="auto"/>
              </w:rPr>
            </w:pPr>
            <w:r>
              <w:rPr>
                <w:rFonts w:ascii="宋体" w:hAnsi="宋体" w:eastAsia="宋体" w:cs="宋体"/>
                <w:color w:val="auto"/>
                <w:kern w:val="0"/>
                <w:sz w:val="24"/>
                <w:lang w:bidi="ar"/>
              </w:rPr>
              <w:t>自终验合格算起至</w:t>
            </w:r>
            <w:r>
              <w:rPr>
                <w:rFonts w:hint="eastAsia" w:ascii="宋体" w:hAnsi="宋体" w:eastAsia="宋体" w:cs="宋体"/>
                <w:color w:val="auto"/>
                <w:kern w:val="0"/>
                <w:sz w:val="24"/>
                <w:lang w:bidi="ar"/>
              </w:rPr>
              <w:t>3年运维保修期止</w:t>
            </w:r>
            <w:r>
              <w:rPr>
                <w:rFonts w:ascii="宋体" w:hAnsi="宋体" w:eastAsia="宋体" w:cs="宋体"/>
                <w:color w:val="auto"/>
                <w:kern w:val="0"/>
                <w:sz w:val="24"/>
                <w:lang w:bidi="ar"/>
              </w:rPr>
              <w:t>，</w:t>
            </w:r>
            <w:r>
              <w:rPr>
                <w:rFonts w:hint="eastAsia" w:ascii="宋体" w:hAnsi="宋体" w:eastAsia="宋体" w:cs="宋体"/>
                <w:color w:val="auto"/>
                <w:kern w:val="0"/>
                <w:sz w:val="24"/>
                <w:lang w:bidi="ar"/>
              </w:rPr>
              <w:t>余下合同软件部分金额的60%和其他部分金额的5%作为项目运维款，，按每一运维年度分批次支付项目运维款，每年在</w:t>
            </w:r>
            <w:r>
              <w:rPr>
                <w:rFonts w:ascii="宋体" w:hAnsi="宋体" w:eastAsia="宋体" w:cs="宋体"/>
                <w:color w:val="auto"/>
                <w:kern w:val="0"/>
                <w:sz w:val="24"/>
                <w:lang w:bidi="ar"/>
              </w:rPr>
              <w:t>待财政款下达后</w:t>
            </w:r>
            <w:r>
              <w:rPr>
                <w:rFonts w:hint="eastAsia" w:ascii="宋体" w:hAnsi="宋体" w:eastAsia="宋体" w:cs="宋体"/>
                <w:color w:val="auto"/>
                <w:kern w:val="0"/>
                <w:sz w:val="24"/>
                <w:lang w:bidi="ar"/>
              </w:rPr>
              <w:t>15</w:t>
            </w:r>
            <w:r>
              <w:rPr>
                <w:rFonts w:ascii="宋体" w:hAnsi="宋体" w:eastAsia="宋体" w:cs="宋体"/>
                <w:color w:val="auto"/>
                <w:kern w:val="0"/>
                <w:sz w:val="24"/>
                <w:lang w:bidi="ar"/>
              </w:rPr>
              <w:t>个工作日内支付</w:t>
            </w:r>
            <w:r>
              <w:rPr>
                <w:rFonts w:hint="eastAsia" w:ascii="宋体" w:hAnsi="宋体" w:eastAsia="宋体" w:cs="宋体"/>
                <w:color w:val="auto"/>
                <w:kern w:val="0"/>
                <w:sz w:val="24"/>
                <w:lang w:bidi="ar"/>
              </w:rPr>
              <w:t>。</w:t>
            </w:r>
          </w:p>
        </w:tc>
      </w:tr>
    </w:tbl>
    <w:p w14:paraId="06E4CE01">
      <w:pPr>
        <w:pStyle w:val="27"/>
        <w:widowControl/>
        <w:spacing w:before="75" w:beforeAutospacing="0" w:after="75" w:afterAutospacing="0"/>
        <w:rPr>
          <w:rStyle w:val="32"/>
          <w:color w:val="auto"/>
        </w:rPr>
      </w:pPr>
    </w:p>
    <w:p w14:paraId="2719C3FE">
      <w:pPr>
        <w:pStyle w:val="27"/>
        <w:widowControl/>
        <w:spacing w:before="75" w:beforeAutospacing="0" w:after="75" w:afterAutospacing="0"/>
        <w:rPr>
          <w:color w:val="auto"/>
        </w:rPr>
      </w:pPr>
      <w:r>
        <w:rPr>
          <w:rStyle w:val="32"/>
          <w:rFonts w:ascii="宋体" w:hAnsi="宋体" w:eastAsia="宋体" w:cs="宋体"/>
          <w:color w:val="auto"/>
        </w:rPr>
        <w:t>包：</w:t>
      </w:r>
      <w:r>
        <w:rPr>
          <w:rStyle w:val="32"/>
          <w:rFonts w:hint="eastAsia" w:ascii="宋体" w:hAnsi="宋体" w:eastAsia="宋体" w:cs="宋体"/>
          <w:color w:val="auto"/>
        </w:rPr>
        <w:t>2</w:t>
      </w:r>
      <w:r>
        <w:rPr>
          <w:rStyle w:val="32"/>
          <w:rFonts w:hint="eastAsia" w:ascii="宋体" w:hAnsi="宋体" w:eastAsia="宋体" w:cs="宋体"/>
          <w:color w:val="auto"/>
        </w:rPr>
        <w:br w:type="textWrapping"/>
      </w:r>
      <w:r>
        <w:rPr>
          <w:rStyle w:val="32"/>
          <w:rFonts w:hint="eastAsia" w:ascii="宋体" w:hAnsi="宋体" w:eastAsia="宋体" w:cs="宋体"/>
          <w:color w:val="auto"/>
        </w:rPr>
        <w:t>1、交付地点：福建省福州市仓山区南江滨西大道1</w:t>
      </w:r>
      <w:r>
        <w:rPr>
          <w:rStyle w:val="32"/>
          <w:rFonts w:ascii="宋体" w:hAnsi="宋体" w:eastAsia="宋体" w:cs="宋体"/>
          <w:color w:val="auto"/>
        </w:rPr>
        <w:t>99号</w:t>
      </w:r>
      <w:r>
        <w:rPr>
          <w:rStyle w:val="32"/>
          <w:rFonts w:hint="eastAsia" w:ascii="宋体" w:hAnsi="宋体" w:eastAsia="宋体" w:cs="宋体"/>
          <w:color w:val="auto"/>
        </w:rPr>
        <w:t>福州规划馆4楼</w:t>
      </w:r>
      <w:r>
        <w:rPr>
          <w:rStyle w:val="32"/>
          <w:rFonts w:hint="eastAsia" w:ascii="宋体" w:hAnsi="宋体" w:eastAsia="宋体" w:cs="宋体"/>
          <w:color w:val="auto"/>
        </w:rPr>
        <w:tab/>
      </w:r>
      <w:r>
        <w:rPr>
          <w:rStyle w:val="32"/>
          <w:rFonts w:hint="eastAsia" w:ascii="宋体" w:hAnsi="宋体" w:eastAsia="宋体" w:cs="宋体"/>
          <w:color w:val="auto"/>
        </w:rPr>
        <w:t xml:space="preserve"> </w:t>
      </w:r>
      <w:r>
        <w:rPr>
          <w:rStyle w:val="32"/>
          <w:rFonts w:hint="eastAsia" w:ascii="宋体" w:hAnsi="宋体" w:eastAsia="宋体" w:cs="宋体"/>
          <w:color w:val="auto"/>
        </w:rPr>
        <w:br w:type="textWrapping"/>
      </w:r>
      <w:r>
        <w:rPr>
          <w:rStyle w:val="32"/>
          <w:rFonts w:hint="eastAsia" w:ascii="宋体" w:hAnsi="宋体" w:eastAsia="宋体" w:cs="宋体"/>
          <w:color w:val="auto"/>
        </w:rPr>
        <w:t>2、交付时间：福州市城市综合管理服务平台项目建设期为</w:t>
      </w:r>
      <w:r>
        <w:rPr>
          <w:rStyle w:val="32"/>
          <w:rFonts w:hint="eastAsia" w:ascii="宋体" w:hAnsi="宋体" w:eastAsia="宋体" w:cs="宋体"/>
          <w:color w:val="auto"/>
          <w:lang w:eastAsia="zh-CN"/>
        </w:rPr>
        <w:t>合同签订后</w:t>
      </w:r>
      <w:r>
        <w:rPr>
          <w:rStyle w:val="32"/>
          <w:rFonts w:hint="eastAsia" w:ascii="宋体" w:hAnsi="宋体" w:eastAsia="宋体" w:cs="宋体"/>
          <w:color w:val="auto"/>
        </w:rPr>
        <w:t xml:space="preserve"> 6 个月。</w:t>
      </w:r>
      <w:r>
        <w:rPr>
          <w:rStyle w:val="32"/>
          <w:color w:val="auto"/>
        </w:rPr>
        <w:t>按建设进度由业主提出项目初验测试与终验测试，符合测试要求条件时提交初验测试报告、项目终验测试报告。</w:t>
      </w:r>
      <w:r>
        <w:rPr>
          <w:rStyle w:val="32"/>
          <w:color w:val="auto"/>
        </w:rPr>
        <w:br w:type="textWrapping"/>
      </w:r>
      <w:r>
        <w:rPr>
          <w:rStyle w:val="32"/>
          <w:rFonts w:hint="eastAsia" w:ascii="宋体" w:hAnsi="宋体" w:eastAsia="宋体" w:cs="宋体"/>
          <w:color w:val="auto"/>
        </w:rPr>
        <w:t>3、交付条件：经验收合格后交付使用。</w:t>
      </w:r>
      <w:r>
        <w:rPr>
          <w:rStyle w:val="32"/>
          <w:rFonts w:hint="eastAsia" w:ascii="宋体" w:hAnsi="宋体" w:eastAsia="宋体" w:cs="宋体"/>
          <w:color w:val="auto"/>
        </w:rPr>
        <w:br w:type="textWrapping"/>
      </w:r>
      <w:r>
        <w:rPr>
          <w:rStyle w:val="32"/>
          <w:rFonts w:hint="eastAsia" w:ascii="宋体" w:hAnsi="宋体" w:eastAsia="宋体" w:cs="宋体"/>
          <w:color w:val="auto"/>
        </w:rPr>
        <w:t>4、是否收取履约保证金： 是。履约保证金百分比：10%。说明：若中标人为中小微企业，履约保证金百分比：8%。提交时间：中标人在合同签订</w:t>
      </w:r>
      <w:r>
        <w:rPr>
          <w:rStyle w:val="32"/>
          <w:rFonts w:hint="eastAsia" w:ascii="宋体" w:hAnsi="宋体" w:eastAsia="宋体" w:cs="宋体"/>
          <w:color w:val="auto"/>
          <w:lang w:eastAsia="zh-CN"/>
        </w:rPr>
        <w:t>后</w:t>
      </w:r>
      <w:r>
        <w:rPr>
          <w:rStyle w:val="32"/>
          <w:rFonts w:hint="eastAsia" w:ascii="宋体" w:hAnsi="宋体" w:eastAsia="宋体" w:cs="宋体"/>
          <w:color w:val="auto"/>
          <w:lang w:val="en-US" w:eastAsia="zh-CN"/>
        </w:rPr>
        <w:t>10个工作日内</w:t>
      </w:r>
      <w:r>
        <w:rPr>
          <w:rStyle w:val="32"/>
          <w:rFonts w:hint="eastAsia" w:ascii="宋体" w:hAnsi="宋体" w:eastAsia="宋体" w:cs="宋体"/>
          <w:color w:val="auto"/>
        </w:rPr>
        <w:t>，向采购人提交</w:t>
      </w:r>
      <w:r>
        <w:rPr>
          <w:rStyle w:val="32"/>
          <w:rFonts w:hint="eastAsia" w:ascii="宋体" w:hAnsi="宋体" w:eastAsia="宋体" w:cs="宋体"/>
          <w:color w:val="auto"/>
          <w:lang w:eastAsia="zh-CN"/>
        </w:rPr>
        <w:t>见索即付保函</w:t>
      </w:r>
      <w:r>
        <w:rPr>
          <w:rStyle w:val="32"/>
          <w:rFonts w:hint="eastAsia" w:ascii="宋体" w:hAnsi="宋体" w:eastAsia="宋体" w:cs="宋体"/>
          <w:color w:val="auto"/>
        </w:rPr>
        <w:t>。开具保函所需费用由中标人承担。履约保证金有效期至项目验收通过后28天内无息退还。</w:t>
      </w:r>
      <w:r>
        <w:rPr>
          <w:rStyle w:val="32"/>
          <w:rFonts w:hint="eastAsia" w:ascii="宋体" w:hAnsi="宋体" w:eastAsia="宋体" w:cs="宋体"/>
          <w:color w:val="auto"/>
        </w:rPr>
        <w:br w:type="textWrapping"/>
      </w:r>
      <w:r>
        <w:rPr>
          <w:rStyle w:val="32"/>
          <w:rFonts w:hint="eastAsia" w:ascii="宋体" w:hAnsi="宋体" w:eastAsia="宋体" w:cs="宋体"/>
          <w:color w:val="auto"/>
        </w:rPr>
        <w:t>5、是否邀请投标人参与验收：否</w:t>
      </w:r>
      <w:r>
        <w:rPr>
          <w:rStyle w:val="32"/>
          <w:rFonts w:hint="eastAsia" w:ascii="宋体" w:hAnsi="宋体" w:eastAsia="宋体" w:cs="宋体"/>
          <w:color w:val="auto"/>
        </w:rPr>
        <w:br w:type="textWrapping"/>
      </w:r>
      <w:r>
        <w:rPr>
          <w:rStyle w:val="32"/>
          <w:rFonts w:hint="eastAsia" w:ascii="宋体" w:hAnsi="宋体" w:eastAsia="宋体" w:cs="宋体"/>
          <w:color w:val="auto"/>
        </w:rPr>
        <w:t xml:space="preserve">6、验收方式数据表格 </w:t>
      </w:r>
    </w:p>
    <w:tbl>
      <w:tblPr>
        <w:tblStyle w:val="30"/>
        <w:tblW w:w="833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184"/>
        <w:gridCol w:w="7152"/>
      </w:tblGrid>
      <w:tr w14:paraId="5B5F46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184" w:type="dxa"/>
            <w:shd w:val="clear" w:color="auto" w:fill="auto"/>
            <w:vAlign w:val="center"/>
          </w:tcPr>
          <w:p w14:paraId="4DF19E99">
            <w:pPr>
              <w:widowControl/>
              <w:jc w:val="center"/>
              <w:rPr>
                <w:color w:val="auto"/>
              </w:rPr>
            </w:pPr>
            <w:r>
              <w:rPr>
                <w:rFonts w:ascii="宋体" w:hAnsi="宋体" w:eastAsia="宋体" w:cs="宋体"/>
                <w:color w:val="auto"/>
                <w:kern w:val="0"/>
                <w:sz w:val="24"/>
                <w:lang w:bidi="ar"/>
              </w:rPr>
              <w:t>验收期次</w:t>
            </w:r>
          </w:p>
        </w:tc>
        <w:tc>
          <w:tcPr>
            <w:tcW w:w="7152" w:type="dxa"/>
            <w:shd w:val="clear" w:color="auto" w:fill="auto"/>
            <w:vAlign w:val="center"/>
          </w:tcPr>
          <w:p w14:paraId="09000761">
            <w:pPr>
              <w:widowControl/>
              <w:jc w:val="center"/>
              <w:rPr>
                <w:color w:val="auto"/>
              </w:rPr>
            </w:pPr>
            <w:r>
              <w:rPr>
                <w:rFonts w:ascii="宋体" w:hAnsi="宋体" w:eastAsia="宋体" w:cs="宋体"/>
                <w:color w:val="auto"/>
                <w:kern w:val="0"/>
                <w:sz w:val="24"/>
                <w:lang w:bidi="ar"/>
              </w:rPr>
              <w:t>验收期次说明</w:t>
            </w:r>
          </w:p>
        </w:tc>
      </w:tr>
      <w:tr w14:paraId="2C9751E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184" w:type="dxa"/>
            <w:shd w:val="clear" w:color="auto" w:fill="auto"/>
            <w:vAlign w:val="center"/>
          </w:tcPr>
          <w:p w14:paraId="3BC9EAA6">
            <w:pPr>
              <w:widowControl/>
              <w:jc w:val="center"/>
              <w:rPr>
                <w:color w:val="auto"/>
              </w:rPr>
            </w:pPr>
            <w:r>
              <w:rPr>
                <w:rFonts w:ascii="宋体" w:hAnsi="宋体" w:eastAsia="宋体" w:cs="宋体"/>
                <w:color w:val="auto"/>
                <w:kern w:val="0"/>
                <w:sz w:val="24"/>
                <w:lang w:bidi="ar"/>
              </w:rPr>
              <w:t>1</w:t>
            </w:r>
          </w:p>
        </w:tc>
        <w:tc>
          <w:tcPr>
            <w:tcW w:w="7152" w:type="dxa"/>
            <w:shd w:val="clear" w:color="auto" w:fill="auto"/>
            <w:vAlign w:val="center"/>
          </w:tcPr>
          <w:p w14:paraId="58C4B517">
            <w:pPr>
              <w:widowControl/>
              <w:jc w:val="left"/>
              <w:rPr>
                <w:color w:val="auto"/>
              </w:rPr>
            </w:pPr>
            <w:r>
              <w:rPr>
                <w:rFonts w:ascii="宋体" w:hAnsi="宋体" w:eastAsia="宋体" w:cs="宋体"/>
                <w:color w:val="auto"/>
                <w:kern w:val="0"/>
                <w:sz w:val="24"/>
                <w:lang w:bidi="ar"/>
              </w:rPr>
              <w:t>验收测试（初验）：系统设备安装、调试、软件开发、系统部署、软硬件集成、系统初步上线和应用培训等完成并达到本文件规定的指标后，可进行项目验收测试（初验）。中标人向采购人提交自检结果的报告，并提出初验申请，由采购人组织中标人及授权监理单位等共同实施对项目完成情况进行全面验收并进行检测，实施初步验收。</w:t>
            </w:r>
          </w:p>
        </w:tc>
      </w:tr>
      <w:tr w14:paraId="3D261A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184" w:type="dxa"/>
            <w:shd w:val="clear" w:color="auto" w:fill="auto"/>
            <w:vAlign w:val="center"/>
          </w:tcPr>
          <w:p w14:paraId="05CC76B9">
            <w:pPr>
              <w:widowControl/>
              <w:jc w:val="center"/>
              <w:rPr>
                <w:color w:val="auto"/>
              </w:rPr>
            </w:pPr>
            <w:r>
              <w:rPr>
                <w:rFonts w:ascii="宋体" w:hAnsi="宋体" w:eastAsia="宋体" w:cs="宋体"/>
                <w:color w:val="auto"/>
                <w:kern w:val="0"/>
                <w:sz w:val="24"/>
                <w:lang w:bidi="ar"/>
              </w:rPr>
              <w:t>2</w:t>
            </w:r>
          </w:p>
        </w:tc>
        <w:tc>
          <w:tcPr>
            <w:tcW w:w="7152" w:type="dxa"/>
            <w:shd w:val="clear" w:color="auto" w:fill="auto"/>
            <w:vAlign w:val="center"/>
          </w:tcPr>
          <w:p w14:paraId="1BDA8A8D">
            <w:pPr>
              <w:widowControl/>
              <w:jc w:val="left"/>
              <w:rPr>
                <w:color w:val="auto"/>
              </w:rPr>
            </w:pPr>
            <w:r>
              <w:rPr>
                <w:rFonts w:ascii="宋体" w:hAnsi="宋体" w:eastAsia="宋体" w:cs="宋体"/>
                <w:color w:val="auto"/>
                <w:kern w:val="0"/>
                <w:sz w:val="24"/>
                <w:lang w:bidi="ar"/>
              </w:rPr>
              <w:t>系统试运行：项目完成经初步验收后，进入三个月的试运行阶段。试运行期间中标人应有专业技术人员进行现场技术支持，出现的任何系统软硬件问题，应由中标人及时处理修正或更新，由于设备质量等造成某些指标达不到要求，允许中标人更换、修复、修改等，直至连续无故障试运行三个月，所产生的费用由中标人承担。同时，采购人将委托有资质的第三方检验（检测）机构对系统的整体性能和功能进行测试，测试结果必须符合招标文件要求及合同中的相关条款，中标人还应向采购人提供汇总的测试记录。系统经过三个月试运行，所有性能指标达到技术规范的要求时，可进行最终验收。</w:t>
            </w:r>
          </w:p>
        </w:tc>
      </w:tr>
      <w:tr w14:paraId="78D4857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184" w:type="dxa"/>
            <w:shd w:val="clear" w:color="auto" w:fill="auto"/>
            <w:vAlign w:val="center"/>
          </w:tcPr>
          <w:p w14:paraId="159BB8E0">
            <w:pPr>
              <w:widowControl/>
              <w:jc w:val="center"/>
              <w:rPr>
                <w:color w:val="auto"/>
              </w:rPr>
            </w:pPr>
            <w:r>
              <w:rPr>
                <w:rFonts w:ascii="宋体" w:hAnsi="宋体" w:eastAsia="宋体" w:cs="宋体"/>
                <w:color w:val="auto"/>
                <w:kern w:val="0"/>
                <w:sz w:val="24"/>
                <w:lang w:bidi="ar"/>
              </w:rPr>
              <w:t>3</w:t>
            </w:r>
          </w:p>
        </w:tc>
        <w:tc>
          <w:tcPr>
            <w:tcW w:w="7152" w:type="dxa"/>
            <w:shd w:val="clear" w:color="auto" w:fill="auto"/>
            <w:vAlign w:val="center"/>
          </w:tcPr>
          <w:p w14:paraId="3A703CC6">
            <w:pPr>
              <w:widowControl/>
              <w:jc w:val="left"/>
              <w:rPr>
                <w:color w:val="auto"/>
              </w:rPr>
            </w:pPr>
            <w:r>
              <w:rPr>
                <w:rFonts w:ascii="宋体" w:hAnsi="宋体" w:eastAsia="宋体" w:cs="宋体"/>
                <w:color w:val="auto"/>
                <w:kern w:val="0"/>
                <w:sz w:val="24"/>
                <w:lang w:bidi="ar"/>
              </w:rPr>
              <w:t>最终验收：在全部达到要求时，采购人将与中标人及授权监理单位三方签署最终验收文件。最终验收文件应当包括每一项技术、服务、安全标准的履约情况。验收结果经三方确认后，三方代表必须按规定的验收交接单上的项目对照本合同填好验收结果并签名盖章。在此期间，中标人在采购人现场进行安装、调试、集成直至验收所发生的一切费用由中标人承担且已含在投标总价中。</w:t>
            </w:r>
          </w:p>
        </w:tc>
      </w:tr>
    </w:tbl>
    <w:p w14:paraId="1409D2EA">
      <w:pPr>
        <w:pStyle w:val="27"/>
        <w:widowControl/>
        <w:spacing w:before="75" w:beforeAutospacing="0" w:after="75" w:afterAutospacing="0"/>
        <w:rPr>
          <w:color w:val="auto"/>
        </w:rPr>
      </w:pPr>
      <w:r>
        <w:rPr>
          <w:rStyle w:val="32"/>
          <w:color w:val="auto"/>
        </w:rPr>
        <w:t xml:space="preserve">7、支付方式数据表格 </w:t>
      </w:r>
    </w:p>
    <w:tbl>
      <w:tblPr>
        <w:tblStyle w:val="30"/>
        <w:tblW w:w="833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212"/>
        <w:gridCol w:w="1411"/>
        <w:gridCol w:w="5713"/>
      </w:tblGrid>
      <w:tr w14:paraId="359118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212" w:type="dxa"/>
            <w:shd w:val="clear" w:color="auto" w:fill="auto"/>
            <w:vAlign w:val="center"/>
          </w:tcPr>
          <w:p w14:paraId="17A51DFF">
            <w:pPr>
              <w:widowControl/>
              <w:jc w:val="center"/>
              <w:rPr>
                <w:color w:val="auto"/>
              </w:rPr>
            </w:pPr>
            <w:r>
              <w:rPr>
                <w:rFonts w:ascii="宋体" w:hAnsi="宋体" w:eastAsia="宋体" w:cs="宋体"/>
                <w:color w:val="auto"/>
                <w:kern w:val="0"/>
                <w:sz w:val="24"/>
                <w:lang w:bidi="ar"/>
              </w:rPr>
              <w:t>支付期次</w:t>
            </w:r>
          </w:p>
        </w:tc>
        <w:tc>
          <w:tcPr>
            <w:tcW w:w="1411" w:type="dxa"/>
            <w:shd w:val="clear" w:color="auto" w:fill="auto"/>
            <w:vAlign w:val="center"/>
          </w:tcPr>
          <w:p w14:paraId="58FEAEA8">
            <w:pPr>
              <w:widowControl/>
              <w:jc w:val="center"/>
              <w:rPr>
                <w:color w:val="auto"/>
              </w:rPr>
            </w:pPr>
            <w:r>
              <w:rPr>
                <w:rFonts w:ascii="宋体" w:hAnsi="宋体" w:eastAsia="宋体" w:cs="宋体"/>
                <w:color w:val="auto"/>
                <w:kern w:val="0"/>
                <w:sz w:val="24"/>
                <w:lang w:bidi="ar"/>
              </w:rPr>
              <w:t>支付比例(%)</w:t>
            </w:r>
          </w:p>
        </w:tc>
        <w:tc>
          <w:tcPr>
            <w:tcW w:w="5713" w:type="dxa"/>
            <w:shd w:val="clear" w:color="auto" w:fill="auto"/>
            <w:vAlign w:val="center"/>
          </w:tcPr>
          <w:p w14:paraId="4BFFC382">
            <w:pPr>
              <w:widowControl/>
              <w:jc w:val="left"/>
              <w:rPr>
                <w:color w:val="auto"/>
              </w:rPr>
            </w:pPr>
            <w:r>
              <w:rPr>
                <w:rFonts w:ascii="宋体" w:hAnsi="宋体" w:eastAsia="宋体" w:cs="宋体"/>
                <w:color w:val="auto"/>
                <w:kern w:val="0"/>
                <w:sz w:val="24"/>
                <w:lang w:bidi="ar"/>
              </w:rPr>
              <w:t>支付期次说明</w:t>
            </w:r>
          </w:p>
        </w:tc>
      </w:tr>
      <w:tr w14:paraId="472DA00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212" w:type="dxa"/>
            <w:shd w:val="clear" w:color="auto" w:fill="auto"/>
            <w:vAlign w:val="center"/>
          </w:tcPr>
          <w:p w14:paraId="7B4E9974">
            <w:pPr>
              <w:widowControl/>
              <w:jc w:val="center"/>
              <w:rPr>
                <w:color w:val="auto"/>
              </w:rPr>
            </w:pPr>
            <w:r>
              <w:rPr>
                <w:rFonts w:ascii="宋体" w:hAnsi="宋体" w:eastAsia="宋体" w:cs="宋体"/>
                <w:color w:val="auto"/>
                <w:kern w:val="0"/>
                <w:sz w:val="24"/>
                <w:lang w:bidi="ar"/>
              </w:rPr>
              <w:t>1</w:t>
            </w:r>
          </w:p>
        </w:tc>
        <w:tc>
          <w:tcPr>
            <w:tcW w:w="1411" w:type="dxa"/>
            <w:shd w:val="clear" w:color="auto" w:fill="auto"/>
            <w:vAlign w:val="center"/>
          </w:tcPr>
          <w:p w14:paraId="56F131B1">
            <w:pPr>
              <w:widowControl/>
              <w:jc w:val="center"/>
              <w:rPr>
                <w:color w:val="auto"/>
              </w:rPr>
            </w:pPr>
            <w:r>
              <w:rPr>
                <w:rFonts w:hint="eastAsia" w:ascii="宋体" w:hAnsi="宋体" w:eastAsia="宋体" w:cs="宋体"/>
                <w:color w:val="auto"/>
                <w:kern w:val="0"/>
                <w:sz w:val="24"/>
                <w:lang w:bidi="ar"/>
              </w:rPr>
              <w:t>1</w:t>
            </w:r>
            <w:r>
              <w:rPr>
                <w:rFonts w:ascii="宋体" w:hAnsi="宋体" w:eastAsia="宋体" w:cs="宋体"/>
                <w:color w:val="auto"/>
                <w:kern w:val="0"/>
                <w:sz w:val="24"/>
                <w:lang w:bidi="ar"/>
              </w:rPr>
              <w:t>0</w:t>
            </w:r>
          </w:p>
        </w:tc>
        <w:tc>
          <w:tcPr>
            <w:tcW w:w="5713" w:type="dxa"/>
            <w:shd w:val="clear" w:color="auto" w:fill="auto"/>
            <w:vAlign w:val="center"/>
          </w:tcPr>
          <w:p w14:paraId="2819A983">
            <w:pPr>
              <w:widowControl/>
              <w:jc w:val="left"/>
              <w:rPr>
                <w:color w:val="auto"/>
              </w:rPr>
            </w:pPr>
            <w:r>
              <w:rPr>
                <w:rFonts w:ascii="宋体" w:hAnsi="宋体" w:eastAsia="宋体" w:cs="宋体"/>
                <w:color w:val="auto"/>
                <w:kern w:val="0"/>
                <w:sz w:val="24"/>
                <w:lang w:bidi="ar"/>
              </w:rPr>
              <w:t>签订合同后待财政款下达后</w:t>
            </w:r>
            <w:r>
              <w:rPr>
                <w:rFonts w:hint="eastAsia" w:ascii="宋体" w:hAnsi="宋体" w:eastAsia="宋体" w:cs="宋体"/>
                <w:color w:val="auto"/>
                <w:kern w:val="0"/>
                <w:sz w:val="24"/>
                <w:lang w:bidi="ar"/>
              </w:rPr>
              <w:t>15</w:t>
            </w:r>
            <w:r>
              <w:rPr>
                <w:rFonts w:ascii="宋体" w:hAnsi="宋体" w:eastAsia="宋体" w:cs="宋体"/>
                <w:color w:val="auto"/>
                <w:kern w:val="0"/>
                <w:sz w:val="24"/>
                <w:lang w:bidi="ar"/>
              </w:rPr>
              <w:t>个工作日内支付合同总金额的</w:t>
            </w:r>
            <w:r>
              <w:rPr>
                <w:rFonts w:hint="eastAsia" w:ascii="宋体" w:hAnsi="宋体" w:eastAsia="宋体" w:cs="宋体"/>
                <w:color w:val="auto"/>
                <w:kern w:val="0"/>
                <w:sz w:val="24"/>
                <w:lang w:bidi="ar"/>
              </w:rPr>
              <w:t>1</w:t>
            </w:r>
            <w:r>
              <w:rPr>
                <w:rFonts w:ascii="宋体" w:hAnsi="宋体" w:eastAsia="宋体" w:cs="宋体"/>
                <w:color w:val="auto"/>
                <w:kern w:val="0"/>
                <w:sz w:val="24"/>
                <w:lang w:bidi="ar"/>
              </w:rPr>
              <w:t>0%。</w:t>
            </w:r>
          </w:p>
        </w:tc>
      </w:tr>
      <w:tr w14:paraId="52721D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212" w:type="dxa"/>
            <w:shd w:val="clear" w:color="auto" w:fill="auto"/>
            <w:vAlign w:val="center"/>
          </w:tcPr>
          <w:p w14:paraId="7AE25304">
            <w:pPr>
              <w:widowControl/>
              <w:jc w:val="center"/>
              <w:rPr>
                <w:color w:val="auto"/>
              </w:rPr>
            </w:pPr>
            <w:r>
              <w:rPr>
                <w:rFonts w:ascii="宋体" w:hAnsi="宋体" w:eastAsia="宋体" w:cs="宋体"/>
                <w:color w:val="auto"/>
                <w:kern w:val="0"/>
                <w:sz w:val="24"/>
                <w:lang w:bidi="ar"/>
              </w:rPr>
              <w:t>2</w:t>
            </w:r>
          </w:p>
        </w:tc>
        <w:tc>
          <w:tcPr>
            <w:tcW w:w="1411" w:type="dxa"/>
            <w:shd w:val="clear" w:color="auto" w:fill="auto"/>
            <w:vAlign w:val="center"/>
          </w:tcPr>
          <w:p w14:paraId="170F4DF8">
            <w:pPr>
              <w:widowControl/>
              <w:jc w:val="center"/>
              <w:rPr>
                <w:color w:val="auto"/>
              </w:rPr>
            </w:pPr>
            <w:r>
              <w:rPr>
                <w:rFonts w:hint="eastAsia" w:ascii="宋体" w:hAnsi="宋体" w:eastAsia="宋体" w:cs="宋体"/>
                <w:color w:val="auto"/>
                <w:kern w:val="0"/>
                <w:sz w:val="24"/>
                <w:lang w:bidi="ar"/>
              </w:rPr>
              <w:t>1</w:t>
            </w:r>
            <w:r>
              <w:rPr>
                <w:rFonts w:ascii="宋体" w:hAnsi="宋体" w:eastAsia="宋体" w:cs="宋体"/>
                <w:color w:val="auto"/>
                <w:kern w:val="0"/>
                <w:sz w:val="24"/>
                <w:lang w:bidi="ar"/>
              </w:rPr>
              <w:t>0</w:t>
            </w:r>
          </w:p>
        </w:tc>
        <w:tc>
          <w:tcPr>
            <w:tcW w:w="5713" w:type="dxa"/>
            <w:shd w:val="clear" w:color="auto" w:fill="auto"/>
            <w:vAlign w:val="center"/>
          </w:tcPr>
          <w:p w14:paraId="061AC9A0">
            <w:pPr>
              <w:widowControl/>
              <w:jc w:val="left"/>
              <w:rPr>
                <w:color w:val="auto"/>
              </w:rPr>
            </w:pPr>
            <w:r>
              <w:rPr>
                <w:rFonts w:ascii="宋体" w:hAnsi="宋体" w:eastAsia="宋体" w:cs="宋体"/>
                <w:color w:val="auto"/>
                <w:kern w:val="0"/>
                <w:sz w:val="24"/>
                <w:lang w:bidi="ar"/>
              </w:rPr>
              <w:t>项目初验后待财政款下达后</w:t>
            </w:r>
            <w:r>
              <w:rPr>
                <w:rFonts w:hint="eastAsia" w:ascii="宋体" w:hAnsi="宋体" w:eastAsia="宋体" w:cs="宋体"/>
                <w:color w:val="auto"/>
                <w:kern w:val="0"/>
                <w:sz w:val="24"/>
                <w:lang w:bidi="ar"/>
              </w:rPr>
              <w:t>15</w:t>
            </w:r>
            <w:r>
              <w:rPr>
                <w:rFonts w:ascii="宋体" w:hAnsi="宋体" w:eastAsia="宋体" w:cs="宋体"/>
                <w:color w:val="auto"/>
                <w:kern w:val="0"/>
                <w:sz w:val="24"/>
                <w:lang w:bidi="ar"/>
              </w:rPr>
              <w:t>个工作日内支付合同</w:t>
            </w:r>
            <w:r>
              <w:rPr>
                <w:rFonts w:hint="eastAsia" w:ascii="宋体" w:hAnsi="宋体" w:eastAsia="宋体" w:cs="宋体"/>
                <w:color w:val="auto"/>
                <w:kern w:val="0"/>
                <w:sz w:val="24"/>
                <w:lang w:bidi="ar"/>
              </w:rPr>
              <w:t>总</w:t>
            </w:r>
            <w:r>
              <w:rPr>
                <w:rFonts w:ascii="宋体" w:hAnsi="宋体" w:eastAsia="宋体" w:cs="宋体"/>
                <w:color w:val="auto"/>
                <w:kern w:val="0"/>
                <w:sz w:val="24"/>
                <w:lang w:bidi="ar"/>
              </w:rPr>
              <w:t>金额的</w:t>
            </w:r>
            <w:r>
              <w:rPr>
                <w:rFonts w:hint="eastAsia" w:ascii="宋体" w:hAnsi="宋体" w:eastAsia="宋体" w:cs="宋体"/>
                <w:color w:val="auto"/>
                <w:kern w:val="0"/>
                <w:sz w:val="24"/>
                <w:lang w:bidi="ar"/>
              </w:rPr>
              <w:t>1</w:t>
            </w:r>
            <w:r>
              <w:rPr>
                <w:rFonts w:ascii="宋体" w:hAnsi="宋体" w:eastAsia="宋体" w:cs="宋体"/>
                <w:color w:val="auto"/>
                <w:kern w:val="0"/>
                <w:sz w:val="24"/>
                <w:lang w:bidi="ar"/>
              </w:rPr>
              <w:t>0%。</w:t>
            </w:r>
          </w:p>
        </w:tc>
      </w:tr>
      <w:tr w14:paraId="51EAF0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212" w:type="dxa"/>
            <w:shd w:val="clear" w:color="auto" w:fill="auto"/>
            <w:vAlign w:val="center"/>
          </w:tcPr>
          <w:p w14:paraId="29245570">
            <w:pPr>
              <w:widowControl/>
              <w:jc w:val="center"/>
              <w:rPr>
                <w:color w:val="auto"/>
              </w:rPr>
            </w:pPr>
            <w:r>
              <w:rPr>
                <w:rFonts w:ascii="宋体" w:hAnsi="宋体" w:eastAsia="宋体" w:cs="宋体"/>
                <w:color w:val="auto"/>
                <w:kern w:val="0"/>
                <w:sz w:val="24"/>
                <w:lang w:bidi="ar"/>
              </w:rPr>
              <w:t>3</w:t>
            </w:r>
          </w:p>
        </w:tc>
        <w:tc>
          <w:tcPr>
            <w:tcW w:w="1411" w:type="dxa"/>
            <w:shd w:val="clear" w:color="auto" w:fill="auto"/>
            <w:vAlign w:val="center"/>
          </w:tcPr>
          <w:p w14:paraId="48224E23">
            <w:pPr>
              <w:widowControl/>
              <w:jc w:val="center"/>
              <w:rPr>
                <w:color w:val="auto"/>
              </w:rPr>
            </w:pPr>
            <w:r>
              <w:rPr>
                <w:rFonts w:ascii="宋体" w:hAnsi="宋体" w:eastAsia="宋体" w:cs="宋体"/>
                <w:color w:val="auto"/>
                <w:kern w:val="0"/>
                <w:sz w:val="24"/>
                <w:lang w:bidi="ar"/>
              </w:rPr>
              <w:t>2</w:t>
            </w:r>
            <w:r>
              <w:rPr>
                <w:rFonts w:hint="eastAsia" w:ascii="宋体" w:hAnsi="宋体" w:eastAsia="宋体" w:cs="宋体"/>
                <w:color w:val="auto"/>
                <w:kern w:val="0"/>
                <w:sz w:val="24"/>
                <w:lang w:bidi="ar"/>
              </w:rPr>
              <w:t>0</w:t>
            </w:r>
          </w:p>
        </w:tc>
        <w:tc>
          <w:tcPr>
            <w:tcW w:w="5713" w:type="dxa"/>
            <w:shd w:val="clear" w:color="auto" w:fill="auto"/>
            <w:vAlign w:val="center"/>
          </w:tcPr>
          <w:p w14:paraId="50E3C2FE">
            <w:pPr>
              <w:widowControl/>
              <w:jc w:val="left"/>
              <w:rPr>
                <w:color w:val="auto"/>
              </w:rPr>
            </w:pPr>
            <w:r>
              <w:rPr>
                <w:rFonts w:ascii="宋体" w:hAnsi="宋体" w:eastAsia="宋体" w:cs="宋体"/>
                <w:color w:val="auto"/>
                <w:kern w:val="0"/>
                <w:sz w:val="24"/>
                <w:lang w:bidi="ar"/>
              </w:rPr>
              <w:t>项目终验后待财政款下达后</w:t>
            </w:r>
            <w:r>
              <w:rPr>
                <w:rFonts w:hint="eastAsia" w:ascii="宋体" w:hAnsi="宋体" w:eastAsia="宋体" w:cs="宋体"/>
                <w:color w:val="auto"/>
                <w:kern w:val="0"/>
                <w:sz w:val="24"/>
                <w:lang w:bidi="ar"/>
              </w:rPr>
              <w:t>15</w:t>
            </w:r>
            <w:r>
              <w:rPr>
                <w:rFonts w:ascii="宋体" w:hAnsi="宋体" w:eastAsia="宋体" w:cs="宋体"/>
                <w:color w:val="auto"/>
                <w:kern w:val="0"/>
                <w:sz w:val="24"/>
                <w:lang w:bidi="ar"/>
              </w:rPr>
              <w:t>个工作日内支付合同</w:t>
            </w:r>
            <w:r>
              <w:rPr>
                <w:rFonts w:hint="eastAsia" w:ascii="宋体" w:hAnsi="宋体" w:eastAsia="宋体" w:cs="宋体"/>
                <w:color w:val="auto"/>
                <w:kern w:val="0"/>
                <w:sz w:val="24"/>
                <w:lang w:bidi="ar"/>
              </w:rPr>
              <w:t>总</w:t>
            </w:r>
            <w:r>
              <w:rPr>
                <w:rFonts w:ascii="宋体" w:hAnsi="宋体" w:eastAsia="宋体" w:cs="宋体"/>
                <w:color w:val="auto"/>
                <w:kern w:val="0"/>
                <w:sz w:val="24"/>
                <w:lang w:bidi="ar"/>
              </w:rPr>
              <w:t>金额的</w:t>
            </w:r>
            <w:r>
              <w:rPr>
                <w:rFonts w:hint="eastAsia" w:ascii="宋体" w:hAnsi="宋体" w:eastAsia="宋体" w:cs="宋体"/>
                <w:color w:val="auto"/>
                <w:kern w:val="0"/>
                <w:sz w:val="24"/>
                <w:lang w:bidi="ar"/>
              </w:rPr>
              <w:t>2</w:t>
            </w:r>
            <w:r>
              <w:rPr>
                <w:rFonts w:ascii="宋体" w:hAnsi="宋体" w:eastAsia="宋体" w:cs="宋体"/>
                <w:color w:val="auto"/>
                <w:kern w:val="0"/>
                <w:sz w:val="24"/>
                <w:lang w:bidi="ar"/>
              </w:rPr>
              <w:t>0%。</w:t>
            </w:r>
          </w:p>
        </w:tc>
      </w:tr>
      <w:tr w14:paraId="1BA941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212" w:type="dxa"/>
            <w:shd w:val="clear" w:color="auto" w:fill="auto"/>
            <w:vAlign w:val="center"/>
          </w:tcPr>
          <w:p w14:paraId="58C5F7AC">
            <w:pPr>
              <w:widowControl/>
              <w:jc w:val="center"/>
              <w:rPr>
                <w:color w:val="auto"/>
              </w:rPr>
            </w:pPr>
            <w:r>
              <w:rPr>
                <w:rFonts w:ascii="宋体" w:hAnsi="宋体" w:eastAsia="宋体" w:cs="宋体"/>
                <w:color w:val="auto"/>
                <w:kern w:val="0"/>
                <w:sz w:val="24"/>
                <w:lang w:bidi="ar"/>
              </w:rPr>
              <w:t>4</w:t>
            </w:r>
          </w:p>
        </w:tc>
        <w:tc>
          <w:tcPr>
            <w:tcW w:w="1411" w:type="dxa"/>
            <w:shd w:val="clear" w:color="auto" w:fill="auto"/>
            <w:vAlign w:val="center"/>
          </w:tcPr>
          <w:p w14:paraId="4E1BE98E">
            <w:pPr>
              <w:widowControl/>
              <w:jc w:val="center"/>
              <w:rPr>
                <w:color w:val="auto"/>
              </w:rPr>
            </w:pPr>
            <w:r>
              <w:rPr>
                <w:rFonts w:hint="eastAsia" w:ascii="宋体" w:hAnsi="宋体" w:eastAsia="宋体" w:cs="宋体"/>
                <w:color w:val="auto"/>
                <w:kern w:val="0"/>
                <w:sz w:val="24"/>
                <w:lang w:bidi="ar"/>
              </w:rPr>
              <w:t>60</w:t>
            </w:r>
          </w:p>
        </w:tc>
        <w:tc>
          <w:tcPr>
            <w:tcW w:w="5713" w:type="dxa"/>
            <w:shd w:val="clear" w:color="auto" w:fill="auto"/>
            <w:vAlign w:val="center"/>
          </w:tcPr>
          <w:p w14:paraId="0002F44D">
            <w:pPr>
              <w:widowControl/>
              <w:jc w:val="left"/>
              <w:rPr>
                <w:color w:val="auto"/>
              </w:rPr>
            </w:pPr>
            <w:r>
              <w:rPr>
                <w:rFonts w:ascii="宋体" w:hAnsi="宋体" w:eastAsia="宋体" w:cs="宋体"/>
                <w:color w:val="auto"/>
                <w:kern w:val="0"/>
                <w:sz w:val="24"/>
                <w:lang w:bidi="ar"/>
              </w:rPr>
              <w:t>自终验合格算起，</w:t>
            </w:r>
            <w:r>
              <w:rPr>
                <w:rFonts w:hint="eastAsia" w:ascii="宋体" w:hAnsi="宋体" w:eastAsia="宋体" w:cs="宋体"/>
                <w:color w:val="auto"/>
                <w:kern w:val="0"/>
                <w:sz w:val="24"/>
                <w:lang w:bidi="ar"/>
              </w:rPr>
              <w:t>余下合同总额的60%作为项目运维款，运维保修期为3年，按运维年度分批次支付项目运维款，每年在</w:t>
            </w:r>
            <w:r>
              <w:rPr>
                <w:rFonts w:ascii="宋体" w:hAnsi="宋体" w:eastAsia="宋体" w:cs="宋体"/>
                <w:color w:val="auto"/>
                <w:kern w:val="0"/>
                <w:sz w:val="24"/>
                <w:lang w:bidi="ar"/>
              </w:rPr>
              <w:t>待财政款下达后</w:t>
            </w:r>
            <w:r>
              <w:rPr>
                <w:rFonts w:hint="eastAsia" w:ascii="宋体" w:hAnsi="宋体" w:eastAsia="宋体" w:cs="宋体"/>
                <w:color w:val="auto"/>
                <w:kern w:val="0"/>
                <w:sz w:val="24"/>
                <w:lang w:bidi="ar"/>
              </w:rPr>
              <w:t>15</w:t>
            </w:r>
            <w:r>
              <w:rPr>
                <w:rFonts w:ascii="宋体" w:hAnsi="宋体" w:eastAsia="宋体" w:cs="宋体"/>
                <w:color w:val="auto"/>
                <w:kern w:val="0"/>
                <w:sz w:val="24"/>
                <w:lang w:bidi="ar"/>
              </w:rPr>
              <w:t>个工作日内支付</w:t>
            </w:r>
          </w:p>
        </w:tc>
      </w:tr>
    </w:tbl>
    <w:p w14:paraId="679D4F6C">
      <w:pPr>
        <w:pStyle w:val="27"/>
        <w:widowControl/>
        <w:spacing w:before="75" w:beforeAutospacing="0" w:after="75" w:afterAutospacing="0"/>
        <w:rPr>
          <w:rFonts w:ascii="宋体" w:hAnsi="宋体" w:eastAsia="宋体" w:cs="宋体"/>
          <w:color w:val="auto"/>
        </w:rPr>
      </w:pPr>
    </w:p>
    <w:p w14:paraId="733F95CB">
      <w:pPr>
        <w:pStyle w:val="27"/>
        <w:widowControl/>
        <w:spacing w:before="75" w:beforeAutospacing="0" w:after="75" w:afterAutospacing="0"/>
        <w:rPr>
          <w:rStyle w:val="32"/>
          <w:rFonts w:ascii="Times New Roman" w:hAnsi="Times New Roman" w:eastAsia="宋体"/>
          <w:b w:val="0"/>
          <w:bCs w:val="0"/>
          <w:color w:val="auto"/>
        </w:rPr>
      </w:pPr>
      <w:r>
        <w:rPr>
          <w:rStyle w:val="32"/>
          <w:rFonts w:hint="eastAsia" w:ascii="Times New Roman" w:hAnsi="Times New Roman" w:eastAsia="宋体"/>
          <w:b w:val="0"/>
          <w:bCs w:val="0"/>
          <w:color w:val="auto"/>
        </w:rPr>
        <w:t>8、投标人应按照本项目特点提供长期良好的售 后服务，并在投标文件中提供售 后服务承诺书等相关资料。</w:t>
      </w:r>
    </w:p>
    <w:p w14:paraId="5531D5ED">
      <w:pPr>
        <w:pStyle w:val="27"/>
        <w:widowControl/>
        <w:spacing w:before="75" w:beforeAutospacing="0" w:after="75" w:afterAutospacing="0"/>
        <w:rPr>
          <w:rStyle w:val="32"/>
          <w:rFonts w:ascii="Times New Roman" w:hAnsi="Times New Roman" w:eastAsia="宋体"/>
          <w:b w:val="0"/>
          <w:bCs w:val="0"/>
          <w:color w:val="auto"/>
        </w:rPr>
      </w:pPr>
      <w:r>
        <w:rPr>
          <w:rStyle w:val="32"/>
          <w:rFonts w:hint="eastAsia" w:ascii="Times New Roman" w:hAnsi="Times New Roman" w:eastAsia="宋体"/>
          <w:b w:val="0"/>
          <w:bCs w:val="0"/>
          <w:color w:val="auto"/>
        </w:rPr>
        <w:t xml:space="preserve">9、运维保修期（自项目终验通过后开始计算）为3年（除标书中另有要求除外）。运维保修期内，中标人应免费提供所有系统软件的运营维护，应及时免费提供系统软件的最新版本，提供1次免费数据更新服务。 </w:t>
      </w:r>
    </w:p>
    <w:p w14:paraId="591537DB">
      <w:pPr>
        <w:pStyle w:val="27"/>
        <w:widowControl/>
        <w:spacing w:before="75" w:beforeAutospacing="0" w:after="75" w:afterAutospacing="0"/>
        <w:rPr>
          <w:rStyle w:val="32"/>
          <w:rFonts w:ascii="Times New Roman" w:hAnsi="Times New Roman" w:eastAsia="宋体"/>
          <w:b w:val="0"/>
          <w:bCs w:val="0"/>
          <w:color w:val="auto"/>
        </w:rPr>
      </w:pPr>
      <w:r>
        <w:rPr>
          <w:rStyle w:val="32"/>
          <w:rFonts w:hint="eastAsia" w:ascii="Times New Roman" w:hAnsi="Times New Roman" w:eastAsia="宋体"/>
          <w:b w:val="0"/>
          <w:bCs w:val="0"/>
          <w:color w:val="auto"/>
        </w:rPr>
        <w:t>10、中标人必须具有及时有效的维修手段，系统出现故障，接到采购人要求维修通知后，应赶到现场维修。若问题不能现场解决，应采取相应措施以保证系统正常运行，必要时包括更换必要的软件、硬件。</w:t>
      </w:r>
    </w:p>
    <w:p w14:paraId="1BA57A76">
      <w:pPr>
        <w:pStyle w:val="27"/>
        <w:widowControl/>
        <w:spacing w:before="75" w:beforeAutospacing="0" w:after="75" w:afterAutospacing="0"/>
        <w:rPr>
          <w:rStyle w:val="32"/>
          <w:rFonts w:ascii="Times New Roman" w:hAnsi="Times New Roman" w:eastAsia="宋体"/>
          <w:b w:val="0"/>
          <w:bCs w:val="0"/>
          <w:color w:val="auto"/>
        </w:rPr>
      </w:pPr>
      <w:r>
        <w:rPr>
          <w:rStyle w:val="32"/>
          <w:rFonts w:hint="eastAsia" w:ascii="Times New Roman" w:hAnsi="Times New Roman" w:eastAsia="宋体"/>
          <w:b w:val="0"/>
          <w:bCs w:val="0"/>
          <w:color w:val="auto"/>
        </w:rPr>
        <w:t xml:space="preserve">11、运维保修期内，中标人应免费提供相应的备件；并免费对软件进行升级服务。免费保修期结束后，中标人提供终身免费咨询；运维保修期结束后，货物一旦出现故障，应提供维修所需的零配件，并派出检修人员在24小时内到货物安装现场对货物进行维修，只收取更换的零配件成本费和检修人员实际发生的差旅费。 </w:t>
      </w:r>
    </w:p>
    <w:p w14:paraId="6BCFEE55">
      <w:pPr>
        <w:pStyle w:val="27"/>
        <w:widowControl/>
        <w:spacing w:before="75" w:beforeAutospacing="0" w:after="75" w:afterAutospacing="0"/>
        <w:rPr>
          <w:rStyle w:val="32"/>
          <w:rFonts w:ascii="Times New Roman" w:hAnsi="Times New Roman" w:eastAsia="宋体"/>
          <w:b w:val="0"/>
          <w:bCs w:val="0"/>
          <w:color w:val="auto"/>
        </w:rPr>
      </w:pPr>
      <w:r>
        <w:rPr>
          <w:rStyle w:val="32"/>
          <w:rFonts w:hint="eastAsia" w:ascii="Times New Roman" w:hAnsi="Times New Roman" w:eastAsia="宋体"/>
          <w:b w:val="0"/>
          <w:bCs w:val="0"/>
          <w:color w:val="auto"/>
        </w:rPr>
        <w:t xml:space="preserve">12、遇有重大事件与使用方要求情况下，中标人必须派维护工程师提前到场，进行设备软硬件维护与保障。 </w:t>
      </w:r>
    </w:p>
    <w:p w14:paraId="08B09D5C">
      <w:pPr>
        <w:pStyle w:val="27"/>
        <w:widowControl/>
        <w:spacing w:before="75" w:beforeAutospacing="0" w:after="75" w:afterAutospacing="0"/>
        <w:rPr>
          <w:rStyle w:val="32"/>
          <w:rFonts w:ascii="Times New Roman" w:hAnsi="Times New Roman" w:eastAsia="宋体"/>
          <w:b w:val="0"/>
          <w:bCs w:val="0"/>
          <w:color w:val="auto"/>
        </w:rPr>
      </w:pPr>
      <w:r>
        <w:rPr>
          <w:rStyle w:val="32"/>
          <w:rFonts w:hint="eastAsia" w:ascii="Times New Roman" w:hAnsi="Times New Roman" w:eastAsia="宋体"/>
          <w:b w:val="0"/>
          <w:bCs w:val="0"/>
          <w:color w:val="auto"/>
        </w:rPr>
        <w:t>13、定期巡检：每半年定期巡检一次，检查设备的运行情况，了解用户使用条件和负载是否合理，及时向用户建议改进和纠正措施，提供必要的技术支持。对使用和管理设备人员进行现场指导培训，确保设备稳定正常地工作。</w:t>
      </w:r>
    </w:p>
    <w:p w14:paraId="5CF1DC2A">
      <w:pPr>
        <w:pStyle w:val="27"/>
        <w:widowControl/>
        <w:spacing w:before="75" w:beforeAutospacing="0" w:after="75" w:afterAutospacing="0"/>
        <w:rPr>
          <w:rFonts w:eastAsia="宋体"/>
          <w:b/>
          <w:bCs/>
          <w:color w:val="auto"/>
        </w:rPr>
      </w:pPr>
      <w:r>
        <w:rPr>
          <w:rStyle w:val="32"/>
          <w:rFonts w:hint="eastAsia" w:ascii="宋体" w:hAnsi="宋体" w:eastAsia="宋体" w:cs="宋体"/>
          <w:color w:val="auto"/>
        </w:rPr>
        <w:t>★</w:t>
      </w:r>
      <w:r>
        <w:rPr>
          <w:rFonts w:hint="eastAsia" w:ascii="宋体" w:hAnsi="宋体" w:eastAsia="宋体" w:cs="宋体"/>
          <w:b/>
          <w:bCs/>
          <w:color w:val="auto"/>
        </w:rPr>
        <w:t>注意：以上8至13条适用于本项目所有合同包。本章节“三、商务条件”1-13条</w:t>
      </w:r>
      <w:r>
        <w:rPr>
          <w:rStyle w:val="32"/>
          <w:rFonts w:hint="eastAsia" w:ascii="宋体" w:hAnsi="宋体" w:eastAsia="宋体" w:cs="宋体"/>
          <w:color w:val="auto"/>
        </w:rPr>
        <w:t>的内容均为不允许负偏离的实质性要求。</w:t>
      </w:r>
    </w:p>
    <w:p w14:paraId="78E895B7">
      <w:pPr>
        <w:pStyle w:val="27"/>
        <w:widowControl/>
        <w:spacing w:before="75" w:beforeAutospacing="0" w:after="75" w:afterAutospacing="0"/>
        <w:rPr>
          <w:rFonts w:ascii="宋体" w:hAnsi="宋体" w:eastAsia="宋体" w:cs="宋体"/>
          <w:color w:val="auto"/>
        </w:rPr>
      </w:pPr>
    </w:p>
    <w:p w14:paraId="61471899">
      <w:pPr>
        <w:pStyle w:val="27"/>
        <w:widowControl/>
        <w:spacing w:before="75" w:beforeAutospacing="0" w:after="75" w:afterAutospacing="0"/>
        <w:rPr>
          <w:color w:val="auto"/>
        </w:rPr>
      </w:pPr>
      <w:r>
        <w:rPr>
          <w:rFonts w:hint="eastAsia" w:ascii="宋体" w:hAnsi="宋体" w:eastAsia="宋体" w:cs="宋体"/>
          <w:color w:val="auto"/>
        </w:rPr>
        <w:t>四、其他事项</w:t>
      </w:r>
    </w:p>
    <w:p w14:paraId="5D1CB8CC">
      <w:pPr>
        <w:pStyle w:val="27"/>
        <w:widowControl/>
        <w:spacing w:before="75" w:beforeAutospacing="0" w:after="75" w:afterAutospacing="0"/>
        <w:rPr>
          <w:color w:val="auto"/>
        </w:rPr>
      </w:pPr>
      <w:r>
        <w:rPr>
          <w:rFonts w:hint="eastAsia" w:ascii="宋体" w:hAnsi="宋体" w:eastAsia="宋体" w:cs="宋体"/>
          <w:color w:val="auto"/>
        </w:rPr>
        <w:t>1、除招标文件另有规定外，若出现有关法律、法规和规章有强制性规定但招标文件未列明的情形，则投标人应按照有关法律、法规和规章强制性规定执行。</w:t>
      </w:r>
    </w:p>
    <w:p w14:paraId="69AD563A">
      <w:pPr>
        <w:pStyle w:val="27"/>
        <w:widowControl/>
        <w:spacing w:before="75" w:beforeAutospacing="0" w:after="75" w:afterAutospacing="0"/>
        <w:rPr>
          <w:color w:val="auto"/>
        </w:rPr>
      </w:pPr>
      <w:r>
        <w:rPr>
          <w:color w:val="auto"/>
        </w:rPr>
        <w:t>2、其他：</w:t>
      </w:r>
    </w:p>
    <w:p w14:paraId="0F49D678">
      <w:pPr>
        <w:rPr>
          <w:rStyle w:val="32"/>
          <w:rFonts w:ascii="宋体" w:hAnsi="宋体" w:eastAsia="宋体" w:cs="宋体"/>
          <w:color w:val="auto"/>
          <w:sz w:val="31"/>
          <w:szCs w:val="31"/>
        </w:rPr>
      </w:pPr>
      <w:r>
        <w:rPr>
          <w:rStyle w:val="32"/>
          <w:rFonts w:hint="eastAsia" w:ascii="宋体" w:hAnsi="宋体" w:eastAsia="宋体" w:cs="宋体"/>
          <w:color w:val="auto"/>
          <w:sz w:val="31"/>
          <w:szCs w:val="31"/>
        </w:rPr>
        <w:br w:type="page"/>
      </w:r>
    </w:p>
    <w:p w14:paraId="408599F3">
      <w:pPr>
        <w:pStyle w:val="27"/>
        <w:widowControl/>
        <w:spacing w:before="75" w:beforeAutospacing="0" w:after="75" w:afterAutospacing="0"/>
        <w:rPr>
          <w:color w:val="auto"/>
        </w:rPr>
      </w:pPr>
    </w:p>
    <w:p w14:paraId="5D3A5321">
      <w:pPr>
        <w:pStyle w:val="27"/>
        <w:widowControl/>
        <w:spacing w:before="75" w:beforeAutospacing="0" w:after="75" w:afterAutospacing="0"/>
        <w:jc w:val="center"/>
        <w:outlineLvl w:val="0"/>
        <w:rPr>
          <w:color w:val="auto"/>
        </w:rPr>
      </w:pPr>
      <w:bookmarkStart w:id="234" w:name="_Toc3197"/>
      <w:r>
        <w:rPr>
          <w:rStyle w:val="32"/>
          <w:rFonts w:hint="eastAsia" w:ascii="宋体" w:hAnsi="宋体" w:eastAsia="宋体" w:cs="宋体"/>
          <w:color w:val="auto"/>
          <w:sz w:val="31"/>
          <w:szCs w:val="31"/>
        </w:rPr>
        <w:t>第六章   政府采购合同（参考文本）</w:t>
      </w:r>
      <w:bookmarkEnd w:id="234"/>
    </w:p>
    <w:p w14:paraId="5275B07C">
      <w:pPr>
        <w:pStyle w:val="27"/>
        <w:widowControl/>
        <w:spacing w:before="75" w:beforeAutospacing="0" w:after="75" w:afterAutospacing="0"/>
        <w:rPr>
          <w:color w:val="auto"/>
        </w:rPr>
      </w:pPr>
      <w:r>
        <w:rPr>
          <w:rFonts w:hint="eastAsia" w:ascii="宋体" w:hAnsi="宋体" w:eastAsia="宋体" w:cs="宋体"/>
          <w:color w:val="auto"/>
        </w:rPr>
        <w:t> </w:t>
      </w:r>
    </w:p>
    <w:p w14:paraId="3DC1460A">
      <w:pPr>
        <w:pStyle w:val="27"/>
        <w:widowControl/>
        <w:spacing w:before="75" w:beforeAutospacing="0" w:after="75" w:afterAutospacing="0"/>
        <w:jc w:val="center"/>
        <w:rPr>
          <w:color w:val="auto"/>
        </w:rPr>
      </w:pPr>
      <w:r>
        <w:rPr>
          <w:rStyle w:val="32"/>
          <w:rFonts w:hint="eastAsia" w:ascii="宋体" w:hAnsi="宋体" w:eastAsia="宋体" w:cs="宋体"/>
          <w:color w:val="auto"/>
        </w:rPr>
        <w:t>编制说明</w:t>
      </w:r>
    </w:p>
    <w:p w14:paraId="4FB6F8E3">
      <w:pPr>
        <w:pStyle w:val="27"/>
        <w:widowControl/>
        <w:spacing w:before="75" w:beforeAutospacing="0" w:after="75" w:afterAutospacing="0"/>
        <w:rPr>
          <w:color w:val="auto"/>
        </w:rPr>
      </w:pPr>
      <w:r>
        <w:rPr>
          <w:rStyle w:val="32"/>
          <w:rFonts w:hint="eastAsia" w:ascii="宋体" w:hAnsi="宋体" w:eastAsia="宋体" w:cs="宋体"/>
          <w:color w:val="auto"/>
        </w:rPr>
        <w:t>1、签订合同应遵守政府采购法、民法典。</w:t>
      </w:r>
    </w:p>
    <w:p w14:paraId="29E58426">
      <w:pPr>
        <w:pStyle w:val="27"/>
        <w:widowControl/>
        <w:spacing w:before="75" w:beforeAutospacing="0" w:after="75" w:afterAutospacing="0"/>
        <w:rPr>
          <w:color w:val="auto"/>
        </w:rPr>
      </w:pPr>
      <w:r>
        <w:rPr>
          <w:rStyle w:val="32"/>
          <w:rFonts w:hint="eastAsia" w:ascii="宋体" w:hAnsi="宋体" w:eastAsia="宋体" w:cs="宋体"/>
          <w:color w:val="auto"/>
        </w:rPr>
        <w:t>2、签订合同时，采购人与中标人应结合招标文件第五章规定填列相应内容。招标文件第五章已有规定的，双方均不得变更或调整；招标文件第五章未作规定的，双方可通过友好协商进行约定。</w:t>
      </w:r>
    </w:p>
    <w:p w14:paraId="017E3C80">
      <w:pPr>
        <w:pStyle w:val="27"/>
        <w:widowControl/>
        <w:spacing w:before="75" w:beforeAutospacing="0" w:after="75" w:afterAutospacing="0"/>
        <w:rPr>
          <w:color w:val="auto"/>
        </w:rPr>
      </w:pPr>
      <w:r>
        <w:rPr>
          <w:rStyle w:val="32"/>
          <w:rFonts w:hint="eastAsia" w:ascii="宋体" w:hAnsi="宋体" w:eastAsia="宋体" w:cs="宋体"/>
          <w:color w:val="auto"/>
        </w:rPr>
        <w:t>3、国家有关部门对若干合同有规范文本的，可使用相应合同文本。</w:t>
      </w:r>
    </w:p>
    <w:p w14:paraId="3D1CD8E5">
      <w:pPr>
        <w:pStyle w:val="27"/>
        <w:widowControl/>
        <w:spacing w:before="75" w:beforeAutospacing="0" w:after="75" w:afterAutospacing="0"/>
        <w:rPr>
          <w:color w:val="auto"/>
        </w:rPr>
      </w:pPr>
      <w:r>
        <w:rPr>
          <w:rFonts w:hint="eastAsia" w:ascii="宋体" w:hAnsi="宋体" w:eastAsia="宋体" w:cs="宋体"/>
          <w:color w:val="auto"/>
          <w:u w:val="single"/>
        </w:rPr>
        <w:t> </w:t>
      </w:r>
    </w:p>
    <w:p w14:paraId="1953EF0E">
      <w:pPr>
        <w:pStyle w:val="27"/>
        <w:widowControl/>
        <w:spacing w:before="75" w:beforeAutospacing="0" w:after="75" w:afterAutospacing="0"/>
        <w:rPr>
          <w:color w:val="auto"/>
        </w:rPr>
      </w:pPr>
      <w:r>
        <w:rPr>
          <w:rFonts w:hint="eastAsia" w:ascii="宋体" w:hAnsi="宋体" w:eastAsia="宋体" w:cs="宋体"/>
          <w:color w:val="auto"/>
        </w:rPr>
        <w:t>甲方：</w:t>
      </w:r>
      <w:r>
        <w:rPr>
          <w:rFonts w:hint="eastAsia" w:ascii="宋体" w:hAnsi="宋体" w:eastAsia="宋体" w:cs="宋体"/>
          <w:color w:val="auto"/>
          <w:u w:val="single"/>
        </w:rPr>
        <w:t>（采购人全称）</w:t>
      </w:r>
    </w:p>
    <w:p w14:paraId="7DCE46A4">
      <w:pPr>
        <w:pStyle w:val="27"/>
        <w:widowControl/>
        <w:spacing w:before="75" w:beforeAutospacing="0" w:after="75" w:afterAutospacing="0"/>
        <w:rPr>
          <w:color w:val="auto"/>
        </w:rPr>
      </w:pPr>
      <w:r>
        <w:rPr>
          <w:rFonts w:hint="eastAsia" w:ascii="宋体" w:hAnsi="宋体" w:eastAsia="宋体" w:cs="宋体"/>
          <w:color w:val="auto"/>
        </w:rPr>
        <w:t>乙方：</w:t>
      </w:r>
      <w:r>
        <w:rPr>
          <w:rFonts w:hint="eastAsia" w:ascii="宋体" w:hAnsi="宋体" w:eastAsia="宋体" w:cs="宋体"/>
          <w:color w:val="auto"/>
          <w:u w:val="single"/>
        </w:rPr>
        <w:t>（中标人全称）</w:t>
      </w:r>
    </w:p>
    <w:p w14:paraId="0168DE83">
      <w:pPr>
        <w:pStyle w:val="27"/>
        <w:widowControl/>
        <w:spacing w:before="75" w:beforeAutospacing="0" w:after="75" w:afterAutospacing="0"/>
        <w:rPr>
          <w:color w:val="auto"/>
        </w:rPr>
      </w:pPr>
      <w:r>
        <w:rPr>
          <w:rFonts w:hint="eastAsia" w:ascii="宋体" w:hAnsi="宋体" w:eastAsia="宋体" w:cs="宋体"/>
          <w:color w:val="auto"/>
        </w:rPr>
        <w:t> </w:t>
      </w:r>
    </w:p>
    <w:p w14:paraId="4966B1E4">
      <w:pPr>
        <w:pStyle w:val="27"/>
        <w:widowControl/>
        <w:spacing w:before="75" w:beforeAutospacing="0" w:after="75" w:afterAutospacing="0"/>
        <w:ind w:firstLine="480"/>
        <w:rPr>
          <w:color w:val="auto"/>
        </w:rPr>
      </w:pPr>
      <w:r>
        <w:rPr>
          <w:rFonts w:hint="eastAsia" w:ascii="宋体" w:hAnsi="宋体" w:eastAsia="宋体" w:cs="宋体"/>
          <w:color w:val="auto"/>
        </w:rPr>
        <w:t>根据招标编号为</w:t>
      </w:r>
      <w:r>
        <w:rPr>
          <w:rFonts w:hint="eastAsia" w:ascii="宋体" w:hAnsi="宋体" w:eastAsia="宋体" w:cs="宋体"/>
          <w:color w:val="auto"/>
          <w:u w:val="single"/>
        </w:rPr>
        <w:t>            </w:t>
      </w:r>
      <w:r>
        <w:rPr>
          <w:rFonts w:hint="eastAsia" w:ascii="宋体" w:hAnsi="宋体" w:eastAsia="宋体" w:cs="宋体"/>
          <w:color w:val="auto"/>
        </w:rPr>
        <w:t>的</w:t>
      </w:r>
      <w:r>
        <w:rPr>
          <w:rFonts w:hint="eastAsia" w:ascii="宋体" w:hAnsi="宋体" w:eastAsia="宋体" w:cs="宋体"/>
          <w:color w:val="auto"/>
          <w:u w:val="single"/>
        </w:rPr>
        <w:t>（填写“项目名称”）</w:t>
      </w:r>
      <w:r>
        <w:rPr>
          <w:rFonts w:hint="eastAsia" w:ascii="宋体" w:hAnsi="宋体" w:eastAsia="宋体" w:cs="宋体"/>
          <w:color w:val="auto"/>
        </w:rPr>
        <w:t>项目（以下简称：“本项目”）的招标结果，乙方为中标人。现经甲乙双方友好协商，就以下事项达成一致并签订本合同：</w:t>
      </w:r>
    </w:p>
    <w:p w14:paraId="0C0FEA98">
      <w:pPr>
        <w:pStyle w:val="27"/>
        <w:widowControl/>
        <w:spacing w:before="75" w:beforeAutospacing="0" w:after="75" w:afterAutospacing="0"/>
        <w:ind w:firstLine="480"/>
        <w:rPr>
          <w:color w:val="auto"/>
        </w:rPr>
      </w:pPr>
      <w:r>
        <w:rPr>
          <w:rFonts w:hint="eastAsia" w:ascii="宋体" w:hAnsi="宋体" w:eastAsia="宋体" w:cs="宋体"/>
          <w:color w:val="auto"/>
        </w:rPr>
        <w:t>1、下列合同文件是构成本合同不可分割的部分：</w:t>
      </w:r>
    </w:p>
    <w:p w14:paraId="2B5C1319">
      <w:pPr>
        <w:pStyle w:val="27"/>
        <w:widowControl/>
        <w:spacing w:before="75" w:beforeAutospacing="0" w:after="75" w:afterAutospacing="0"/>
        <w:ind w:firstLine="480"/>
        <w:rPr>
          <w:color w:val="auto"/>
        </w:rPr>
      </w:pPr>
      <w:r>
        <w:rPr>
          <w:rFonts w:hint="eastAsia" w:ascii="宋体" w:hAnsi="宋体" w:eastAsia="宋体" w:cs="宋体"/>
          <w:color w:val="auto"/>
        </w:rPr>
        <w:t>1.1合同条款；</w:t>
      </w:r>
    </w:p>
    <w:p w14:paraId="5F0D7B3A">
      <w:pPr>
        <w:pStyle w:val="27"/>
        <w:widowControl/>
        <w:spacing w:before="75" w:beforeAutospacing="0" w:after="75" w:afterAutospacing="0"/>
        <w:ind w:firstLine="480"/>
        <w:rPr>
          <w:color w:val="auto"/>
        </w:rPr>
      </w:pPr>
      <w:r>
        <w:rPr>
          <w:rFonts w:hint="eastAsia" w:ascii="宋体" w:hAnsi="宋体" w:eastAsia="宋体" w:cs="宋体"/>
          <w:color w:val="auto"/>
        </w:rPr>
        <w:t>1.2招标文件、乙方的投标文件；</w:t>
      </w:r>
    </w:p>
    <w:p w14:paraId="1E3A3CA4">
      <w:pPr>
        <w:pStyle w:val="27"/>
        <w:widowControl/>
        <w:spacing w:before="75" w:beforeAutospacing="0" w:after="75" w:afterAutospacing="0"/>
        <w:ind w:firstLine="480"/>
        <w:rPr>
          <w:color w:val="auto"/>
        </w:rPr>
      </w:pPr>
      <w:r>
        <w:rPr>
          <w:rFonts w:hint="eastAsia" w:ascii="宋体" w:hAnsi="宋体" w:eastAsia="宋体" w:cs="宋体"/>
          <w:color w:val="auto"/>
        </w:rPr>
        <w:t>1.3其他文件或材料：□无。□（若有联合协议或分包意向协议）。</w:t>
      </w:r>
    </w:p>
    <w:p w14:paraId="41F55927">
      <w:pPr>
        <w:pStyle w:val="27"/>
        <w:widowControl/>
        <w:spacing w:before="75" w:beforeAutospacing="0" w:after="75" w:afterAutospacing="0"/>
        <w:ind w:firstLine="480"/>
        <w:rPr>
          <w:color w:val="auto"/>
        </w:rPr>
      </w:pPr>
      <w:r>
        <w:rPr>
          <w:rFonts w:hint="eastAsia" w:ascii="宋体" w:hAnsi="宋体" w:eastAsia="宋体" w:cs="宋体"/>
          <w:color w:val="auto"/>
        </w:rPr>
        <w:t>2、合同标的</w:t>
      </w:r>
    </w:p>
    <w:p w14:paraId="06A9EFF5">
      <w:pPr>
        <w:pStyle w:val="27"/>
        <w:widowControl/>
        <w:spacing w:before="75" w:beforeAutospacing="0" w:after="75" w:afterAutospacing="0"/>
        <w:ind w:firstLine="480"/>
        <w:rPr>
          <w:color w:val="auto"/>
        </w:rPr>
      </w:pPr>
      <w:r>
        <w:rPr>
          <w:rFonts w:hint="eastAsia" w:ascii="宋体" w:hAnsi="宋体" w:eastAsia="宋体" w:cs="宋体"/>
          <w:color w:val="auto"/>
          <w:u w:val="single"/>
        </w:rPr>
        <w:t>（按照实际情况编制填写，可以是表格或文字描述）</w:t>
      </w:r>
      <w:r>
        <w:rPr>
          <w:rFonts w:hint="eastAsia" w:ascii="宋体" w:hAnsi="宋体" w:eastAsia="宋体" w:cs="宋体"/>
          <w:color w:val="auto"/>
        </w:rPr>
        <w:t>。</w:t>
      </w:r>
    </w:p>
    <w:p w14:paraId="2477B811">
      <w:pPr>
        <w:pStyle w:val="27"/>
        <w:widowControl/>
        <w:spacing w:before="75" w:beforeAutospacing="0" w:after="75" w:afterAutospacing="0"/>
        <w:ind w:firstLine="480"/>
        <w:rPr>
          <w:color w:val="auto"/>
        </w:rPr>
      </w:pPr>
      <w:r>
        <w:rPr>
          <w:rFonts w:hint="eastAsia" w:ascii="宋体" w:hAnsi="宋体" w:eastAsia="宋体" w:cs="宋体"/>
          <w:color w:val="auto"/>
        </w:rPr>
        <w:t>3、合同总金额</w:t>
      </w:r>
    </w:p>
    <w:p w14:paraId="12B39FB3">
      <w:pPr>
        <w:pStyle w:val="27"/>
        <w:widowControl/>
        <w:spacing w:before="75" w:beforeAutospacing="0" w:after="75" w:afterAutospacing="0"/>
        <w:ind w:firstLine="480"/>
        <w:rPr>
          <w:color w:val="auto"/>
        </w:rPr>
      </w:pPr>
      <w:r>
        <w:rPr>
          <w:rFonts w:hint="eastAsia" w:ascii="宋体" w:hAnsi="宋体" w:eastAsia="宋体" w:cs="宋体"/>
          <w:color w:val="auto"/>
        </w:rPr>
        <w:t>3.1合同总金额为人民币大写：</w:t>
      </w:r>
      <w:r>
        <w:rPr>
          <w:rFonts w:hint="eastAsia" w:ascii="宋体" w:hAnsi="宋体" w:eastAsia="宋体" w:cs="宋体"/>
          <w:color w:val="auto"/>
          <w:u w:val="single"/>
        </w:rPr>
        <w:t>              </w:t>
      </w:r>
      <w:r>
        <w:rPr>
          <w:rFonts w:hint="eastAsia" w:ascii="宋体" w:hAnsi="宋体" w:eastAsia="宋体" w:cs="宋体"/>
          <w:color w:val="auto"/>
        </w:rPr>
        <w:t>元（￥</w:t>
      </w:r>
      <w:r>
        <w:rPr>
          <w:rFonts w:hint="eastAsia" w:ascii="宋体" w:hAnsi="宋体" w:eastAsia="宋体" w:cs="宋体"/>
          <w:color w:val="auto"/>
          <w:u w:val="single"/>
        </w:rPr>
        <w:t>              </w:t>
      </w:r>
      <w:r>
        <w:rPr>
          <w:rFonts w:hint="eastAsia" w:ascii="宋体" w:hAnsi="宋体" w:eastAsia="宋体" w:cs="宋体"/>
          <w:color w:val="auto"/>
        </w:rPr>
        <w:t>）。</w:t>
      </w:r>
    </w:p>
    <w:p w14:paraId="082CE895">
      <w:pPr>
        <w:pStyle w:val="27"/>
        <w:widowControl/>
        <w:spacing w:before="75" w:beforeAutospacing="0" w:after="75" w:afterAutospacing="0"/>
        <w:ind w:firstLine="480"/>
        <w:rPr>
          <w:color w:val="auto"/>
        </w:rPr>
      </w:pPr>
      <w:r>
        <w:rPr>
          <w:rFonts w:hint="eastAsia" w:ascii="宋体" w:hAnsi="宋体" w:eastAsia="宋体" w:cs="宋体"/>
          <w:color w:val="auto"/>
        </w:rPr>
        <w:t>4、合同标的交付时间、地点和条件</w:t>
      </w:r>
    </w:p>
    <w:p w14:paraId="6984C3ED">
      <w:pPr>
        <w:pStyle w:val="27"/>
        <w:widowControl/>
        <w:spacing w:before="75" w:beforeAutospacing="0" w:after="75" w:afterAutospacing="0"/>
        <w:ind w:firstLine="480"/>
        <w:rPr>
          <w:color w:val="auto"/>
        </w:rPr>
      </w:pPr>
      <w:r>
        <w:rPr>
          <w:rFonts w:hint="eastAsia" w:ascii="宋体" w:hAnsi="宋体" w:eastAsia="宋体" w:cs="宋体"/>
          <w:color w:val="auto"/>
        </w:rPr>
        <w:t>4.1交付时间：</w:t>
      </w:r>
      <w:r>
        <w:rPr>
          <w:rFonts w:hint="eastAsia" w:ascii="宋体" w:hAnsi="宋体" w:eastAsia="宋体" w:cs="宋体"/>
          <w:color w:val="auto"/>
          <w:u w:val="single"/>
        </w:rPr>
        <w:t>                     </w:t>
      </w:r>
      <w:r>
        <w:rPr>
          <w:rFonts w:hint="eastAsia" w:ascii="宋体" w:hAnsi="宋体" w:eastAsia="宋体" w:cs="宋体"/>
          <w:color w:val="auto"/>
        </w:rPr>
        <w:t>；</w:t>
      </w:r>
    </w:p>
    <w:p w14:paraId="554863B9">
      <w:pPr>
        <w:pStyle w:val="27"/>
        <w:widowControl/>
        <w:spacing w:before="75" w:beforeAutospacing="0" w:after="75" w:afterAutospacing="0"/>
        <w:ind w:firstLine="480"/>
        <w:rPr>
          <w:color w:val="auto"/>
        </w:rPr>
      </w:pPr>
      <w:r>
        <w:rPr>
          <w:rFonts w:hint="eastAsia" w:ascii="宋体" w:hAnsi="宋体" w:eastAsia="宋体" w:cs="宋体"/>
          <w:color w:val="auto"/>
        </w:rPr>
        <w:t>4.2交付地点：</w:t>
      </w:r>
      <w:r>
        <w:rPr>
          <w:rFonts w:hint="eastAsia" w:ascii="宋体" w:hAnsi="宋体" w:eastAsia="宋体" w:cs="宋体"/>
          <w:color w:val="auto"/>
          <w:u w:val="single"/>
        </w:rPr>
        <w:t>                     </w:t>
      </w:r>
      <w:r>
        <w:rPr>
          <w:rFonts w:hint="eastAsia" w:ascii="宋体" w:hAnsi="宋体" w:eastAsia="宋体" w:cs="宋体"/>
          <w:color w:val="auto"/>
        </w:rPr>
        <w:t>；</w:t>
      </w:r>
    </w:p>
    <w:p w14:paraId="5C57AC2F">
      <w:pPr>
        <w:pStyle w:val="27"/>
        <w:widowControl/>
        <w:spacing w:before="75" w:beforeAutospacing="0" w:after="75" w:afterAutospacing="0"/>
        <w:ind w:firstLine="480"/>
        <w:rPr>
          <w:color w:val="auto"/>
        </w:rPr>
      </w:pPr>
      <w:r>
        <w:rPr>
          <w:rFonts w:hint="eastAsia" w:ascii="宋体" w:hAnsi="宋体" w:eastAsia="宋体" w:cs="宋体"/>
          <w:color w:val="auto"/>
        </w:rPr>
        <w:t>4.3交付条件：</w:t>
      </w:r>
      <w:r>
        <w:rPr>
          <w:rFonts w:hint="eastAsia" w:ascii="宋体" w:hAnsi="宋体" w:eastAsia="宋体" w:cs="宋体"/>
          <w:color w:val="auto"/>
          <w:u w:val="single"/>
        </w:rPr>
        <w:t>                     </w:t>
      </w:r>
      <w:r>
        <w:rPr>
          <w:rFonts w:hint="eastAsia" w:ascii="宋体" w:hAnsi="宋体" w:eastAsia="宋体" w:cs="宋体"/>
          <w:color w:val="auto"/>
        </w:rPr>
        <w:t>。</w:t>
      </w:r>
    </w:p>
    <w:p w14:paraId="2F4EDDC5">
      <w:pPr>
        <w:pStyle w:val="27"/>
        <w:widowControl/>
        <w:spacing w:before="75" w:beforeAutospacing="0" w:after="75" w:afterAutospacing="0"/>
        <w:ind w:firstLine="480"/>
        <w:rPr>
          <w:color w:val="auto"/>
        </w:rPr>
      </w:pPr>
      <w:r>
        <w:rPr>
          <w:rFonts w:hint="eastAsia" w:ascii="宋体" w:hAnsi="宋体" w:eastAsia="宋体" w:cs="宋体"/>
          <w:color w:val="auto"/>
        </w:rPr>
        <w:t>5、合同标的应符合招标文件、乙方投标文件的规定或约定，具体如下：</w:t>
      </w:r>
    </w:p>
    <w:p w14:paraId="18841AFE">
      <w:pPr>
        <w:pStyle w:val="27"/>
        <w:widowControl/>
        <w:spacing w:before="75" w:beforeAutospacing="0" w:after="75" w:afterAutospacing="0"/>
        <w:ind w:firstLine="480"/>
        <w:rPr>
          <w:color w:val="auto"/>
        </w:rPr>
      </w:pPr>
      <w:r>
        <w:rPr>
          <w:rFonts w:hint="eastAsia" w:ascii="宋体" w:hAnsi="宋体" w:eastAsia="宋体" w:cs="宋体"/>
          <w:color w:val="auto"/>
          <w:u w:val="single"/>
        </w:rPr>
        <w:t>（按照实际情况编制填写，可以是表格或文字描述）</w:t>
      </w:r>
      <w:r>
        <w:rPr>
          <w:rFonts w:hint="eastAsia" w:ascii="宋体" w:hAnsi="宋体" w:eastAsia="宋体" w:cs="宋体"/>
          <w:color w:val="auto"/>
        </w:rPr>
        <w:t>。</w:t>
      </w:r>
    </w:p>
    <w:p w14:paraId="324A66F3">
      <w:pPr>
        <w:pStyle w:val="27"/>
        <w:widowControl/>
        <w:spacing w:before="75" w:beforeAutospacing="0" w:after="75" w:afterAutospacing="0"/>
        <w:ind w:firstLine="480"/>
        <w:rPr>
          <w:color w:val="auto"/>
        </w:rPr>
      </w:pPr>
      <w:r>
        <w:rPr>
          <w:rFonts w:hint="eastAsia" w:ascii="宋体" w:hAnsi="宋体" w:eastAsia="宋体" w:cs="宋体"/>
          <w:color w:val="auto"/>
        </w:rPr>
        <w:t>6、验收</w:t>
      </w:r>
    </w:p>
    <w:p w14:paraId="5D706811">
      <w:pPr>
        <w:pStyle w:val="27"/>
        <w:widowControl/>
        <w:spacing w:before="75" w:beforeAutospacing="0" w:after="75" w:afterAutospacing="0"/>
        <w:ind w:firstLine="480"/>
        <w:rPr>
          <w:color w:val="auto"/>
        </w:rPr>
      </w:pPr>
      <w:r>
        <w:rPr>
          <w:rFonts w:hint="eastAsia" w:ascii="宋体" w:hAnsi="宋体" w:eastAsia="宋体" w:cs="宋体"/>
          <w:color w:val="auto"/>
        </w:rPr>
        <w:t>6.1验收应按照招标文件、乙方投标文件的规定或约定进行，具体如下：</w:t>
      </w:r>
    </w:p>
    <w:p w14:paraId="059913EE">
      <w:pPr>
        <w:pStyle w:val="27"/>
        <w:widowControl/>
        <w:spacing w:before="75" w:beforeAutospacing="0" w:after="75" w:afterAutospacing="0"/>
        <w:ind w:firstLine="480"/>
        <w:rPr>
          <w:color w:val="auto"/>
        </w:rPr>
      </w:pPr>
      <w:r>
        <w:rPr>
          <w:rFonts w:hint="eastAsia" w:ascii="宋体" w:hAnsi="宋体" w:eastAsia="宋体" w:cs="宋体"/>
          <w:color w:val="auto"/>
          <w:u w:val="single"/>
        </w:rPr>
        <w:t>（按照实际情况编制填写，可以是表格或文字描述）</w:t>
      </w:r>
      <w:r>
        <w:rPr>
          <w:rFonts w:hint="eastAsia" w:ascii="宋体" w:hAnsi="宋体" w:eastAsia="宋体" w:cs="宋体"/>
          <w:color w:val="auto"/>
        </w:rPr>
        <w:t>。</w:t>
      </w:r>
    </w:p>
    <w:p w14:paraId="6DAA569C">
      <w:pPr>
        <w:pStyle w:val="27"/>
        <w:widowControl/>
        <w:spacing w:before="75" w:beforeAutospacing="0" w:after="75" w:afterAutospacing="0"/>
        <w:ind w:firstLine="480"/>
        <w:rPr>
          <w:color w:val="auto"/>
        </w:rPr>
      </w:pPr>
      <w:r>
        <w:rPr>
          <w:rFonts w:hint="eastAsia" w:ascii="宋体" w:hAnsi="宋体" w:eastAsia="宋体" w:cs="宋体"/>
          <w:color w:val="auto"/>
        </w:rPr>
        <w:t>6.2本项目是否邀请其他投标人参与验收：</w:t>
      </w:r>
    </w:p>
    <w:p w14:paraId="1F1C6AB3">
      <w:pPr>
        <w:pStyle w:val="27"/>
        <w:widowControl/>
        <w:spacing w:before="75" w:beforeAutospacing="0" w:after="75" w:afterAutospacing="0"/>
        <w:ind w:firstLine="480"/>
        <w:rPr>
          <w:color w:val="auto"/>
        </w:rPr>
      </w:pPr>
      <w:r>
        <w:rPr>
          <w:rFonts w:hint="eastAsia" w:ascii="宋体" w:hAnsi="宋体" w:eastAsia="宋体" w:cs="宋体"/>
          <w:color w:val="auto"/>
        </w:rPr>
        <w:t>□不邀请。□邀请，具体如下：</w:t>
      </w:r>
      <w:r>
        <w:rPr>
          <w:rFonts w:hint="eastAsia" w:ascii="宋体" w:hAnsi="宋体" w:eastAsia="宋体" w:cs="宋体"/>
          <w:color w:val="auto"/>
          <w:u w:val="single"/>
        </w:rPr>
        <w:t>（按照招标文件规定填写）</w:t>
      </w:r>
      <w:r>
        <w:rPr>
          <w:rFonts w:hint="eastAsia" w:ascii="宋体" w:hAnsi="宋体" w:eastAsia="宋体" w:cs="宋体"/>
          <w:color w:val="auto"/>
        </w:rPr>
        <w:t>。</w:t>
      </w:r>
    </w:p>
    <w:p w14:paraId="7E976348">
      <w:pPr>
        <w:pStyle w:val="27"/>
        <w:widowControl/>
        <w:spacing w:before="75" w:beforeAutospacing="0" w:after="75" w:afterAutospacing="0"/>
        <w:ind w:firstLine="480"/>
        <w:rPr>
          <w:color w:val="auto"/>
        </w:rPr>
      </w:pPr>
      <w:r>
        <w:rPr>
          <w:rFonts w:hint="eastAsia" w:ascii="宋体" w:hAnsi="宋体" w:eastAsia="宋体" w:cs="宋体"/>
          <w:color w:val="auto"/>
        </w:rPr>
        <w:t>7、合同款项的支付应按照招标文件的规定进行，具体如下：</w:t>
      </w:r>
    </w:p>
    <w:p w14:paraId="2723E446">
      <w:pPr>
        <w:pStyle w:val="27"/>
        <w:widowControl/>
        <w:spacing w:before="75" w:beforeAutospacing="0" w:after="75" w:afterAutospacing="0"/>
        <w:ind w:firstLine="480"/>
        <w:rPr>
          <w:color w:val="auto"/>
        </w:rPr>
      </w:pPr>
      <w:r>
        <w:rPr>
          <w:rFonts w:hint="eastAsia" w:ascii="宋体" w:hAnsi="宋体" w:eastAsia="宋体" w:cs="宋体"/>
          <w:color w:val="auto"/>
          <w:u w:val="single"/>
        </w:rPr>
        <w:t>（按照实际情况编制填写，可以是表格或文字描述，包括一次性支付或分期支付等）</w:t>
      </w:r>
      <w:r>
        <w:rPr>
          <w:rFonts w:hint="eastAsia" w:ascii="宋体" w:hAnsi="宋体" w:eastAsia="宋体" w:cs="宋体"/>
          <w:color w:val="auto"/>
        </w:rPr>
        <w:t>。</w:t>
      </w:r>
    </w:p>
    <w:p w14:paraId="362F24C6">
      <w:pPr>
        <w:pStyle w:val="27"/>
        <w:widowControl/>
        <w:spacing w:before="75" w:beforeAutospacing="0" w:after="75" w:afterAutospacing="0"/>
        <w:ind w:firstLine="480"/>
        <w:rPr>
          <w:color w:val="auto"/>
        </w:rPr>
      </w:pPr>
      <w:r>
        <w:rPr>
          <w:rFonts w:hint="eastAsia" w:ascii="宋体" w:hAnsi="宋体" w:eastAsia="宋体" w:cs="宋体"/>
          <w:color w:val="auto"/>
        </w:rPr>
        <w:t>8、履约保证金</w:t>
      </w:r>
    </w:p>
    <w:p w14:paraId="35E24D5C">
      <w:pPr>
        <w:pStyle w:val="27"/>
        <w:widowControl/>
        <w:spacing w:before="75" w:beforeAutospacing="0" w:after="75" w:afterAutospacing="0"/>
        <w:ind w:firstLine="480"/>
        <w:rPr>
          <w:color w:val="auto"/>
        </w:rPr>
      </w:pPr>
      <w:r>
        <w:rPr>
          <w:rFonts w:hint="eastAsia" w:ascii="宋体" w:hAnsi="宋体" w:eastAsia="宋体" w:cs="宋体"/>
          <w:color w:val="auto"/>
        </w:rPr>
        <w:t>□无。□有，具体如下：</w:t>
      </w:r>
      <w:r>
        <w:rPr>
          <w:rFonts w:hint="eastAsia" w:ascii="宋体" w:hAnsi="宋体" w:eastAsia="宋体" w:cs="宋体"/>
          <w:color w:val="auto"/>
          <w:u w:val="single"/>
        </w:rPr>
        <w:t>（按照招标文件规定填写）</w:t>
      </w:r>
      <w:r>
        <w:rPr>
          <w:rFonts w:hint="eastAsia" w:ascii="宋体" w:hAnsi="宋体" w:eastAsia="宋体" w:cs="宋体"/>
          <w:color w:val="auto"/>
        </w:rPr>
        <w:t>。</w:t>
      </w:r>
    </w:p>
    <w:p w14:paraId="124F741F">
      <w:pPr>
        <w:pStyle w:val="27"/>
        <w:widowControl/>
        <w:spacing w:before="75" w:beforeAutospacing="0" w:after="75" w:afterAutospacing="0"/>
        <w:ind w:firstLine="480"/>
        <w:rPr>
          <w:color w:val="auto"/>
        </w:rPr>
      </w:pPr>
      <w:r>
        <w:rPr>
          <w:rFonts w:hint="eastAsia" w:ascii="宋体" w:hAnsi="宋体" w:eastAsia="宋体" w:cs="宋体"/>
          <w:color w:val="auto"/>
        </w:rPr>
        <w:t>9、合同有效期</w:t>
      </w:r>
    </w:p>
    <w:p w14:paraId="4FD89F95">
      <w:pPr>
        <w:pStyle w:val="27"/>
        <w:widowControl/>
        <w:spacing w:before="75" w:beforeAutospacing="0" w:after="75" w:afterAutospacing="0"/>
        <w:ind w:firstLine="480"/>
        <w:rPr>
          <w:color w:val="auto"/>
        </w:rPr>
      </w:pPr>
      <w:r>
        <w:rPr>
          <w:rFonts w:hint="eastAsia" w:ascii="宋体" w:hAnsi="宋体" w:eastAsia="宋体" w:cs="宋体"/>
          <w:color w:val="auto"/>
          <w:u w:val="single"/>
        </w:rPr>
        <w:t>（按照实际情况编制填写，可以是表格或文字描述）</w:t>
      </w:r>
      <w:r>
        <w:rPr>
          <w:rFonts w:hint="eastAsia" w:ascii="宋体" w:hAnsi="宋体" w:eastAsia="宋体" w:cs="宋体"/>
          <w:color w:val="auto"/>
        </w:rPr>
        <w:t>。</w:t>
      </w:r>
    </w:p>
    <w:p w14:paraId="3841A65C">
      <w:pPr>
        <w:pStyle w:val="27"/>
        <w:widowControl/>
        <w:spacing w:before="75" w:beforeAutospacing="0" w:after="75" w:afterAutospacing="0"/>
        <w:ind w:firstLine="480"/>
        <w:rPr>
          <w:color w:val="auto"/>
        </w:rPr>
      </w:pPr>
      <w:r>
        <w:rPr>
          <w:rFonts w:hint="eastAsia" w:ascii="宋体" w:hAnsi="宋体" w:eastAsia="宋体" w:cs="宋体"/>
          <w:color w:val="auto"/>
        </w:rPr>
        <w:t>10、违约责任</w:t>
      </w:r>
    </w:p>
    <w:p w14:paraId="48B4FB7F">
      <w:pPr>
        <w:pStyle w:val="27"/>
        <w:widowControl/>
        <w:spacing w:before="75" w:beforeAutospacing="0" w:after="75" w:afterAutospacing="0"/>
        <w:ind w:firstLine="480"/>
        <w:rPr>
          <w:color w:val="auto"/>
        </w:rPr>
      </w:pPr>
      <w:r>
        <w:rPr>
          <w:rFonts w:hint="eastAsia" w:ascii="宋体" w:hAnsi="宋体" w:eastAsia="宋体" w:cs="宋体"/>
          <w:color w:val="auto"/>
          <w:u w:val="single"/>
        </w:rPr>
        <w:t>（按照实际情况编制填写，可以是表格或文字描述）</w:t>
      </w:r>
      <w:r>
        <w:rPr>
          <w:rFonts w:hint="eastAsia" w:ascii="宋体" w:hAnsi="宋体" w:eastAsia="宋体" w:cs="宋体"/>
          <w:color w:val="auto"/>
        </w:rPr>
        <w:t>。</w:t>
      </w:r>
    </w:p>
    <w:p w14:paraId="73F130E8">
      <w:pPr>
        <w:pStyle w:val="27"/>
        <w:widowControl/>
        <w:spacing w:before="75" w:beforeAutospacing="0" w:after="75" w:afterAutospacing="0"/>
        <w:ind w:firstLine="480"/>
        <w:rPr>
          <w:color w:val="auto"/>
        </w:rPr>
      </w:pPr>
      <w:r>
        <w:rPr>
          <w:rFonts w:hint="eastAsia" w:ascii="宋体" w:hAnsi="宋体" w:eastAsia="宋体" w:cs="宋体"/>
          <w:color w:val="auto"/>
        </w:rPr>
        <w:t>11、知识产权</w:t>
      </w:r>
    </w:p>
    <w:p w14:paraId="187DF3A2">
      <w:pPr>
        <w:pStyle w:val="27"/>
        <w:widowControl/>
        <w:spacing w:before="75" w:beforeAutospacing="0" w:after="75" w:afterAutospacing="0"/>
        <w:ind w:firstLine="480"/>
        <w:rPr>
          <w:color w:val="auto"/>
        </w:rPr>
      </w:pPr>
      <w:r>
        <w:rPr>
          <w:rFonts w:hint="eastAsia" w:ascii="宋体" w:hAnsi="宋体" w:eastAsia="宋体" w:cs="宋体"/>
          <w:color w:val="auto"/>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638EA9E2">
      <w:pPr>
        <w:pStyle w:val="27"/>
        <w:widowControl/>
        <w:spacing w:before="75" w:beforeAutospacing="0" w:after="75" w:afterAutospacing="0"/>
        <w:ind w:firstLine="480"/>
        <w:rPr>
          <w:color w:val="auto"/>
        </w:rPr>
      </w:pPr>
      <w:r>
        <w:rPr>
          <w:rFonts w:hint="eastAsia" w:ascii="宋体" w:hAnsi="宋体" w:eastAsia="宋体" w:cs="宋体"/>
          <w:color w:val="auto"/>
        </w:rPr>
        <w:t>11.2若乙方提供的采购标的不符合国家知识产权法律、法规的规定或被有关主管机关认定为假冒伪劣品，则乙方中标资格将被取消；甲方还将按照有关法律、法规和规章的规定进行处理，具体如下：</w:t>
      </w:r>
      <w:r>
        <w:rPr>
          <w:rFonts w:hint="eastAsia" w:ascii="宋体" w:hAnsi="宋体" w:eastAsia="宋体" w:cs="宋体"/>
          <w:color w:val="auto"/>
          <w:u w:val="single"/>
        </w:rPr>
        <w:t>（按照实际情况编制填写）</w:t>
      </w:r>
      <w:r>
        <w:rPr>
          <w:rFonts w:hint="eastAsia" w:ascii="宋体" w:hAnsi="宋体" w:eastAsia="宋体" w:cs="宋体"/>
          <w:color w:val="auto"/>
        </w:rPr>
        <w:t>。</w:t>
      </w:r>
    </w:p>
    <w:p w14:paraId="3F014A89">
      <w:pPr>
        <w:pStyle w:val="27"/>
        <w:widowControl/>
        <w:spacing w:before="75" w:beforeAutospacing="0" w:after="75" w:afterAutospacing="0"/>
        <w:ind w:firstLine="480"/>
        <w:rPr>
          <w:color w:val="auto"/>
        </w:rPr>
      </w:pPr>
      <w:r>
        <w:rPr>
          <w:rFonts w:hint="eastAsia" w:ascii="宋体" w:hAnsi="宋体" w:eastAsia="宋体" w:cs="宋体"/>
          <w:color w:val="auto"/>
        </w:rPr>
        <w:t>12、解决争议的方法</w:t>
      </w:r>
    </w:p>
    <w:p w14:paraId="3783CCB7">
      <w:pPr>
        <w:pStyle w:val="27"/>
        <w:widowControl/>
        <w:spacing w:before="75" w:beforeAutospacing="0" w:after="75" w:afterAutospacing="0"/>
        <w:ind w:firstLine="480"/>
        <w:rPr>
          <w:color w:val="auto"/>
        </w:rPr>
      </w:pPr>
      <w:r>
        <w:rPr>
          <w:rFonts w:hint="eastAsia" w:ascii="宋体" w:hAnsi="宋体" w:eastAsia="宋体" w:cs="宋体"/>
          <w:color w:val="auto"/>
        </w:rPr>
        <w:t>12.1甲、乙双方协商解决。</w:t>
      </w:r>
    </w:p>
    <w:p w14:paraId="362B35A2">
      <w:pPr>
        <w:pStyle w:val="27"/>
        <w:widowControl/>
        <w:spacing w:before="75" w:beforeAutospacing="0" w:after="75" w:afterAutospacing="0"/>
        <w:ind w:firstLine="480"/>
        <w:rPr>
          <w:color w:val="auto"/>
        </w:rPr>
      </w:pPr>
      <w:r>
        <w:rPr>
          <w:rFonts w:hint="eastAsia" w:ascii="宋体" w:hAnsi="宋体" w:eastAsia="宋体" w:cs="宋体"/>
          <w:color w:val="auto"/>
        </w:rPr>
        <w:t>12.2若协商解决不成，则通过下列途径之一解决：</w:t>
      </w:r>
    </w:p>
    <w:p w14:paraId="4E5EC958">
      <w:pPr>
        <w:pStyle w:val="27"/>
        <w:widowControl/>
        <w:spacing w:before="75" w:beforeAutospacing="0" w:after="75" w:afterAutospacing="0"/>
        <w:ind w:firstLine="480"/>
        <w:rPr>
          <w:color w:val="auto"/>
        </w:rPr>
      </w:pPr>
      <w:r>
        <w:rPr>
          <w:rFonts w:hint="eastAsia" w:ascii="宋体" w:hAnsi="宋体" w:eastAsia="宋体" w:cs="宋体"/>
          <w:color w:val="auto"/>
        </w:rPr>
        <w:t>□提交仲裁委员会仲裁，具体如下：</w:t>
      </w:r>
      <w:r>
        <w:rPr>
          <w:rFonts w:hint="eastAsia" w:ascii="宋体" w:hAnsi="宋体" w:eastAsia="宋体" w:cs="宋体"/>
          <w:color w:val="auto"/>
          <w:u w:val="single"/>
        </w:rPr>
        <w:t>（按照实际情况编制填写）</w:t>
      </w:r>
      <w:r>
        <w:rPr>
          <w:rFonts w:hint="eastAsia" w:ascii="宋体" w:hAnsi="宋体" w:eastAsia="宋体" w:cs="宋体"/>
          <w:color w:val="auto"/>
        </w:rPr>
        <w:t>。</w:t>
      </w:r>
    </w:p>
    <w:p w14:paraId="523366F9">
      <w:pPr>
        <w:pStyle w:val="27"/>
        <w:widowControl/>
        <w:spacing w:before="75" w:beforeAutospacing="0" w:after="75" w:afterAutospacing="0"/>
        <w:ind w:firstLine="480"/>
        <w:rPr>
          <w:color w:val="auto"/>
        </w:rPr>
      </w:pPr>
      <w:r>
        <w:rPr>
          <w:rFonts w:hint="eastAsia" w:ascii="宋体" w:hAnsi="宋体" w:eastAsia="宋体" w:cs="宋体"/>
          <w:color w:val="auto"/>
        </w:rPr>
        <w:t>□向人民法院提起诉讼，具体如下：</w:t>
      </w:r>
      <w:r>
        <w:rPr>
          <w:rFonts w:hint="eastAsia" w:ascii="宋体" w:hAnsi="宋体" w:eastAsia="宋体" w:cs="宋体"/>
          <w:color w:val="auto"/>
          <w:u w:val="single"/>
        </w:rPr>
        <w:t>（按照实际情况编制填写）</w:t>
      </w:r>
      <w:r>
        <w:rPr>
          <w:rFonts w:hint="eastAsia" w:ascii="宋体" w:hAnsi="宋体" w:eastAsia="宋体" w:cs="宋体"/>
          <w:color w:val="auto"/>
        </w:rPr>
        <w:t>。</w:t>
      </w:r>
    </w:p>
    <w:p w14:paraId="0FE3E330">
      <w:pPr>
        <w:pStyle w:val="27"/>
        <w:widowControl/>
        <w:spacing w:before="75" w:beforeAutospacing="0" w:after="75" w:afterAutospacing="0"/>
        <w:ind w:firstLine="480"/>
        <w:rPr>
          <w:color w:val="auto"/>
        </w:rPr>
      </w:pPr>
      <w:r>
        <w:rPr>
          <w:rFonts w:hint="eastAsia" w:ascii="宋体" w:hAnsi="宋体" w:eastAsia="宋体" w:cs="宋体"/>
          <w:color w:val="auto"/>
        </w:rPr>
        <w:t>13、不可抗力</w:t>
      </w:r>
    </w:p>
    <w:p w14:paraId="12F0E91C">
      <w:pPr>
        <w:pStyle w:val="27"/>
        <w:widowControl/>
        <w:spacing w:before="75" w:beforeAutospacing="0" w:after="75" w:afterAutospacing="0"/>
        <w:ind w:firstLine="480"/>
        <w:rPr>
          <w:color w:val="auto"/>
        </w:rPr>
      </w:pPr>
      <w:r>
        <w:rPr>
          <w:rFonts w:hint="eastAsia" w:ascii="宋体" w:hAnsi="宋体" w:eastAsia="宋体" w:cs="宋体"/>
          <w:color w:val="auto"/>
        </w:rPr>
        <w:t>13.1因不可抗力造成违约的，遭受不可抗力一方应及时向对方通报不能履行或不能完全履行的理由，并在随后取得有关主管机关证明后的</w:t>
      </w:r>
      <w:r>
        <w:rPr>
          <w:rFonts w:ascii="Calibri" w:hAnsi="Calibri" w:cs="Calibri"/>
          <w:color w:val="auto"/>
        </w:rPr>
        <w:t>15</w:t>
      </w:r>
      <w:r>
        <w:rPr>
          <w:rFonts w:hint="eastAsia" w:ascii="宋体" w:hAnsi="宋体" w:eastAsia="宋体" w:cs="宋体"/>
          <w:color w:val="auto"/>
        </w:rPr>
        <w:t>日内向另一方提供不可抗力发生及持续期间的充分证据。基于以上行为，允许遭受不可抗力一方延期履行、部分履行或不履行合同，并根据情况可部分或全部免于承担违约责任。</w:t>
      </w:r>
    </w:p>
    <w:p w14:paraId="3FD27697">
      <w:pPr>
        <w:pStyle w:val="27"/>
        <w:widowControl/>
        <w:spacing w:before="75" w:beforeAutospacing="0" w:after="75" w:afterAutospacing="0"/>
        <w:ind w:firstLine="480"/>
        <w:rPr>
          <w:color w:val="auto"/>
        </w:rPr>
      </w:pPr>
      <w:r>
        <w:rPr>
          <w:rFonts w:hint="eastAsia" w:ascii="宋体" w:hAnsi="宋体" w:eastAsia="宋体" w:cs="宋体"/>
          <w:color w:val="auto"/>
        </w:rPr>
        <w:t>13.2本合同中的不可抗力指不能预见、不能避免、不能克服的客观情况，包括但不限于：自然灾害如地震、台风、洪水、火灾及政府行为、法律规定或其适用的变化或其他任何无法预见、避免或控制的事件。</w:t>
      </w:r>
    </w:p>
    <w:p w14:paraId="73C2B452">
      <w:pPr>
        <w:pStyle w:val="27"/>
        <w:widowControl/>
        <w:spacing w:before="75" w:beforeAutospacing="0" w:after="75" w:afterAutospacing="0"/>
        <w:ind w:firstLine="480"/>
        <w:rPr>
          <w:color w:val="auto"/>
        </w:rPr>
      </w:pPr>
      <w:r>
        <w:rPr>
          <w:rFonts w:hint="eastAsia" w:ascii="宋体" w:hAnsi="宋体" w:eastAsia="宋体" w:cs="宋体"/>
          <w:color w:val="auto"/>
        </w:rPr>
        <w:t>14、合同条款</w:t>
      </w:r>
    </w:p>
    <w:p w14:paraId="6E978462">
      <w:pPr>
        <w:pStyle w:val="27"/>
        <w:widowControl/>
        <w:spacing w:before="75" w:beforeAutospacing="0" w:after="75" w:afterAutospacing="0"/>
        <w:ind w:firstLine="480"/>
        <w:rPr>
          <w:color w:val="auto"/>
        </w:rPr>
      </w:pPr>
      <w:r>
        <w:rPr>
          <w:rFonts w:hint="eastAsia" w:ascii="宋体" w:hAnsi="宋体" w:eastAsia="宋体" w:cs="宋体"/>
          <w:color w:val="auto"/>
          <w:u w:val="single"/>
        </w:rPr>
        <w:t>（按照实际情况编制填写。招标文件第五章已有规定的，双方均不得变更或调整；招标文件第五章未作规定的，双方可通过友好协商进行约定）</w:t>
      </w:r>
      <w:r>
        <w:rPr>
          <w:rFonts w:hint="eastAsia" w:ascii="宋体" w:hAnsi="宋体" w:eastAsia="宋体" w:cs="宋体"/>
          <w:color w:val="auto"/>
        </w:rPr>
        <w:t>。</w:t>
      </w:r>
    </w:p>
    <w:p w14:paraId="37EA1809">
      <w:pPr>
        <w:pStyle w:val="27"/>
        <w:widowControl/>
        <w:spacing w:before="75" w:beforeAutospacing="0" w:after="75" w:afterAutospacing="0"/>
        <w:ind w:firstLine="480"/>
        <w:rPr>
          <w:rFonts w:ascii="宋体" w:hAnsi="宋体" w:eastAsia="宋体" w:cs="宋体"/>
          <w:color w:val="auto"/>
        </w:rPr>
      </w:pPr>
      <w:r>
        <w:rPr>
          <w:rFonts w:hint="eastAsia" w:ascii="宋体" w:hAnsi="宋体" w:eastAsia="宋体" w:cs="宋体"/>
          <w:color w:val="auto"/>
        </w:rPr>
        <w:t>15、通知</w:t>
      </w:r>
    </w:p>
    <w:p w14:paraId="6E3A4EF5">
      <w:pPr>
        <w:ind w:firstLine="480" w:firstLineChars="200"/>
        <w:rPr>
          <w:rFonts w:ascii="宋体" w:hAnsi="宋体"/>
          <w:color w:val="auto"/>
          <w:sz w:val="24"/>
        </w:rPr>
      </w:pPr>
      <w:r>
        <w:rPr>
          <w:rFonts w:hint="eastAsia" w:ascii="宋体" w:hAnsi="宋体"/>
          <w:color w:val="auto"/>
          <w:sz w:val="24"/>
        </w:rPr>
        <w:t>15.1 双方确认本合同底部所载明的地址真实有效，双方送达地址的约定的适用范围包括双方签署和履行本协议所需的各类通知、要求或其它文件以及就本协议发生争议时相关文件和法律文书的送达，同时包括在争议进入仲裁、民事诉讼程序后的一审、二审、再审和执行程序。</w:t>
      </w:r>
    </w:p>
    <w:p w14:paraId="0A63C9CD">
      <w:pPr>
        <w:widowControl/>
        <w:spacing w:before="75" w:beforeAutospacing="0" w:after="75" w:afterAutospacing="0"/>
        <w:ind w:firstLine="480" w:firstLineChars="200"/>
        <w:rPr>
          <w:rFonts w:ascii="宋体" w:hAnsi="宋体" w:eastAsia="宋体" w:cs="宋体"/>
          <w:color w:val="auto"/>
        </w:rPr>
      </w:pPr>
      <w:r>
        <w:rPr>
          <w:rFonts w:hint="eastAsia" w:ascii="宋体" w:hAnsi="宋体"/>
          <w:color w:val="auto"/>
          <w:sz w:val="24"/>
        </w:rPr>
        <w:t>15.2 一方按照该载明的地址发出的通知、函件、履约文书及法律文书等，邮件自送达之日起视为对方已知悉上述文书。如拒收或无人签收的，则从寄出之日起三日后视为有效送达。如一方变更联系方式的，应及时通知对方，未及时通知对方的，按原地址寄出的仍视为有效送达，由此产生不利后果均由未通知一方承担。</w:t>
      </w:r>
    </w:p>
    <w:p w14:paraId="5002CB92">
      <w:pPr>
        <w:pStyle w:val="27"/>
        <w:widowControl/>
        <w:spacing w:before="75" w:beforeAutospacing="0" w:after="75" w:afterAutospacing="0"/>
        <w:ind w:firstLine="480"/>
        <w:rPr>
          <w:color w:val="auto"/>
        </w:rPr>
      </w:pPr>
      <w:r>
        <w:rPr>
          <w:rFonts w:hint="eastAsia" w:ascii="宋体" w:hAnsi="宋体" w:eastAsia="宋体" w:cs="宋体"/>
          <w:color w:val="auto"/>
        </w:rPr>
        <w:t>16、其他约定</w:t>
      </w:r>
    </w:p>
    <w:p w14:paraId="56F08835">
      <w:pPr>
        <w:pStyle w:val="27"/>
        <w:widowControl/>
        <w:spacing w:before="75" w:beforeAutospacing="0" w:after="75" w:afterAutospacing="0"/>
        <w:ind w:firstLine="480"/>
        <w:rPr>
          <w:color w:val="auto"/>
        </w:rPr>
      </w:pPr>
      <w:r>
        <w:rPr>
          <w:rFonts w:hint="eastAsia" w:ascii="宋体" w:hAnsi="宋体" w:eastAsia="宋体" w:cs="宋体"/>
          <w:color w:val="auto"/>
        </w:rPr>
        <w:t>16.1合同文件与本合同具有同等法律效力。</w:t>
      </w:r>
    </w:p>
    <w:p w14:paraId="4066CC61">
      <w:pPr>
        <w:pStyle w:val="27"/>
        <w:widowControl/>
        <w:spacing w:before="75" w:beforeAutospacing="0" w:after="75" w:afterAutospacing="0"/>
        <w:ind w:firstLine="480"/>
        <w:rPr>
          <w:color w:val="auto"/>
        </w:rPr>
      </w:pPr>
      <w:r>
        <w:rPr>
          <w:rFonts w:hint="eastAsia" w:ascii="宋体" w:hAnsi="宋体" w:eastAsia="宋体" w:cs="宋体"/>
          <w:color w:val="auto"/>
        </w:rPr>
        <w:t>16.2本合同未尽事宜，双方可另行补充。</w:t>
      </w:r>
    </w:p>
    <w:p w14:paraId="5736FCAD">
      <w:pPr>
        <w:pStyle w:val="27"/>
        <w:widowControl/>
        <w:spacing w:before="75" w:beforeAutospacing="0" w:after="75" w:afterAutospacing="0"/>
        <w:ind w:firstLine="480"/>
        <w:rPr>
          <w:color w:val="auto"/>
        </w:rPr>
      </w:pPr>
      <w:r>
        <w:rPr>
          <w:rFonts w:hint="eastAsia" w:ascii="宋体" w:hAnsi="宋体" w:eastAsia="宋体" w:cs="宋体"/>
          <w:color w:val="auto"/>
        </w:rPr>
        <w:t>16.3合同生效：自签订之日起生效；通过福建省政府采购网上公开信息系统采用电子形式签订合同的，签订之日以系统记载的双方使用各自</w:t>
      </w:r>
      <w:r>
        <w:rPr>
          <w:rFonts w:ascii="Calibri" w:hAnsi="Calibri" w:cs="Calibri"/>
          <w:color w:val="auto"/>
        </w:rPr>
        <w:t>CA</w:t>
      </w:r>
      <w:r>
        <w:rPr>
          <w:rFonts w:hint="eastAsia" w:ascii="宋体" w:hAnsi="宋体" w:eastAsia="宋体" w:cs="宋体"/>
          <w:color w:val="auto"/>
        </w:rPr>
        <w:t>证书在合同上加盖单位公章或合同章的日期中的最晚时间为准。</w:t>
      </w:r>
    </w:p>
    <w:p w14:paraId="2F27B272">
      <w:pPr>
        <w:pStyle w:val="27"/>
        <w:widowControl/>
        <w:spacing w:before="75" w:beforeAutospacing="0" w:after="75" w:afterAutospacing="0"/>
        <w:ind w:firstLine="480"/>
        <w:rPr>
          <w:color w:val="auto"/>
        </w:rPr>
      </w:pPr>
      <w:r>
        <w:rPr>
          <w:rFonts w:hint="eastAsia" w:ascii="宋体" w:hAnsi="宋体" w:eastAsia="宋体" w:cs="宋体"/>
          <w:color w:val="auto"/>
        </w:rPr>
        <w:t>16.4本合同一式</w:t>
      </w:r>
      <w:r>
        <w:rPr>
          <w:rFonts w:hint="eastAsia" w:ascii="宋体" w:hAnsi="宋体" w:eastAsia="宋体" w:cs="宋体"/>
          <w:color w:val="auto"/>
          <w:u w:val="single"/>
        </w:rPr>
        <w:t>（填写具体份数）</w:t>
      </w:r>
      <w:r>
        <w:rPr>
          <w:rFonts w:hint="eastAsia" w:ascii="宋体" w:hAnsi="宋体" w:eastAsia="宋体" w:cs="宋体"/>
          <w:color w:val="auto"/>
        </w:rPr>
        <w:t>份，经双方授权代表签字并盖章后生效。甲方、乙方各执</w:t>
      </w:r>
      <w:r>
        <w:rPr>
          <w:rFonts w:hint="eastAsia" w:ascii="宋体" w:hAnsi="宋体" w:eastAsia="宋体" w:cs="宋体"/>
          <w:color w:val="auto"/>
          <w:u w:val="single"/>
        </w:rPr>
        <w:t>（填写具体份数）</w:t>
      </w:r>
      <w:r>
        <w:rPr>
          <w:rFonts w:hint="eastAsia" w:ascii="宋体" w:hAnsi="宋体" w:eastAsia="宋体" w:cs="宋体"/>
          <w:color w:val="auto"/>
        </w:rPr>
        <w:t>份，送</w:t>
      </w:r>
      <w:r>
        <w:rPr>
          <w:rFonts w:hint="eastAsia" w:ascii="宋体" w:hAnsi="宋体" w:eastAsia="宋体" w:cs="宋体"/>
          <w:color w:val="auto"/>
          <w:u w:val="single"/>
        </w:rPr>
        <w:t>（填写需要备案的监管部门的全称）</w:t>
      </w:r>
      <w:r>
        <w:rPr>
          <w:rFonts w:hint="eastAsia" w:ascii="宋体" w:hAnsi="宋体" w:eastAsia="宋体" w:cs="宋体"/>
          <w:color w:val="auto"/>
        </w:rPr>
        <w:t>备案</w:t>
      </w:r>
      <w:r>
        <w:rPr>
          <w:rFonts w:hint="eastAsia" w:ascii="宋体" w:hAnsi="宋体" w:eastAsia="宋体" w:cs="宋体"/>
          <w:color w:val="auto"/>
          <w:u w:val="single"/>
        </w:rPr>
        <w:t>（填写具体份数）</w:t>
      </w:r>
      <w:r>
        <w:rPr>
          <w:rFonts w:hint="eastAsia" w:ascii="宋体" w:hAnsi="宋体" w:eastAsia="宋体" w:cs="宋体"/>
          <w:color w:val="auto"/>
        </w:rPr>
        <w:t>份，具有同等效力。</w:t>
      </w:r>
    </w:p>
    <w:p w14:paraId="3ECA2F91">
      <w:pPr>
        <w:pStyle w:val="27"/>
        <w:widowControl/>
        <w:spacing w:before="75" w:beforeAutospacing="0" w:after="75" w:afterAutospacing="0"/>
        <w:ind w:firstLine="480"/>
        <w:rPr>
          <w:color w:val="auto"/>
        </w:rPr>
      </w:pPr>
      <w:r>
        <w:rPr>
          <w:rFonts w:hint="eastAsia" w:ascii="宋体" w:hAnsi="宋体" w:eastAsia="宋体" w:cs="宋体"/>
          <w:color w:val="auto"/>
        </w:rPr>
        <w:t>17.5其他：□无。□</w:t>
      </w:r>
      <w:r>
        <w:rPr>
          <w:rFonts w:hint="eastAsia" w:ascii="宋体" w:hAnsi="宋体" w:eastAsia="宋体" w:cs="宋体"/>
          <w:color w:val="auto"/>
          <w:u w:val="single"/>
        </w:rPr>
        <w:t>（按照实际情况编制填写需要增加的内容）</w:t>
      </w:r>
      <w:r>
        <w:rPr>
          <w:rFonts w:hint="eastAsia" w:ascii="宋体" w:hAnsi="宋体" w:eastAsia="宋体" w:cs="宋体"/>
          <w:color w:val="auto"/>
        </w:rPr>
        <w:t>。</w:t>
      </w:r>
    </w:p>
    <w:p w14:paraId="32C4A377">
      <w:pPr>
        <w:pStyle w:val="27"/>
        <w:widowControl/>
        <w:spacing w:before="75" w:beforeAutospacing="0" w:after="75" w:afterAutospacing="0"/>
        <w:jc w:val="center"/>
        <w:rPr>
          <w:color w:val="auto"/>
        </w:rPr>
      </w:pPr>
      <w:r>
        <w:rPr>
          <w:rFonts w:hint="eastAsia" w:ascii="宋体" w:hAnsi="宋体" w:eastAsia="宋体" w:cs="宋体"/>
          <w:color w:val="auto"/>
        </w:rPr>
        <w:t>（以下无正文）</w:t>
      </w:r>
    </w:p>
    <w:p w14:paraId="77C16499">
      <w:pPr>
        <w:pStyle w:val="27"/>
        <w:widowControl/>
        <w:spacing w:before="75" w:beforeAutospacing="0" w:after="75" w:afterAutospacing="0"/>
        <w:rPr>
          <w:color w:val="auto"/>
        </w:rPr>
      </w:pPr>
      <w:r>
        <w:rPr>
          <w:rFonts w:hint="eastAsia" w:ascii="宋体" w:hAnsi="宋体" w:eastAsia="宋体" w:cs="宋体"/>
          <w:color w:val="auto"/>
        </w:rPr>
        <w:t> </w:t>
      </w:r>
    </w:p>
    <w:p w14:paraId="5D02DD0C">
      <w:pPr>
        <w:pStyle w:val="27"/>
        <w:widowControl/>
        <w:spacing w:before="75" w:beforeAutospacing="0" w:after="75" w:afterAutospacing="0"/>
        <w:rPr>
          <w:color w:val="auto"/>
        </w:rPr>
      </w:pPr>
      <w:r>
        <w:rPr>
          <w:rFonts w:hint="eastAsia" w:ascii="宋体" w:hAnsi="宋体" w:eastAsia="宋体" w:cs="宋体"/>
          <w:color w:val="auto"/>
        </w:rPr>
        <w:t> </w:t>
      </w:r>
    </w:p>
    <w:p w14:paraId="75C09F50">
      <w:pPr>
        <w:pStyle w:val="27"/>
        <w:widowControl/>
        <w:spacing w:before="75" w:beforeAutospacing="0" w:after="75" w:afterAutospacing="0"/>
        <w:rPr>
          <w:color w:val="auto"/>
        </w:rPr>
      </w:pPr>
      <w:r>
        <w:rPr>
          <w:rFonts w:hint="eastAsia" w:ascii="宋体" w:hAnsi="宋体" w:eastAsia="宋体" w:cs="宋体"/>
          <w:color w:val="auto"/>
        </w:rPr>
        <w:t>甲方：                 乙方：</w:t>
      </w:r>
    </w:p>
    <w:p w14:paraId="3E963147">
      <w:pPr>
        <w:pStyle w:val="27"/>
        <w:widowControl/>
        <w:spacing w:before="75" w:beforeAutospacing="0" w:after="75" w:afterAutospacing="0"/>
        <w:rPr>
          <w:color w:val="auto"/>
        </w:rPr>
      </w:pPr>
      <w:r>
        <w:rPr>
          <w:rFonts w:hint="eastAsia" w:ascii="宋体" w:hAnsi="宋体" w:eastAsia="宋体" w:cs="宋体"/>
          <w:color w:val="auto"/>
        </w:rPr>
        <w:t>住所：                 住所：</w:t>
      </w:r>
    </w:p>
    <w:p w14:paraId="0FF7C18E">
      <w:pPr>
        <w:pStyle w:val="27"/>
        <w:widowControl/>
        <w:spacing w:before="75" w:beforeAutospacing="0" w:after="75" w:afterAutospacing="0"/>
        <w:rPr>
          <w:color w:val="auto"/>
        </w:rPr>
      </w:pPr>
      <w:r>
        <w:rPr>
          <w:rFonts w:hint="eastAsia" w:ascii="宋体" w:hAnsi="宋体" w:eastAsia="宋体" w:cs="宋体"/>
          <w:color w:val="auto"/>
        </w:rPr>
        <w:t>单位负责人：              单位负责人：</w:t>
      </w:r>
    </w:p>
    <w:p w14:paraId="4567D16A">
      <w:pPr>
        <w:pStyle w:val="27"/>
        <w:widowControl/>
        <w:spacing w:before="75" w:beforeAutospacing="0" w:after="75" w:afterAutospacing="0"/>
        <w:rPr>
          <w:color w:val="auto"/>
        </w:rPr>
      </w:pPr>
      <w:r>
        <w:rPr>
          <w:rFonts w:hint="eastAsia" w:ascii="宋体" w:hAnsi="宋体" w:eastAsia="宋体" w:cs="宋体"/>
          <w:color w:val="auto"/>
        </w:rPr>
        <w:t>委托代理人：              委托代理人：</w:t>
      </w:r>
    </w:p>
    <w:p w14:paraId="41102152">
      <w:pPr>
        <w:pStyle w:val="27"/>
        <w:widowControl/>
        <w:spacing w:before="75" w:beforeAutospacing="0" w:after="75" w:afterAutospacing="0"/>
        <w:rPr>
          <w:color w:val="auto"/>
        </w:rPr>
      </w:pPr>
      <w:r>
        <w:rPr>
          <w:rFonts w:hint="eastAsia" w:ascii="宋体" w:hAnsi="宋体" w:eastAsia="宋体" w:cs="宋体"/>
          <w:color w:val="auto"/>
        </w:rPr>
        <w:t>联系方法：               联系方法：</w:t>
      </w:r>
    </w:p>
    <w:p w14:paraId="2D84D48A">
      <w:pPr>
        <w:pStyle w:val="27"/>
        <w:widowControl/>
        <w:spacing w:before="75" w:beforeAutospacing="0" w:after="75" w:afterAutospacing="0"/>
        <w:rPr>
          <w:color w:val="auto"/>
        </w:rPr>
      </w:pPr>
      <w:r>
        <w:rPr>
          <w:rFonts w:hint="eastAsia" w:ascii="宋体" w:hAnsi="宋体" w:eastAsia="宋体" w:cs="宋体"/>
          <w:color w:val="auto"/>
        </w:rPr>
        <w:t>开户银行：               开户银行：</w:t>
      </w:r>
    </w:p>
    <w:p w14:paraId="16C60D05">
      <w:pPr>
        <w:pStyle w:val="27"/>
        <w:widowControl/>
        <w:spacing w:before="75" w:beforeAutospacing="0" w:after="75" w:afterAutospacing="0"/>
        <w:rPr>
          <w:color w:val="auto"/>
        </w:rPr>
      </w:pPr>
      <w:r>
        <w:rPr>
          <w:rFonts w:hint="eastAsia" w:ascii="宋体" w:hAnsi="宋体" w:eastAsia="宋体" w:cs="宋体"/>
          <w:color w:val="auto"/>
        </w:rPr>
        <w:t>账号：                 账号：</w:t>
      </w:r>
    </w:p>
    <w:p w14:paraId="4F815C17">
      <w:pPr>
        <w:pStyle w:val="27"/>
        <w:widowControl/>
        <w:spacing w:before="75" w:beforeAutospacing="0" w:after="75" w:afterAutospacing="0"/>
        <w:rPr>
          <w:color w:val="auto"/>
        </w:rPr>
      </w:pPr>
      <w:r>
        <w:rPr>
          <w:rFonts w:hint="eastAsia" w:ascii="宋体" w:hAnsi="宋体" w:eastAsia="宋体" w:cs="宋体"/>
          <w:color w:val="auto"/>
        </w:rPr>
        <w:t> </w:t>
      </w:r>
    </w:p>
    <w:p w14:paraId="2D2F7A4C">
      <w:pPr>
        <w:pStyle w:val="27"/>
        <w:widowControl/>
        <w:spacing w:before="75" w:beforeAutospacing="0" w:after="75" w:afterAutospacing="0"/>
        <w:rPr>
          <w:color w:val="auto"/>
        </w:rPr>
      </w:pPr>
      <w:r>
        <w:rPr>
          <w:rFonts w:hint="eastAsia" w:ascii="宋体" w:hAnsi="宋体" w:eastAsia="宋体" w:cs="宋体"/>
          <w:color w:val="auto"/>
        </w:rPr>
        <w:t> </w:t>
      </w:r>
    </w:p>
    <w:p w14:paraId="50BEC815">
      <w:pPr>
        <w:pStyle w:val="27"/>
        <w:widowControl/>
        <w:spacing w:before="75" w:beforeAutospacing="0" w:after="75" w:afterAutospacing="0"/>
        <w:rPr>
          <w:color w:val="auto"/>
        </w:rPr>
      </w:pPr>
      <w:r>
        <w:rPr>
          <w:rFonts w:hint="eastAsia" w:ascii="宋体" w:hAnsi="宋体" w:eastAsia="宋体" w:cs="宋体"/>
          <w:color w:val="auto"/>
        </w:rPr>
        <w:t>签订地点：</w:t>
      </w:r>
      <w:r>
        <w:rPr>
          <w:rFonts w:hint="eastAsia" w:ascii="宋体" w:hAnsi="宋体" w:eastAsia="宋体" w:cs="宋体"/>
          <w:color w:val="auto"/>
          <w:u w:val="single"/>
        </w:rPr>
        <w:t>                </w:t>
      </w:r>
    </w:p>
    <w:p w14:paraId="57ED587B">
      <w:pPr>
        <w:pStyle w:val="27"/>
        <w:widowControl/>
        <w:spacing w:before="75" w:beforeAutospacing="0" w:after="75" w:afterAutospacing="0"/>
        <w:rPr>
          <w:color w:val="auto"/>
        </w:rPr>
      </w:pPr>
      <w:r>
        <w:rPr>
          <w:rFonts w:hint="eastAsia" w:ascii="宋体" w:hAnsi="宋体" w:eastAsia="宋体" w:cs="宋体"/>
          <w:color w:val="auto"/>
        </w:rPr>
        <w:t>签订日期：</w:t>
      </w:r>
      <w:r>
        <w:rPr>
          <w:rFonts w:hint="eastAsia" w:ascii="宋体" w:hAnsi="宋体" w:eastAsia="宋体" w:cs="宋体"/>
          <w:color w:val="auto"/>
          <w:u w:val="single"/>
        </w:rPr>
        <w:t>    </w:t>
      </w:r>
      <w:r>
        <w:rPr>
          <w:rFonts w:hint="eastAsia" w:ascii="宋体" w:hAnsi="宋体" w:eastAsia="宋体" w:cs="宋体"/>
          <w:color w:val="auto"/>
        </w:rPr>
        <w:t>年</w:t>
      </w:r>
      <w:r>
        <w:rPr>
          <w:rFonts w:hint="eastAsia" w:ascii="宋体" w:hAnsi="宋体" w:eastAsia="宋体" w:cs="宋体"/>
          <w:color w:val="auto"/>
          <w:u w:val="single"/>
        </w:rPr>
        <w:t>   </w:t>
      </w:r>
      <w:r>
        <w:rPr>
          <w:rFonts w:hint="eastAsia" w:ascii="宋体" w:hAnsi="宋体" w:eastAsia="宋体" w:cs="宋体"/>
          <w:color w:val="auto"/>
        </w:rPr>
        <w:t>月</w:t>
      </w:r>
      <w:r>
        <w:rPr>
          <w:rFonts w:hint="eastAsia" w:ascii="宋体" w:hAnsi="宋体" w:eastAsia="宋体" w:cs="宋体"/>
          <w:color w:val="auto"/>
          <w:u w:val="single"/>
        </w:rPr>
        <w:t>   </w:t>
      </w:r>
      <w:r>
        <w:rPr>
          <w:rFonts w:hint="eastAsia" w:ascii="宋体" w:hAnsi="宋体" w:eastAsia="宋体" w:cs="宋体"/>
          <w:color w:val="auto"/>
        </w:rPr>
        <w:t>日</w:t>
      </w:r>
    </w:p>
    <w:p w14:paraId="3386FD07">
      <w:pPr>
        <w:pStyle w:val="27"/>
        <w:widowControl/>
        <w:spacing w:before="75" w:beforeAutospacing="0" w:after="75" w:afterAutospacing="0"/>
        <w:jc w:val="center"/>
        <w:rPr>
          <w:color w:val="auto"/>
        </w:rPr>
      </w:pPr>
      <w:r>
        <w:rPr>
          <w:color w:val="auto"/>
        </w:rPr>
        <w:t> </w:t>
      </w:r>
    </w:p>
    <w:p w14:paraId="34D23267">
      <w:pPr>
        <w:pStyle w:val="27"/>
        <w:widowControl/>
        <w:spacing w:before="75" w:beforeAutospacing="0" w:after="240" w:afterAutospacing="0"/>
        <w:rPr>
          <w:color w:val="auto"/>
        </w:rPr>
      </w:pPr>
      <w:r>
        <w:rPr>
          <w:color w:val="auto"/>
        </w:rPr>
        <w:t> </w:t>
      </w:r>
    </w:p>
    <w:p w14:paraId="018FA905">
      <w:pPr>
        <w:pStyle w:val="27"/>
        <w:widowControl/>
        <w:spacing w:before="75" w:beforeAutospacing="0" w:after="75" w:afterAutospacing="0"/>
        <w:jc w:val="center"/>
        <w:rPr>
          <w:rStyle w:val="32"/>
          <w:rFonts w:ascii="宋体" w:hAnsi="宋体" w:eastAsia="宋体" w:cs="宋体"/>
          <w:color w:val="auto"/>
          <w:sz w:val="31"/>
          <w:szCs w:val="31"/>
        </w:rPr>
      </w:pPr>
      <w:r>
        <w:rPr>
          <w:rStyle w:val="32"/>
          <w:rFonts w:hint="eastAsia" w:ascii="宋体" w:hAnsi="宋体" w:eastAsia="宋体" w:cs="宋体"/>
          <w:color w:val="auto"/>
          <w:sz w:val="31"/>
          <w:szCs w:val="31"/>
        </w:rPr>
        <w:br w:type="page"/>
      </w:r>
    </w:p>
    <w:p w14:paraId="7DF6D02D">
      <w:pPr>
        <w:pStyle w:val="27"/>
        <w:widowControl/>
        <w:spacing w:before="75" w:beforeAutospacing="0" w:after="75" w:afterAutospacing="0"/>
        <w:jc w:val="center"/>
        <w:outlineLvl w:val="0"/>
        <w:rPr>
          <w:color w:val="auto"/>
        </w:rPr>
      </w:pPr>
      <w:bookmarkStart w:id="235" w:name="_Toc8347"/>
      <w:r>
        <w:rPr>
          <w:rStyle w:val="32"/>
          <w:rFonts w:hint="eastAsia" w:ascii="宋体" w:hAnsi="宋体" w:eastAsia="宋体" w:cs="宋体"/>
          <w:color w:val="auto"/>
          <w:sz w:val="31"/>
          <w:szCs w:val="31"/>
        </w:rPr>
        <w:t>第七章   投标文件格式</w:t>
      </w:r>
      <w:bookmarkEnd w:id="235"/>
    </w:p>
    <w:p w14:paraId="4BEC6697">
      <w:pPr>
        <w:pStyle w:val="27"/>
        <w:widowControl/>
        <w:spacing w:line="240" w:lineRule="exact"/>
        <w:jc w:val="center"/>
        <w:rPr>
          <w:color w:val="auto"/>
          <w:sz w:val="22"/>
          <w:szCs w:val="22"/>
        </w:rPr>
      </w:pPr>
      <w:r>
        <w:rPr>
          <w:rStyle w:val="32"/>
          <w:rFonts w:hint="eastAsia" w:ascii="宋体" w:hAnsi="宋体" w:eastAsia="宋体" w:cs="宋体"/>
          <w:color w:val="auto"/>
          <w:sz w:val="22"/>
          <w:szCs w:val="22"/>
        </w:rPr>
        <w:t>编制说明</w:t>
      </w:r>
    </w:p>
    <w:p w14:paraId="307092F8">
      <w:pPr>
        <w:pStyle w:val="27"/>
        <w:widowControl/>
        <w:spacing w:line="240" w:lineRule="exact"/>
        <w:rPr>
          <w:color w:val="auto"/>
          <w:sz w:val="21"/>
          <w:szCs w:val="21"/>
        </w:rPr>
      </w:pPr>
      <w:r>
        <w:rPr>
          <w:rFonts w:hint="eastAsia" w:ascii="宋体" w:hAnsi="宋体" w:eastAsia="宋体" w:cs="宋体"/>
          <w:color w:val="auto"/>
          <w:sz w:val="21"/>
          <w:szCs w:val="21"/>
        </w:rPr>
        <w:t> 1、除招标文件另有规定外，本章中：</w:t>
      </w:r>
    </w:p>
    <w:p w14:paraId="4A295300">
      <w:pPr>
        <w:pStyle w:val="27"/>
        <w:widowControl/>
        <w:spacing w:line="240" w:lineRule="exact"/>
        <w:ind w:firstLine="480"/>
        <w:rPr>
          <w:color w:val="auto"/>
          <w:sz w:val="21"/>
          <w:szCs w:val="21"/>
        </w:rPr>
      </w:pPr>
      <w:r>
        <w:rPr>
          <w:rFonts w:hint="eastAsia" w:ascii="宋体" w:hAnsi="宋体" w:eastAsia="宋体" w:cs="宋体"/>
          <w:color w:val="auto"/>
          <w:sz w:val="21"/>
          <w:szCs w:val="21"/>
        </w:rPr>
        <w:t>1.1涉及投标人的</w:t>
      </w:r>
      <w:r>
        <w:rPr>
          <w:rStyle w:val="32"/>
          <w:rFonts w:hint="eastAsia" w:ascii="宋体" w:hAnsi="宋体" w:eastAsia="宋体" w:cs="宋体"/>
          <w:color w:val="auto"/>
          <w:sz w:val="21"/>
          <w:szCs w:val="21"/>
        </w:rPr>
        <w:t>“全称”</w:t>
      </w:r>
      <w:r>
        <w:rPr>
          <w:rFonts w:hint="eastAsia" w:ascii="宋体" w:hAnsi="宋体" w:eastAsia="宋体" w:cs="宋体"/>
          <w:color w:val="auto"/>
          <w:sz w:val="21"/>
          <w:szCs w:val="21"/>
        </w:rPr>
        <w:t>：</w:t>
      </w:r>
    </w:p>
    <w:p w14:paraId="405F943C">
      <w:pPr>
        <w:pStyle w:val="27"/>
        <w:widowControl/>
        <w:spacing w:line="240" w:lineRule="exact"/>
        <w:ind w:firstLine="480"/>
        <w:rPr>
          <w:color w:val="auto"/>
          <w:sz w:val="21"/>
          <w:szCs w:val="21"/>
        </w:rPr>
      </w:pPr>
      <w:r>
        <w:rPr>
          <w:rFonts w:hint="eastAsia" w:ascii="宋体" w:hAnsi="宋体" w:eastAsia="宋体" w:cs="宋体"/>
          <w:color w:val="auto"/>
          <w:sz w:val="21"/>
          <w:szCs w:val="21"/>
        </w:rPr>
        <w:t>（1）不接受联合体投标的，指</w:t>
      </w:r>
      <w:r>
        <w:rPr>
          <w:rStyle w:val="32"/>
          <w:rFonts w:hint="eastAsia" w:ascii="宋体" w:hAnsi="宋体" w:eastAsia="宋体" w:cs="宋体"/>
          <w:color w:val="auto"/>
          <w:sz w:val="21"/>
          <w:szCs w:val="21"/>
        </w:rPr>
        <w:t>投标人的全称</w:t>
      </w:r>
      <w:r>
        <w:rPr>
          <w:rFonts w:hint="eastAsia" w:ascii="宋体" w:hAnsi="宋体" w:eastAsia="宋体" w:cs="宋体"/>
          <w:color w:val="auto"/>
          <w:sz w:val="21"/>
          <w:szCs w:val="21"/>
        </w:rPr>
        <w:t>。</w:t>
      </w:r>
    </w:p>
    <w:p w14:paraId="4DFB07B4">
      <w:pPr>
        <w:pStyle w:val="27"/>
        <w:widowControl/>
        <w:spacing w:line="240" w:lineRule="exact"/>
        <w:ind w:firstLine="480"/>
        <w:rPr>
          <w:color w:val="auto"/>
          <w:sz w:val="21"/>
          <w:szCs w:val="21"/>
        </w:rPr>
      </w:pPr>
      <w:r>
        <w:rPr>
          <w:rFonts w:hint="eastAsia" w:ascii="宋体" w:hAnsi="宋体" w:eastAsia="宋体" w:cs="宋体"/>
          <w:color w:val="auto"/>
          <w:sz w:val="21"/>
          <w:szCs w:val="21"/>
        </w:rPr>
        <w:t>（2）接受联合体投标且投标人为联合体的，指</w:t>
      </w:r>
      <w:r>
        <w:rPr>
          <w:rStyle w:val="32"/>
          <w:rFonts w:hint="eastAsia" w:ascii="宋体" w:hAnsi="宋体" w:eastAsia="宋体" w:cs="宋体"/>
          <w:color w:val="auto"/>
          <w:sz w:val="21"/>
          <w:szCs w:val="21"/>
        </w:rPr>
        <w:t>牵头方的全称</w:t>
      </w:r>
      <w:r>
        <w:rPr>
          <w:rFonts w:hint="eastAsia" w:ascii="宋体" w:hAnsi="宋体" w:eastAsia="宋体" w:cs="宋体"/>
          <w:color w:val="auto"/>
          <w:sz w:val="21"/>
          <w:szCs w:val="21"/>
        </w:rPr>
        <w:t>并加注</w:t>
      </w:r>
      <w:r>
        <w:rPr>
          <w:rStyle w:val="32"/>
          <w:rFonts w:hint="eastAsia" w:ascii="宋体" w:hAnsi="宋体" w:eastAsia="宋体" w:cs="宋体"/>
          <w:color w:val="auto"/>
          <w:sz w:val="21"/>
          <w:szCs w:val="21"/>
        </w:rPr>
        <w:t>（联合体牵头方）</w:t>
      </w:r>
      <w:r>
        <w:rPr>
          <w:rFonts w:hint="eastAsia" w:ascii="宋体" w:hAnsi="宋体" w:eastAsia="宋体" w:cs="宋体"/>
          <w:color w:val="auto"/>
          <w:sz w:val="21"/>
          <w:szCs w:val="21"/>
        </w:rPr>
        <w:t>，即应表述为：</w:t>
      </w:r>
      <w:r>
        <w:rPr>
          <w:rStyle w:val="32"/>
          <w:rFonts w:hint="eastAsia" w:ascii="宋体" w:hAnsi="宋体" w:eastAsia="宋体" w:cs="宋体"/>
          <w:color w:val="auto"/>
          <w:sz w:val="21"/>
          <w:szCs w:val="21"/>
        </w:rPr>
        <w:t>“牵头方的全称（联合体牵头方）”</w:t>
      </w:r>
      <w:r>
        <w:rPr>
          <w:rFonts w:hint="eastAsia" w:ascii="宋体" w:hAnsi="宋体" w:eastAsia="宋体" w:cs="宋体"/>
          <w:color w:val="auto"/>
          <w:sz w:val="21"/>
          <w:szCs w:val="21"/>
        </w:rPr>
        <w:t>。</w:t>
      </w:r>
    </w:p>
    <w:p w14:paraId="55C15522">
      <w:pPr>
        <w:pStyle w:val="27"/>
        <w:widowControl/>
        <w:spacing w:line="240" w:lineRule="exact"/>
        <w:ind w:firstLine="480"/>
        <w:rPr>
          <w:color w:val="auto"/>
          <w:sz w:val="21"/>
          <w:szCs w:val="21"/>
        </w:rPr>
      </w:pPr>
      <w:r>
        <w:rPr>
          <w:rFonts w:hint="eastAsia" w:ascii="宋体" w:hAnsi="宋体" w:eastAsia="宋体" w:cs="宋体"/>
          <w:color w:val="auto"/>
          <w:sz w:val="21"/>
          <w:szCs w:val="21"/>
        </w:rPr>
        <w:t>1.2涉及投标人</w:t>
      </w:r>
      <w:r>
        <w:rPr>
          <w:rStyle w:val="32"/>
          <w:rFonts w:hint="eastAsia" w:ascii="宋体" w:hAnsi="宋体" w:eastAsia="宋体" w:cs="宋体"/>
          <w:color w:val="auto"/>
          <w:sz w:val="21"/>
          <w:szCs w:val="21"/>
        </w:rPr>
        <w:t>“加盖单位公章”</w:t>
      </w:r>
      <w:r>
        <w:rPr>
          <w:rFonts w:hint="eastAsia" w:ascii="宋体" w:hAnsi="宋体" w:eastAsia="宋体" w:cs="宋体"/>
          <w:color w:val="auto"/>
          <w:sz w:val="21"/>
          <w:szCs w:val="21"/>
        </w:rPr>
        <w:t>：</w:t>
      </w:r>
    </w:p>
    <w:p w14:paraId="1663FBC6">
      <w:pPr>
        <w:pStyle w:val="27"/>
        <w:widowControl/>
        <w:spacing w:line="240" w:lineRule="exact"/>
        <w:ind w:firstLine="480"/>
        <w:rPr>
          <w:color w:val="auto"/>
          <w:sz w:val="21"/>
          <w:szCs w:val="21"/>
        </w:rPr>
      </w:pPr>
      <w:r>
        <w:rPr>
          <w:rFonts w:hint="eastAsia" w:ascii="宋体" w:hAnsi="宋体" w:eastAsia="宋体" w:cs="宋体"/>
          <w:color w:val="auto"/>
          <w:sz w:val="21"/>
          <w:szCs w:val="21"/>
        </w:rPr>
        <w:t>（1）不接受联合体投标的，指</w:t>
      </w:r>
      <w:r>
        <w:rPr>
          <w:rStyle w:val="32"/>
          <w:rFonts w:hint="eastAsia" w:ascii="宋体" w:hAnsi="宋体" w:eastAsia="宋体" w:cs="宋体"/>
          <w:color w:val="auto"/>
          <w:sz w:val="21"/>
          <w:szCs w:val="21"/>
        </w:rPr>
        <w:t>加盖投标人的单位公章</w:t>
      </w:r>
      <w:r>
        <w:rPr>
          <w:rFonts w:hint="eastAsia" w:ascii="宋体" w:hAnsi="宋体" w:eastAsia="宋体" w:cs="宋体"/>
          <w:color w:val="auto"/>
          <w:sz w:val="21"/>
          <w:szCs w:val="21"/>
        </w:rPr>
        <w:t>。</w:t>
      </w:r>
    </w:p>
    <w:p w14:paraId="2224B22F">
      <w:pPr>
        <w:pStyle w:val="27"/>
        <w:widowControl/>
        <w:spacing w:line="240" w:lineRule="exact"/>
        <w:ind w:firstLine="480"/>
        <w:rPr>
          <w:color w:val="auto"/>
          <w:sz w:val="21"/>
          <w:szCs w:val="21"/>
        </w:rPr>
      </w:pPr>
      <w:r>
        <w:rPr>
          <w:rFonts w:hint="eastAsia" w:ascii="宋体" w:hAnsi="宋体" w:eastAsia="宋体" w:cs="宋体"/>
          <w:color w:val="auto"/>
          <w:sz w:val="21"/>
          <w:szCs w:val="21"/>
        </w:rPr>
        <w:t>（2）接受联合体投标且投标人为联合体的，指</w:t>
      </w:r>
      <w:r>
        <w:rPr>
          <w:rStyle w:val="32"/>
          <w:rFonts w:hint="eastAsia" w:ascii="宋体" w:hAnsi="宋体" w:eastAsia="宋体" w:cs="宋体"/>
          <w:color w:val="auto"/>
          <w:sz w:val="21"/>
          <w:szCs w:val="21"/>
        </w:rPr>
        <w:t>加盖联合体牵头方的单位公章</w:t>
      </w:r>
      <w:r>
        <w:rPr>
          <w:rFonts w:hint="eastAsia" w:ascii="宋体" w:hAnsi="宋体" w:eastAsia="宋体" w:cs="宋体"/>
          <w:color w:val="auto"/>
          <w:sz w:val="21"/>
          <w:szCs w:val="21"/>
        </w:rPr>
        <w:t>。</w:t>
      </w:r>
    </w:p>
    <w:p w14:paraId="56950F93">
      <w:pPr>
        <w:pStyle w:val="27"/>
        <w:widowControl/>
        <w:spacing w:line="240" w:lineRule="exact"/>
        <w:ind w:firstLine="480"/>
        <w:rPr>
          <w:color w:val="auto"/>
          <w:sz w:val="21"/>
          <w:szCs w:val="21"/>
        </w:rPr>
      </w:pPr>
      <w:r>
        <w:rPr>
          <w:rFonts w:hint="eastAsia" w:ascii="宋体" w:hAnsi="宋体" w:eastAsia="宋体" w:cs="宋体"/>
          <w:color w:val="auto"/>
          <w:sz w:val="21"/>
          <w:szCs w:val="21"/>
        </w:rPr>
        <w:t>1.3涉及</w:t>
      </w:r>
      <w:r>
        <w:rPr>
          <w:rStyle w:val="32"/>
          <w:rFonts w:hint="eastAsia" w:ascii="宋体" w:hAnsi="宋体" w:eastAsia="宋体" w:cs="宋体"/>
          <w:color w:val="auto"/>
          <w:sz w:val="21"/>
          <w:szCs w:val="21"/>
        </w:rPr>
        <w:t>“投标人代表签字”</w:t>
      </w:r>
      <w:r>
        <w:rPr>
          <w:rFonts w:hint="eastAsia" w:ascii="宋体" w:hAnsi="宋体" w:eastAsia="宋体" w:cs="宋体"/>
          <w:color w:val="auto"/>
          <w:sz w:val="21"/>
          <w:szCs w:val="21"/>
        </w:rPr>
        <w:t>：</w:t>
      </w:r>
    </w:p>
    <w:p w14:paraId="7A430C9B">
      <w:pPr>
        <w:pStyle w:val="27"/>
        <w:widowControl/>
        <w:spacing w:line="240" w:lineRule="exact"/>
        <w:ind w:firstLine="480"/>
        <w:rPr>
          <w:color w:val="auto"/>
          <w:sz w:val="21"/>
          <w:szCs w:val="21"/>
        </w:rPr>
      </w:pPr>
      <w:r>
        <w:rPr>
          <w:rFonts w:hint="eastAsia" w:ascii="宋体" w:hAnsi="宋体" w:eastAsia="宋体" w:cs="宋体"/>
          <w:color w:val="auto"/>
          <w:sz w:val="21"/>
          <w:szCs w:val="21"/>
        </w:rPr>
        <w:t>（1）不接受联合体投标的，指由</w:t>
      </w:r>
      <w:r>
        <w:rPr>
          <w:rStyle w:val="32"/>
          <w:rFonts w:hint="eastAsia" w:ascii="宋体" w:hAnsi="宋体" w:eastAsia="宋体" w:cs="宋体"/>
          <w:color w:val="auto"/>
          <w:sz w:val="21"/>
          <w:szCs w:val="21"/>
        </w:rPr>
        <w:t>投标人的单位负责人或其授权的委托代理人签字</w:t>
      </w:r>
      <w:r>
        <w:rPr>
          <w:rFonts w:hint="eastAsia" w:ascii="宋体" w:hAnsi="宋体" w:eastAsia="宋体" w:cs="宋体"/>
          <w:color w:val="auto"/>
          <w:sz w:val="21"/>
          <w:szCs w:val="21"/>
        </w:rPr>
        <w:t>，由委托代理人签字的，应提供“单位负责人授权书”。</w:t>
      </w:r>
    </w:p>
    <w:p w14:paraId="79AB6B74">
      <w:pPr>
        <w:pStyle w:val="27"/>
        <w:widowControl/>
        <w:spacing w:line="240" w:lineRule="exact"/>
        <w:ind w:firstLine="480"/>
        <w:rPr>
          <w:color w:val="auto"/>
          <w:sz w:val="21"/>
          <w:szCs w:val="21"/>
        </w:rPr>
      </w:pPr>
      <w:r>
        <w:rPr>
          <w:rFonts w:hint="eastAsia" w:ascii="宋体" w:hAnsi="宋体" w:eastAsia="宋体" w:cs="宋体"/>
          <w:color w:val="auto"/>
          <w:sz w:val="21"/>
          <w:szCs w:val="21"/>
        </w:rPr>
        <w:t>（2）接受联合体投标且投标人为联合体的，指由</w:t>
      </w:r>
      <w:r>
        <w:rPr>
          <w:rStyle w:val="32"/>
          <w:rFonts w:hint="eastAsia" w:ascii="宋体" w:hAnsi="宋体" w:eastAsia="宋体" w:cs="宋体"/>
          <w:color w:val="auto"/>
          <w:sz w:val="21"/>
          <w:szCs w:val="21"/>
        </w:rPr>
        <w:t>联合体牵头方的单位负责人或其授权的委托代理人签字</w:t>
      </w:r>
      <w:r>
        <w:rPr>
          <w:rFonts w:hint="eastAsia" w:ascii="宋体" w:hAnsi="宋体" w:eastAsia="宋体" w:cs="宋体"/>
          <w:color w:val="auto"/>
          <w:sz w:val="21"/>
          <w:szCs w:val="21"/>
        </w:rPr>
        <w:t>，由委托代理人签字的，应提供“单位负责人授权书”。</w:t>
      </w:r>
    </w:p>
    <w:p w14:paraId="2F9E66EA">
      <w:pPr>
        <w:pStyle w:val="27"/>
        <w:widowControl/>
        <w:spacing w:line="240" w:lineRule="exact"/>
        <w:ind w:firstLine="480"/>
        <w:rPr>
          <w:color w:val="auto"/>
          <w:sz w:val="21"/>
          <w:szCs w:val="21"/>
        </w:rPr>
      </w:pPr>
      <w:r>
        <w:rPr>
          <w:rFonts w:hint="eastAsia" w:ascii="宋体" w:hAnsi="宋体" w:eastAsia="宋体" w:cs="宋体"/>
          <w:color w:val="auto"/>
          <w:sz w:val="21"/>
          <w:szCs w:val="21"/>
        </w:rPr>
        <w:t>1.4</w:t>
      </w:r>
      <w:r>
        <w:rPr>
          <w:rStyle w:val="32"/>
          <w:rFonts w:hint="eastAsia" w:ascii="宋体" w:hAnsi="宋体" w:eastAsia="宋体" w:cs="宋体"/>
          <w:color w:val="auto"/>
          <w:sz w:val="21"/>
          <w:szCs w:val="21"/>
        </w:rPr>
        <w:t>“其他组织”</w:t>
      </w:r>
      <w:r>
        <w:rPr>
          <w:rFonts w:hint="eastAsia" w:ascii="宋体" w:hAnsi="宋体" w:eastAsia="宋体" w:cs="宋体"/>
          <w:color w:val="auto"/>
          <w:sz w:val="21"/>
          <w:szCs w:val="21"/>
        </w:rPr>
        <w:t>指合伙企业、非企业专业服务机构、个体工商户、农村承包经营户等。</w:t>
      </w:r>
    </w:p>
    <w:p w14:paraId="63867A09">
      <w:pPr>
        <w:pStyle w:val="27"/>
        <w:widowControl/>
        <w:spacing w:line="240" w:lineRule="exact"/>
        <w:ind w:firstLine="480"/>
        <w:rPr>
          <w:color w:val="auto"/>
          <w:sz w:val="21"/>
          <w:szCs w:val="21"/>
        </w:rPr>
      </w:pPr>
      <w:r>
        <w:rPr>
          <w:rFonts w:hint="eastAsia" w:ascii="宋体" w:hAnsi="宋体" w:eastAsia="宋体" w:cs="宋体"/>
          <w:color w:val="auto"/>
          <w:sz w:val="21"/>
          <w:szCs w:val="21"/>
        </w:rPr>
        <w:t>1.5</w:t>
      </w:r>
      <w:r>
        <w:rPr>
          <w:rStyle w:val="32"/>
          <w:rFonts w:hint="eastAsia" w:ascii="宋体" w:hAnsi="宋体" w:eastAsia="宋体" w:cs="宋体"/>
          <w:color w:val="auto"/>
          <w:sz w:val="21"/>
          <w:szCs w:val="21"/>
        </w:rPr>
        <w:t>“自然人”</w:t>
      </w:r>
      <w:r>
        <w:rPr>
          <w:rFonts w:hint="eastAsia" w:ascii="宋体" w:hAnsi="宋体" w:eastAsia="宋体" w:cs="宋体"/>
          <w:color w:val="auto"/>
          <w:sz w:val="21"/>
          <w:szCs w:val="21"/>
        </w:rPr>
        <w:t>指具有完全民事行为能力、能够承担民事责任和义务的中国公民。</w:t>
      </w:r>
    </w:p>
    <w:p w14:paraId="57D1DC0E">
      <w:pPr>
        <w:pStyle w:val="27"/>
        <w:widowControl/>
        <w:spacing w:line="240" w:lineRule="exact"/>
        <w:ind w:firstLine="480"/>
        <w:rPr>
          <w:color w:val="auto"/>
          <w:sz w:val="21"/>
          <w:szCs w:val="21"/>
        </w:rPr>
      </w:pPr>
      <w:r>
        <w:rPr>
          <w:rFonts w:hint="eastAsia" w:ascii="宋体" w:hAnsi="宋体" w:eastAsia="宋体" w:cs="宋体"/>
          <w:color w:val="auto"/>
          <w:sz w:val="21"/>
          <w:szCs w:val="21"/>
        </w:rPr>
        <w:t>2、除招标文件另有规定外，本章中</w:t>
      </w:r>
      <w:r>
        <w:rPr>
          <w:rStyle w:val="32"/>
          <w:rFonts w:hint="eastAsia" w:ascii="宋体" w:hAnsi="宋体" w:eastAsia="宋体" w:cs="宋体"/>
          <w:color w:val="auto"/>
          <w:sz w:val="21"/>
          <w:szCs w:val="21"/>
        </w:rPr>
        <w:t>“投标人的资格及资信证明文件”</w:t>
      </w:r>
      <w:r>
        <w:rPr>
          <w:rFonts w:hint="eastAsia" w:ascii="宋体" w:hAnsi="宋体" w:eastAsia="宋体" w:cs="宋体"/>
          <w:color w:val="auto"/>
          <w:sz w:val="21"/>
          <w:szCs w:val="21"/>
        </w:rPr>
        <w:t>：</w:t>
      </w:r>
    </w:p>
    <w:p w14:paraId="77F7901C">
      <w:pPr>
        <w:pStyle w:val="27"/>
        <w:widowControl/>
        <w:spacing w:line="240" w:lineRule="exact"/>
        <w:ind w:firstLine="480"/>
        <w:rPr>
          <w:color w:val="auto"/>
          <w:sz w:val="21"/>
          <w:szCs w:val="21"/>
        </w:rPr>
      </w:pPr>
      <w:r>
        <w:rPr>
          <w:rFonts w:hint="eastAsia" w:ascii="宋体" w:hAnsi="宋体" w:eastAsia="宋体" w:cs="宋体"/>
          <w:color w:val="auto"/>
          <w:sz w:val="21"/>
          <w:szCs w:val="21"/>
        </w:rPr>
        <w:t>2.1投标人应按照招标文件第四章第</w:t>
      </w:r>
      <w:r>
        <w:rPr>
          <w:rFonts w:ascii="Calibri" w:hAnsi="Calibri" w:eastAsia="宋体" w:cs="Calibri"/>
          <w:color w:val="auto"/>
          <w:sz w:val="21"/>
          <w:szCs w:val="21"/>
        </w:rPr>
        <w:t>1.3</w:t>
      </w:r>
      <w:r>
        <w:rPr>
          <w:rFonts w:hint="eastAsia" w:ascii="宋体" w:hAnsi="宋体" w:eastAsia="宋体" w:cs="宋体"/>
          <w:color w:val="auto"/>
          <w:sz w:val="21"/>
          <w:szCs w:val="21"/>
        </w:rPr>
        <w:t>条第（</w:t>
      </w:r>
      <w:r>
        <w:rPr>
          <w:rFonts w:ascii="Calibri" w:hAnsi="Calibri" w:eastAsia="宋体" w:cs="Calibri"/>
          <w:color w:val="auto"/>
          <w:sz w:val="21"/>
          <w:szCs w:val="21"/>
        </w:rPr>
        <w:t>2</w:t>
      </w:r>
      <w:r>
        <w:rPr>
          <w:rFonts w:hint="eastAsia" w:ascii="宋体" w:hAnsi="宋体" w:eastAsia="宋体" w:cs="宋体"/>
          <w:color w:val="auto"/>
          <w:sz w:val="21"/>
          <w:szCs w:val="21"/>
        </w:rPr>
        <w:t>）款规定及本章规定进行编制，如有必要，可增加附页，附页作为资格及资信文件的组成部分。</w:t>
      </w:r>
    </w:p>
    <w:p w14:paraId="190AF350">
      <w:pPr>
        <w:pStyle w:val="27"/>
        <w:widowControl/>
        <w:spacing w:line="240" w:lineRule="exact"/>
        <w:ind w:firstLine="480"/>
        <w:rPr>
          <w:color w:val="auto"/>
          <w:sz w:val="21"/>
          <w:szCs w:val="21"/>
        </w:rPr>
      </w:pPr>
      <w:r>
        <w:rPr>
          <w:rFonts w:hint="eastAsia" w:ascii="宋体" w:hAnsi="宋体" w:eastAsia="宋体" w:cs="宋体"/>
          <w:color w:val="auto"/>
          <w:sz w:val="21"/>
          <w:szCs w:val="21"/>
        </w:rPr>
        <w:t>2.2接受联合体投标且投标人为联合体的，联合体中的各方均应按照本章第</w:t>
      </w:r>
      <w:r>
        <w:rPr>
          <w:rFonts w:ascii="Calibri" w:hAnsi="Calibri" w:eastAsia="宋体" w:cs="Calibri"/>
          <w:color w:val="auto"/>
          <w:sz w:val="21"/>
          <w:szCs w:val="21"/>
        </w:rPr>
        <w:t>2.1</w:t>
      </w:r>
      <w:r>
        <w:rPr>
          <w:rFonts w:hint="eastAsia" w:ascii="宋体" w:hAnsi="宋体" w:eastAsia="宋体" w:cs="宋体"/>
          <w:color w:val="auto"/>
          <w:sz w:val="21"/>
          <w:szCs w:val="21"/>
        </w:rPr>
        <w:t>条规定提交相应的全部资料。</w:t>
      </w:r>
    </w:p>
    <w:p w14:paraId="25449858">
      <w:pPr>
        <w:pStyle w:val="27"/>
        <w:widowControl/>
        <w:spacing w:line="240" w:lineRule="exact"/>
        <w:ind w:firstLine="480"/>
        <w:rPr>
          <w:color w:val="auto"/>
          <w:sz w:val="21"/>
          <w:szCs w:val="21"/>
        </w:rPr>
      </w:pPr>
      <w:r>
        <w:rPr>
          <w:rFonts w:hint="eastAsia" w:ascii="宋体" w:hAnsi="宋体" w:eastAsia="宋体" w:cs="宋体"/>
          <w:color w:val="auto"/>
          <w:sz w:val="21"/>
          <w:szCs w:val="21"/>
        </w:rPr>
        <w:t>3、投标人对投标文件的索引应编制页码。</w:t>
      </w:r>
    </w:p>
    <w:p w14:paraId="3E6D2BBD">
      <w:pPr>
        <w:pStyle w:val="27"/>
        <w:widowControl/>
        <w:spacing w:line="240" w:lineRule="exact"/>
        <w:ind w:firstLine="480"/>
        <w:rPr>
          <w:color w:val="auto"/>
          <w:sz w:val="21"/>
          <w:szCs w:val="21"/>
        </w:rPr>
      </w:pPr>
      <w:r>
        <w:rPr>
          <w:rFonts w:hint="eastAsia" w:ascii="宋体" w:hAnsi="宋体" w:eastAsia="宋体" w:cs="宋体"/>
          <w:color w:val="auto"/>
          <w:sz w:val="21"/>
          <w:szCs w:val="21"/>
        </w:rPr>
        <w:t>4、除招标文件另有规定外，本章中：</w:t>
      </w:r>
    </w:p>
    <w:p w14:paraId="72A355AE">
      <w:pPr>
        <w:pStyle w:val="27"/>
        <w:widowControl/>
        <w:spacing w:line="240" w:lineRule="exact"/>
        <w:ind w:firstLine="480"/>
        <w:rPr>
          <w:color w:val="auto"/>
          <w:sz w:val="21"/>
          <w:szCs w:val="21"/>
        </w:rPr>
      </w:pPr>
      <w:r>
        <w:rPr>
          <w:rFonts w:hint="eastAsia" w:ascii="宋体" w:hAnsi="宋体" w:eastAsia="宋体" w:cs="宋体"/>
          <w:color w:val="auto"/>
          <w:sz w:val="21"/>
          <w:szCs w:val="21"/>
        </w:rPr>
        <w:t>4.1除《检察机关行贿犯罪档案查询结果告知函》外，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14:paraId="2CC9E7DD">
      <w:pPr>
        <w:pStyle w:val="27"/>
        <w:widowControl/>
        <w:spacing w:line="240" w:lineRule="exact"/>
        <w:ind w:firstLine="480"/>
        <w:rPr>
          <w:color w:val="auto"/>
          <w:sz w:val="21"/>
          <w:szCs w:val="21"/>
        </w:rPr>
      </w:pPr>
      <w:r>
        <w:rPr>
          <w:rFonts w:hint="eastAsia" w:ascii="宋体" w:hAnsi="宋体" w:eastAsia="宋体" w:cs="宋体"/>
          <w:color w:val="auto"/>
          <w:sz w:val="21"/>
          <w:szCs w:val="21"/>
        </w:rPr>
        <w:t>4.2除《检察机关行贿犯罪档案查询结果告知函》外，若投标人提供注明“复印件无效”的证明材料或资料，其纸质投标文件正本中应提供原件。</w:t>
      </w:r>
    </w:p>
    <w:p w14:paraId="496C2951">
      <w:pPr>
        <w:pStyle w:val="27"/>
        <w:widowControl/>
        <w:spacing w:line="240" w:lineRule="exact"/>
        <w:ind w:firstLine="480"/>
        <w:rPr>
          <w:color w:val="auto"/>
          <w:sz w:val="21"/>
          <w:szCs w:val="21"/>
        </w:rPr>
      </w:pPr>
      <w:r>
        <w:rPr>
          <w:rFonts w:hint="eastAsia" w:ascii="宋体" w:hAnsi="宋体" w:eastAsia="宋体" w:cs="宋体"/>
          <w:color w:val="auto"/>
          <w:sz w:val="21"/>
          <w:szCs w:val="21"/>
        </w:rPr>
        <w:t>4.3《检察机关行贿犯罪档案查询结果告知函》：投标人在纸质投标文件正本中提供原件、复印件（含扫描件）、符合本章规定的打印件（或截图）皆可。</w:t>
      </w:r>
    </w:p>
    <w:p w14:paraId="106D3ACB">
      <w:pPr>
        <w:pStyle w:val="27"/>
        <w:widowControl/>
        <w:jc w:val="center"/>
        <w:rPr>
          <w:rStyle w:val="32"/>
          <w:rFonts w:ascii="宋体" w:hAnsi="宋体" w:eastAsia="宋体" w:cs="宋体"/>
          <w:color w:val="auto"/>
          <w:sz w:val="28"/>
          <w:szCs w:val="28"/>
        </w:rPr>
      </w:pPr>
      <w:r>
        <w:rPr>
          <w:rStyle w:val="32"/>
          <w:rFonts w:hint="eastAsia" w:ascii="宋体" w:hAnsi="宋体" w:eastAsia="宋体" w:cs="宋体"/>
          <w:color w:val="auto"/>
          <w:sz w:val="28"/>
          <w:szCs w:val="28"/>
        </w:rPr>
        <w:br w:type="page"/>
      </w:r>
    </w:p>
    <w:p w14:paraId="78BE86C7">
      <w:pPr>
        <w:pStyle w:val="27"/>
        <w:widowControl/>
        <w:jc w:val="center"/>
        <w:rPr>
          <w:color w:val="auto"/>
        </w:rPr>
      </w:pPr>
      <w:r>
        <w:rPr>
          <w:rStyle w:val="32"/>
          <w:rFonts w:hint="eastAsia" w:ascii="宋体" w:hAnsi="宋体" w:eastAsia="宋体" w:cs="宋体"/>
          <w:color w:val="auto"/>
          <w:sz w:val="28"/>
          <w:szCs w:val="28"/>
        </w:rPr>
        <w:t>封面格式</w:t>
      </w:r>
    </w:p>
    <w:p w14:paraId="78540A4F">
      <w:pPr>
        <w:pStyle w:val="27"/>
        <w:widowControl/>
        <w:rPr>
          <w:color w:val="auto"/>
        </w:rPr>
      </w:pPr>
      <w:r>
        <w:rPr>
          <w:rFonts w:hint="eastAsia" w:ascii="宋体" w:hAnsi="宋体" w:eastAsia="宋体" w:cs="宋体"/>
          <w:color w:val="auto"/>
          <w:sz w:val="36"/>
          <w:szCs w:val="36"/>
        </w:rPr>
        <w:t> </w:t>
      </w:r>
    </w:p>
    <w:p w14:paraId="650C741B">
      <w:pPr>
        <w:pStyle w:val="27"/>
        <w:widowControl/>
        <w:jc w:val="center"/>
        <w:rPr>
          <w:color w:val="auto"/>
        </w:rPr>
      </w:pPr>
      <w:r>
        <w:rPr>
          <w:rStyle w:val="32"/>
          <w:rFonts w:hint="eastAsia" w:ascii="宋体" w:hAnsi="宋体" w:eastAsia="宋体" w:cs="宋体"/>
          <w:color w:val="auto"/>
          <w:sz w:val="48"/>
          <w:szCs w:val="48"/>
        </w:rPr>
        <w:t>福建省政府采购投标文件</w:t>
      </w:r>
    </w:p>
    <w:p w14:paraId="76C05545">
      <w:pPr>
        <w:pStyle w:val="27"/>
        <w:widowControl/>
        <w:jc w:val="center"/>
        <w:rPr>
          <w:color w:val="auto"/>
        </w:rPr>
      </w:pPr>
      <w:r>
        <w:rPr>
          <w:rStyle w:val="32"/>
          <w:rFonts w:hint="eastAsia" w:ascii="宋体" w:hAnsi="宋体" w:eastAsia="宋体" w:cs="宋体"/>
          <w:color w:val="auto"/>
          <w:sz w:val="48"/>
          <w:szCs w:val="48"/>
        </w:rPr>
        <w:t>（资格及资信证明部分）</w:t>
      </w:r>
    </w:p>
    <w:p w14:paraId="651A6EB8">
      <w:pPr>
        <w:pStyle w:val="27"/>
        <w:widowControl/>
        <w:rPr>
          <w:color w:val="auto"/>
        </w:rPr>
      </w:pPr>
      <w:r>
        <w:rPr>
          <w:rFonts w:hint="eastAsia" w:ascii="宋体" w:hAnsi="宋体" w:eastAsia="宋体" w:cs="宋体"/>
          <w:color w:val="auto"/>
          <w:sz w:val="36"/>
          <w:szCs w:val="36"/>
        </w:rPr>
        <w:t> </w:t>
      </w:r>
    </w:p>
    <w:p w14:paraId="1FA68B10">
      <w:pPr>
        <w:pStyle w:val="27"/>
        <w:widowControl/>
        <w:jc w:val="center"/>
        <w:rPr>
          <w:color w:val="auto"/>
        </w:rPr>
      </w:pPr>
      <w:r>
        <w:rPr>
          <w:rStyle w:val="32"/>
          <w:rFonts w:hint="eastAsia" w:ascii="宋体" w:hAnsi="宋体" w:eastAsia="宋体" w:cs="宋体"/>
          <w:color w:val="auto"/>
          <w:sz w:val="36"/>
          <w:szCs w:val="36"/>
          <w:u w:val="single"/>
        </w:rPr>
        <w:t>（填写正本或副本）</w:t>
      </w:r>
    </w:p>
    <w:p w14:paraId="7D899157">
      <w:pPr>
        <w:pStyle w:val="27"/>
        <w:widowControl/>
        <w:rPr>
          <w:color w:val="auto"/>
        </w:rPr>
      </w:pPr>
      <w:r>
        <w:rPr>
          <w:rFonts w:hint="eastAsia" w:ascii="宋体" w:hAnsi="宋体" w:eastAsia="宋体" w:cs="宋体"/>
          <w:color w:val="auto"/>
          <w:sz w:val="36"/>
          <w:szCs w:val="36"/>
        </w:rPr>
        <w:t> </w:t>
      </w:r>
    </w:p>
    <w:p w14:paraId="5118430D">
      <w:pPr>
        <w:pStyle w:val="27"/>
        <w:widowControl/>
        <w:ind w:firstLine="1920"/>
        <w:rPr>
          <w:color w:val="auto"/>
        </w:rPr>
      </w:pPr>
      <w:r>
        <w:rPr>
          <w:rStyle w:val="32"/>
          <w:rFonts w:hint="eastAsia" w:ascii="宋体" w:hAnsi="宋体" w:eastAsia="宋体" w:cs="宋体"/>
          <w:color w:val="auto"/>
          <w:sz w:val="31"/>
          <w:szCs w:val="31"/>
        </w:rPr>
        <w:t>项目名称：</w:t>
      </w:r>
      <w:r>
        <w:rPr>
          <w:rStyle w:val="32"/>
          <w:rFonts w:hint="eastAsia" w:ascii="宋体" w:hAnsi="宋体" w:eastAsia="宋体" w:cs="宋体"/>
          <w:color w:val="auto"/>
          <w:sz w:val="31"/>
          <w:szCs w:val="31"/>
          <w:u w:val="single"/>
        </w:rPr>
        <w:t>（由投标人填写）</w:t>
      </w:r>
    </w:p>
    <w:p w14:paraId="6E2B66BD">
      <w:pPr>
        <w:pStyle w:val="27"/>
        <w:widowControl/>
        <w:ind w:firstLine="1920"/>
        <w:rPr>
          <w:color w:val="auto"/>
        </w:rPr>
      </w:pPr>
      <w:r>
        <w:rPr>
          <w:rStyle w:val="32"/>
          <w:rFonts w:hint="eastAsia" w:ascii="宋体" w:hAnsi="宋体" w:eastAsia="宋体" w:cs="宋体"/>
          <w:color w:val="auto"/>
          <w:sz w:val="31"/>
          <w:szCs w:val="31"/>
        </w:rPr>
        <w:t>备案编号：</w:t>
      </w:r>
      <w:r>
        <w:rPr>
          <w:rStyle w:val="32"/>
          <w:rFonts w:hint="eastAsia" w:ascii="宋体" w:hAnsi="宋体" w:eastAsia="宋体" w:cs="宋体"/>
          <w:color w:val="auto"/>
          <w:sz w:val="31"/>
          <w:szCs w:val="31"/>
          <w:u w:val="single"/>
        </w:rPr>
        <w:t>（由投标人填写）</w:t>
      </w:r>
    </w:p>
    <w:p w14:paraId="61E98886">
      <w:pPr>
        <w:pStyle w:val="27"/>
        <w:widowControl/>
        <w:ind w:firstLine="1920"/>
        <w:rPr>
          <w:color w:val="auto"/>
        </w:rPr>
      </w:pPr>
      <w:r>
        <w:rPr>
          <w:rStyle w:val="32"/>
          <w:rFonts w:hint="eastAsia" w:ascii="宋体" w:hAnsi="宋体" w:eastAsia="宋体" w:cs="宋体"/>
          <w:color w:val="auto"/>
          <w:sz w:val="31"/>
          <w:szCs w:val="31"/>
        </w:rPr>
        <w:t>招标编号：</w:t>
      </w:r>
      <w:r>
        <w:rPr>
          <w:rStyle w:val="32"/>
          <w:rFonts w:hint="eastAsia" w:ascii="宋体" w:hAnsi="宋体" w:eastAsia="宋体" w:cs="宋体"/>
          <w:color w:val="auto"/>
          <w:sz w:val="31"/>
          <w:szCs w:val="31"/>
          <w:u w:val="single"/>
        </w:rPr>
        <w:t>（由投标人填写）</w:t>
      </w:r>
    </w:p>
    <w:p w14:paraId="2CC3F30A">
      <w:pPr>
        <w:pStyle w:val="27"/>
        <w:widowControl/>
        <w:ind w:firstLine="1920"/>
        <w:rPr>
          <w:color w:val="auto"/>
        </w:rPr>
      </w:pPr>
      <w:r>
        <w:rPr>
          <w:rStyle w:val="32"/>
          <w:rFonts w:hint="eastAsia" w:ascii="宋体" w:hAnsi="宋体" w:eastAsia="宋体" w:cs="宋体"/>
          <w:color w:val="auto"/>
          <w:sz w:val="31"/>
          <w:szCs w:val="31"/>
        </w:rPr>
        <w:t>所投合同包：</w:t>
      </w:r>
      <w:r>
        <w:rPr>
          <w:rStyle w:val="32"/>
          <w:rFonts w:hint="eastAsia" w:ascii="宋体" w:hAnsi="宋体" w:eastAsia="宋体" w:cs="宋体"/>
          <w:color w:val="auto"/>
          <w:sz w:val="31"/>
          <w:szCs w:val="31"/>
          <w:u w:val="single"/>
        </w:rPr>
        <w:t>（由投标人填写）</w:t>
      </w:r>
    </w:p>
    <w:p w14:paraId="0EDC08A5">
      <w:pPr>
        <w:pStyle w:val="27"/>
        <w:widowControl/>
        <w:rPr>
          <w:color w:val="auto"/>
        </w:rPr>
      </w:pPr>
      <w:r>
        <w:rPr>
          <w:rFonts w:hint="eastAsia" w:ascii="宋体" w:hAnsi="宋体" w:eastAsia="宋体" w:cs="宋体"/>
          <w:color w:val="auto"/>
          <w:sz w:val="36"/>
          <w:szCs w:val="36"/>
        </w:rPr>
        <w:t> </w:t>
      </w:r>
    </w:p>
    <w:p w14:paraId="747FF48D">
      <w:pPr>
        <w:pStyle w:val="27"/>
        <w:widowControl/>
        <w:jc w:val="center"/>
        <w:rPr>
          <w:color w:val="auto"/>
        </w:rPr>
      </w:pPr>
      <w:r>
        <w:rPr>
          <w:rStyle w:val="32"/>
          <w:rFonts w:hint="eastAsia" w:ascii="宋体" w:hAnsi="宋体" w:eastAsia="宋体" w:cs="宋体"/>
          <w:color w:val="auto"/>
          <w:sz w:val="31"/>
          <w:szCs w:val="31"/>
        </w:rPr>
        <w:t>投标人：</w:t>
      </w:r>
      <w:r>
        <w:rPr>
          <w:rStyle w:val="32"/>
          <w:rFonts w:hint="eastAsia" w:ascii="宋体" w:hAnsi="宋体" w:eastAsia="宋体" w:cs="宋体"/>
          <w:color w:val="auto"/>
          <w:sz w:val="31"/>
          <w:szCs w:val="31"/>
          <w:u w:val="single"/>
        </w:rPr>
        <w:t>（填写“全称”）</w:t>
      </w:r>
    </w:p>
    <w:p w14:paraId="39ED2853">
      <w:pPr>
        <w:pStyle w:val="27"/>
        <w:widowControl/>
        <w:jc w:val="center"/>
        <w:rPr>
          <w:color w:val="auto"/>
        </w:rPr>
      </w:pPr>
      <w:r>
        <w:rPr>
          <w:rStyle w:val="32"/>
          <w:rFonts w:hint="eastAsia" w:ascii="宋体" w:hAnsi="宋体" w:eastAsia="宋体" w:cs="宋体"/>
          <w:color w:val="auto"/>
          <w:sz w:val="31"/>
          <w:szCs w:val="31"/>
          <w:u w:val="single"/>
        </w:rPr>
        <w:t>（由投标人填写）</w:t>
      </w:r>
      <w:r>
        <w:rPr>
          <w:rStyle w:val="32"/>
          <w:rFonts w:hint="eastAsia" w:ascii="宋体" w:hAnsi="宋体" w:eastAsia="宋体" w:cs="宋体"/>
          <w:color w:val="auto"/>
          <w:sz w:val="31"/>
          <w:szCs w:val="31"/>
        </w:rPr>
        <w:t>年</w:t>
      </w:r>
      <w:r>
        <w:rPr>
          <w:rStyle w:val="32"/>
          <w:rFonts w:hint="eastAsia" w:ascii="宋体" w:hAnsi="宋体" w:eastAsia="宋体" w:cs="宋体"/>
          <w:color w:val="auto"/>
          <w:sz w:val="31"/>
          <w:szCs w:val="31"/>
          <w:u w:val="single"/>
        </w:rPr>
        <w:t>（由投标人填写）</w:t>
      </w:r>
      <w:r>
        <w:rPr>
          <w:rStyle w:val="32"/>
          <w:rFonts w:hint="eastAsia" w:ascii="宋体" w:hAnsi="宋体" w:eastAsia="宋体" w:cs="宋体"/>
          <w:color w:val="auto"/>
          <w:sz w:val="31"/>
          <w:szCs w:val="31"/>
        </w:rPr>
        <w:t>月</w:t>
      </w:r>
    </w:p>
    <w:p w14:paraId="608D45B9">
      <w:pPr>
        <w:pStyle w:val="27"/>
        <w:widowControl/>
        <w:rPr>
          <w:color w:val="auto"/>
        </w:rPr>
      </w:pPr>
      <w:r>
        <w:rPr>
          <w:rFonts w:hint="eastAsia" w:ascii="宋体" w:hAnsi="宋体" w:eastAsia="宋体" w:cs="宋体"/>
          <w:color w:val="auto"/>
          <w:sz w:val="21"/>
          <w:szCs w:val="21"/>
        </w:rPr>
        <w:t> </w:t>
      </w:r>
    </w:p>
    <w:p w14:paraId="549863AA">
      <w:pPr>
        <w:pStyle w:val="27"/>
        <w:widowControl/>
        <w:rPr>
          <w:rFonts w:ascii="宋体" w:hAnsi="宋体" w:eastAsia="宋体" w:cs="宋体"/>
          <w:color w:val="auto"/>
          <w:sz w:val="21"/>
          <w:szCs w:val="21"/>
        </w:rPr>
      </w:pPr>
      <w:r>
        <w:rPr>
          <w:rFonts w:hint="eastAsia" w:ascii="宋体" w:hAnsi="宋体" w:eastAsia="宋体" w:cs="宋体"/>
          <w:color w:val="auto"/>
          <w:sz w:val="21"/>
          <w:szCs w:val="21"/>
        </w:rPr>
        <w:t> </w:t>
      </w:r>
    </w:p>
    <w:p w14:paraId="0AA033F8">
      <w:pPr>
        <w:pStyle w:val="27"/>
        <w:widowControl/>
        <w:rPr>
          <w:rFonts w:ascii="宋体" w:hAnsi="宋体" w:eastAsia="宋体" w:cs="宋体"/>
          <w:color w:val="auto"/>
          <w:sz w:val="21"/>
          <w:szCs w:val="21"/>
        </w:rPr>
      </w:pPr>
      <w:r>
        <w:rPr>
          <w:rFonts w:hint="eastAsia" w:ascii="宋体" w:hAnsi="宋体" w:eastAsia="宋体" w:cs="宋体"/>
          <w:color w:val="auto"/>
          <w:sz w:val="21"/>
          <w:szCs w:val="21"/>
        </w:rPr>
        <w:br w:type="page"/>
      </w:r>
    </w:p>
    <w:p w14:paraId="06618EC3">
      <w:pPr>
        <w:pStyle w:val="27"/>
        <w:widowControl/>
        <w:jc w:val="center"/>
        <w:rPr>
          <w:color w:val="auto"/>
        </w:rPr>
      </w:pPr>
      <w:r>
        <w:rPr>
          <w:rStyle w:val="32"/>
          <w:rFonts w:hint="eastAsia" w:ascii="宋体" w:hAnsi="宋体" w:eastAsia="宋体" w:cs="宋体"/>
          <w:color w:val="auto"/>
          <w:sz w:val="28"/>
          <w:szCs w:val="28"/>
        </w:rPr>
        <w:t>索引</w:t>
      </w:r>
    </w:p>
    <w:p w14:paraId="0BAF2571">
      <w:pPr>
        <w:pStyle w:val="27"/>
        <w:widowControl/>
        <w:rPr>
          <w:color w:val="auto"/>
        </w:rPr>
      </w:pPr>
      <w:r>
        <w:rPr>
          <w:rFonts w:hint="eastAsia" w:ascii="宋体" w:hAnsi="宋体" w:eastAsia="宋体" w:cs="宋体"/>
          <w:color w:val="auto"/>
          <w:sz w:val="28"/>
          <w:szCs w:val="28"/>
        </w:rPr>
        <w:t>一、投标函</w:t>
      </w:r>
    </w:p>
    <w:p w14:paraId="60BAB340">
      <w:pPr>
        <w:pStyle w:val="27"/>
        <w:widowControl/>
        <w:rPr>
          <w:color w:val="auto"/>
        </w:rPr>
      </w:pPr>
      <w:r>
        <w:rPr>
          <w:rFonts w:hint="eastAsia" w:ascii="宋体" w:hAnsi="宋体" w:eastAsia="宋体" w:cs="宋体"/>
          <w:color w:val="auto"/>
          <w:sz w:val="28"/>
          <w:szCs w:val="28"/>
        </w:rPr>
        <w:t>二、投标人的资格及资信证明文件</w:t>
      </w:r>
    </w:p>
    <w:p w14:paraId="753B1C3F">
      <w:pPr>
        <w:pStyle w:val="27"/>
        <w:widowControl/>
        <w:rPr>
          <w:color w:val="auto"/>
        </w:rPr>
      </w:pPr>
      <w:r>
        <w:rPr>
          <w:rFonts w:hint="eastAsia" w:ascii="宋体" w:hAnsi="宋体" w:eastAsia="宋体" w:cs="宋体"/>
          <w:color w:val="auto"/>
          <w:sz w:val="28"/>
          <w:szCs w:val="28"/>
        </w:rPr>
        <w:t>三、投标保证金</w:t>
      </w:r>
    </w:p>
    <w:p w14:paraId="1EF24805">
      <w:pPr>
        <w:pStyle w:val="27"/>
        <w:widowControl/>
        <w:rPr>
          <w:color w:val="auto"/>
        </w:rPr>
      </w:pPr>
      <w:r>
        <w:rPr>
          <w:rFonts w:hint="eastAsia" w:ascii="宋体" w:hAnsi="宋体" w:eastAsia="宋体" w:cs="宋体"/>
          <w:color w:val="auto"/>
          <w:sz w:val="21"/>
          <w:szCs w:val="21"/>
        </w:rPr>
        <w:t> </w:t>
      </w:r>
    </w:p>
    <w:p w14:paraId="3A9379CD">
      <w:pPr>
        <w:pStyle w:val="27"/>
        <w:widowControl/>
        <w:rPr>
          <w:color w:val="auto"/>
        </w:rPr>
      </w:pPr>
      <w:r>
        <w:rPr>
          <w:rFonts w:hint="eastAsia" w:ascii="宋体" w:hAnsi="宋体" w:eastAsia="宋体" w:cs="宋体"/>
          <w:color w:val="auto"/>
          <w:sz w:val="21"/>
          <w:szCs w:val="21"/>
        </w:rPr>
        <w:t> </w:t>
      </w:r>
    </w:p>
    <w:p w14:paraId="2FB4CA95">
      <w:pPr>
        <w:pStyle w:val="27"/>
        <w:widowControl/>
        <w:rPr>
          <w:rFonts w:ascii="宋体" w:hAnsi="宋体" w:eastAsia="宋体" w:cs="宋体"/>
          <w:color w:val="auto"/>
          <w:sz w:val="21"/>
          <w:szCs w:val="21"/>
        </w:rPr>
      </w:pPr>
      <w:r>
        <w:rPr>
          <w:rFonts w:hint="eastAsia" w:ascii="宋体" w:hAnsi="宋体" w:eastAsia="宋体" w:cs="宋体"/>
          <w:color w:val="auto"/>
          <w:sz w:val="21"/>
          <w:szCs w:val="21"/>
        </w:rPr>
        <w:t> </w:t>
      </w:r>
    </w:p>
    <w:p w14:paraId="0D27A5F9">
      <w:pPr>
        <w:pStyle w:val="27"/>
        <w:widowControl/>
        <w:rPr>
          <w:rFonts w:ascii="宋体" w:hAnsi="宋体" w:eastAsia="宋体" w:cs="宋体"/>
          <w:color w:val="auto"/>
          <w:sz w:val="21"/>
          <w:szCs w:val="21"/>
        </w:rPr>
      </w:pPr>
    </w:p>
    <w:p w14:paraId="04BB50C2">
      <w:pPr>
        <w:pStyle w:val="27"/>
        <w:widowControl/>
        <w:jc w:val="center"/>
        <w:rPr>
          <w:color w:val="auto"/>
        </w:rPr>
      </w:pPr>
      <w:r>
        <w:rPr>
          <w:rFonts w:hint="eastAsia" w:ascii="宋体" w:hAnsi="宋体" w:eastAsia="宋体" w:cs="宋体"/>
          <w:color w:val="auto"/>
          <w:sz w:val="21"/>
          <w:szCs w:val="21"/>
        </w:rPr>
        <w:t>★注意</w:t>
      </w:r>
    </w:p>
    <w:p w14:paraId="547BD67E">
      <w:pPr>
        <w:pStyle w:val="27"/>
        <w:widowControl/>
        <w:ind w:firstLine="420"/>
        <w:rPr>
          <w:color w:val="auto"/>
        </w:rPr>
      </w:pPr>
      <w:r>
        <w:rPr>
          <w:rFonts w:hint="eastAsia" w:ascii="宋体" w:hAnsi="宋体" w:eastAsia="宋体" w:cs="宋体"/>
          <w:color w:val="auto"/>
          <w:sz w:val="21"/>
          <w:szCs w:val="21"/>
        </w:rPr>
        <w:t>资格及资信证明部分中不得出现报价部分的全部或部分的投标报价信息（或组成资料），否则</w:t>
      </w:r>
      <w:r>
        <w:rPr>
          <w:rStyle w:val="32"/>
          <w:rFonts w:hint="eastAsia" w:ascii="宋体" w:hAnsi="宋体" w:eastAsia="宋体" w:cs="宋体"/>
          <w:color w:val="auto"/>
          <w:sz w:val="21"/>
          <w:szCs w:val="21"/>
        </w:rPr>
        <w:t>资格审查不合格</w:t>
      </w:r>
      <w:r>
        <w:rPr>
          <w:rFonts w:hint="eastAsia" w:ascii="宋体" w:hAnsi="宋体" w:eastAsia="宋体" w:cs="宋体"/>
          <w:color w:val="auto"/>
          <w:sz w:val="21"/>
          <w:szCs w:val="21"/>
        </w:rPr>
        <w:t>。</w:t>
      </w:r>
    </w:p>
    <w:p w14:paraId="0CBEDD00">
      <w:pPr>
        <w:pStyle w:val="27"/>
        <w:widowControl/>
        <w:rPr>
          <w:color w:val="auto"/>
        </w:rPr>
      </w:pPr>
    </w:p>
    <w:p w14:paraId="2380333F">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1C477904">
      <w:pPr>
        <w:pStyle w:val="27"/>
        <w:widowControl/>
        <w:jc w:val="center"/>
        <w:outlineLvl w:val="1"/>
        <w:rPr>
          <w:color w:val="auto"/>
        </w:rPr>
      </w:pPr>
      <w:r>
        <w:rPr>
          <w:rStyle w:val="32"/>
          <w:rFonts w:hint="eastAsia" w:ascii="宋体" w:hAnsi="宋体" w:eastAsia="宋体" w:cs="宋体"/>
          <w:color w:val="auto"/>
          <w:sz w:val="21"/>
          <w:szCs w:val="21"/>
        </w:rPr>
        <w:t>一、投标函</w:t>
      </w:r>
    </w:p>
    <w:p w14:paraId="16523156">
      <w:pPr>
        <w:pStyle w:val="27"/>
        <w:widowControl/>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14:paraId="6F3CC024">
      <w:pPr>
        <w:pStyle w:val="27"/>
        <w:widowControl/>
        <w:ind w:firstLine="420"/>
        <w:rPr>
          <w:color w:val="auto"/>
        </w:rPr>
      </w:pPr>
      <w:r>
        <w:rPr>
          <w:rFonts w:hint="eastAsia" w:ascii="宋体" w:hAnsi="宋体" w:eastAsia="宋体" w:cs="宋体"/>
          <w:color w:val="auto"/>
          <w:sz w:val="21"/>
          <w:szCs w:val="21"/>
        </w:rPr>
        <w:t>兹收到贵单位关于</w:t>
      </w:r>
      <w:r>
        <w:rPr>
          <w:rFonts w:hint="eastAsia" w:ascii="宋体" w:hAnsi="宋体" w:eastAsia="宋体" w:cs="宋体"/>
          <w:color w:val="auto"/>
          <w:sz w:val="21"/>
          <w:szCs w:val="21"/>
          <w:u w:val="single"/>
        </w:rPr>
        <w:t>（填写“项目名称”）</w:t>
      </w:r>
      <w:r>
        <w:rPr>
          <w:rFonts w:hint="eastAsia" w:ascii="宋体" w:hAnsi="宋体" w:eastAsia="宋体" w:cs="宋体"/>
          <w:color w:val="auto"/>
          <w:sz w:val="21"/>
          <w:szCs w:val="21"/>
        </w:rPr>
        <w:t>项目（招标编号：</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）的投标邀请，本投标人代表</w:t>
      </w:r>
      <w:r>
        <w:rPr>
          <w:rFonts w:hint="eastAsia" w:ascii="宋体" w:hAnsi="宋体" w:eastAsia="宋体" w:cs="宋体"/>
          <w:color w:val="auto"/>
          <w:sz w:val="21"/>
          <w:szCs w:val="21"/>
          <w:u w:val="single"/>
        </w:rPr>
        <w:t>（填写“全名”）</w:t>
      </w:r>
      <w:r>
        <w:rPr>
          <w:rFonts w:hint="eastAsia" w:ascii="宋体" w:hAnsi="宋体" w:eastAsia="宋体" w:cs="宋体"/>
          <w:color w:val="auto"/>
          <w:sz w:val="21"/>
          <w:szCs w:val="21"/>
        </w:rPr>
        <w:t>已获得我方正式授权并代表投标人</w:t>
      </w:r>
      <w:r>
        <w:rPr>
          <w:rFonts w:hint="eastAsia" w:ascii="宋体" w:hAnsi="宋体" w:eastAsia="宋体" w:cs="宋体"/>
          <w:color w:val="auto"/>
          <w:sz w:val="21"/>
          <w:szCs w:val="21"/>
          <w:u w:val="single"/>
        </w:rPr>
        <w:t>（填写“全称”）</w:t>
      </w:r>
      <w:r>
        <w:rPr>
          <w:rFonts w:hint="eastAsia" w:ascii="宋体" w:hAnsi="宋体" w:eastAsia="宋体" w:cs="宋体"/>
          <w:color w:val="auto"/>
          <w:sz w:val="21"/>
          <w:szCs w:val="21"/>
        </w:rPr>
        <w:t>参加投标，并提交招标文件规定份数的投标文件正本和副本。我方提交的全部投标文件均由下述部分组成：</w:t>
      </w:r>
    </w:p>
    <w:p w14:paraId="2456C372">
      <w:pPr>
        <w:pStyle w:val="27"/>
        <w:widowControl/>
        <w:ind w:firstLine="420"/>
        <w:rPr>
          <w:color w:val="auto"/>
        </w:rPr>
      </w:pPr>
      <w:r>
        <w:rPr>
          <w:rFonts w:hint="eastAsia" w:ascii="宋体" w:hAnsi="宋体" w:eastAsia="宋体" w:cs="宋体"/>
          <w:color w:val="auto"/>
          <w:sz w:val="21"/>
          <w:szCs w:val="21"/>
        </w:rPr>
        <w:t>（1）资格及资信证明部分</w:t>
      </w:r>
    </w:p>
    <w:p w14:paraId="012B1809">
      <w:pPr>
        <w:pStyle w:val="27"/>
        <w:widowControl/>
        <w:ind w:firstLine="420"/>
        <w:rPr>
          <w:color w:val="auto"/>
        </w:rPr>
      </w:pPr>
      <w:r>
        <w:rPr>
          <w:rFonts w:hint="eastAsia" w:ascii="宋体" w:hAnsi="宋体" w:eastAsia="宋体" w:cs="宋体"/>
          <w:color w:val="auto"/>
          <w:sz w:val="21"/>
          <w:szCs w:val="21"/>
        </w:rPr>
        <w:t>①投标函</w:t>
      </w:r>
    </w:p>
    <w:p w14:paraId="6E027138">
      <w:pPr>
        <w:pStyle w:val="27"/>
        <w:widowControl/>
        <w:ind w:firstLine="420"/>
        <w:rPr>
          <w:color w:val="auto"/>
        </w:rPr>
      </w:pPr>
      <w:r>
        <w:rPr>
          <w:rFonts w:hint="eastAsia" w:ascii="宋体" w:hAnsi="宋体" w:eastAsia="宋体" w:cs="宋体"/>
          <w:color w:val="auto"/>
          <w:sz w:val="21"/>
          <w:szCs w:val="21"/>
        </w:rPr>
        <w:t>②投标人的资格及资信证明文件</w:t>
      </w:r>
    </w:p>
    <w:p w14:paraId="78AB3187">
      <w:pPr>
        <w:pStyle w:val="27"/>
        <w:widowControl/>
        <w:ind w:firstLine="420"/>
        <w:rPr>
          <w:color w:val="auto"/>
        </w:rPr>
      </w:pPr>
      <w:r>
        <w:rPr>
          <w:rFonts w:hint="eastAsia" w:ascii="宋体" w:hAnsi="宋体" w:eastAsia="宋体" w:cs="宋体"/>
          <w:color w:val="auto"/>
          <w:sz w:val="21"/>
          <w:szCs w:val="21"/>
        </w:rPr>
        <w:t>③投标保证金</w:t>
      </w:r>
    </w:p>
    <w:p w14:paraId="77D0E1FF">
      <w:pPr>
        <w:pStyle w:val="27"/>
        <w:widowControl/>
        <w:ind w:firstLine="420"/>
        <w:rPr>
          <w:color w:val="auto"/>
        </w:rPr>
      </w:pPr>
      <w:r>
        <w:rPr>
          <w:rFonts w:hint="eastAsia" w:ascii="宋体" w:hAnsi="宋体" w:eastAsia="宋体" w:cs="宋体"/>
          <w:color w:val="auto"/>
          <w:sz w:val="21"/>
          <w:szCs w:val="21"/>
        </w:rPr>
        <w:t>（2）报价部分</w:t>
      </w:r>
    </w:p>
    <w:p w14:paraId="5B12227C">
      <w:pPr>
        <w:pStyle w:val="27"/>
        <w:widowControl/>
        <w:ind w:firstLine="420"/>
        <w:rPr>
          <w:color w:val="auto"/>
        </w:rPr>
      </w:pPr>
      <w:r>
        <w:rPr>
          <w:rFonts w:hint="eastAsia" w:ascii="宋体" w:hAnsi="宋体" w:eastAsia="宋体" w:cs="宋体"/>
          <w:color w:val="auto"/>
          <w:sz w:val="21"/>
          <w:szCs w:val="21"/>
        </w:rPr>
        <w:t>①开标一览表</w:t>
      </w:r>
    </w:p>
    <w:p w14:paraId="1500C654">
      <w:pPr>
        <w:pStyle w:val="27"/>
        <w:widowControl/>
        <w:ind w:firstLine="420"/>
        <w:rPr>
          <w:color w:val="auto"/>
        </w:rPr>
      </w:pPr>
      <w:r>
        <w:rPr>
          <w:rFonts w:hint="eastAsia" w:ascii="宋体" w:hAnsi="宋体" w:eastAsia="宋体" w:cs="宋体"/>
          <w:color w:val="auto"/>
          <w:sz w:val="21"/>
          <w:szCs w:val="21"/>
        </w:rPr>
        <w:t>②投标分项报价表</w:t>
      </w:r>
    </w:p>
    <w:p w14:paraId="17E58EC3">
      <w:pPr>
        <w:pStyle w:val="27"/>
        <w:widowControl/>
        <w:ind w:firstLine="420"/>
        <w:rPr>
          <w:color w:val="auto"/>
        </w:rPr>
      </w:pPr>
      <w:r>
        <w:rPr>
          <w:rFonts w:hint="eastAsia" w:ascii="宋体" w:hAnsi="宋体" w:eastAsia="宋体" w:cs="宋体"/>
          <w:color w:val="auto"/>
          <w:sz w:val="21"/>
          <w:szCs w:val="21"/>
        </w:rPr>
        <w:t>③招标文件规定的价格扣除证明材料（若有）</w:t>
      </w:r>
    </w:p>
    <w:p w14:paraId="09BB48A5">
      <w:pPr>
        <w:pStyle w:val="27"/>
        <w:widowControl/>
        <w:ind w:firstLine="420"/>
        <w:rPr>
          <w:color w:val="auto"/>
        </w:rPr>
      </w:pPr>
      <w:r>
        <w:rPr>
          <w:rFonts w:hint="eastAsia" w:ascii="宋体" w:hAnsi="宋体" w:eastAsia="宋体" w:cs="宋体"/>
          <w:color w:val="auto"/>
          <w:sz w:val="21"/>
          <w:szCs w:val="21"/>
        </w:rPr>
        <w:t>④招标文件规定的加分证明材料（若有）</w:t>
      </w:r>
    </w:p>
    <w:p w14:paraId="176B7EA3">
      <w:pPr>
        <w:pStyle w:val="27"/>
        <w:widowControl/>
        <w:ind w:firstLine="420"/>
        <w:rPr>
          <w:color w:val="auto"/>
        </w:rPr>
      </w:pPr>
      <w:r>
        <w:rPr>
          <w:rFonts w:hint="eastAsia" w:ascii="宋体" w:hAnsi="宋体" w:eastAsia="宋体" w:cs="宋体"/>
          <w:color w:val="auto"/>
          <w:sz w:val="21"/>
          <w:szCs w:val="21"/>
        </w:rPr>
        <w:t>（3）技术商务部分</w:t>
      </w:r>
    </w:p>
    <w:p w14:paraId="15629FF4">
      <w:pPr>
        <w:pStyle w:val="27"/>
        <w:widowControl/>
        <w:ind w:firstLine="420"/>
        <w:rPr>
          <w:color w:val="auto"/>
        </w:rPr>
      </w:pPr>
      <w:r>
        <w:rPr>
          <w:rFonts w:hint="eastAsia" w:ascii="宋体" w:hAnsi="宋体" w:eastAsia="宋体" w:cs="宋体"/>
          <w:color w:val="auto"/>
          <w:sz w:val="21"/>
          <w:szCs w:val="21"/>
        </w:rPr>
        <w:t>①标的说明一览表</w:t>
      </w:r>
    </w:p>
    <w:p w14:paraId="7B455E21">
      <w:pPr>
        <w:pStyle w:val="27"/>
        <w:widowControl/>
        <w:ind w:firstLine="420"/>
        <w:rPr>
          <w:color w:val="auto"/>
        </w:rPr>
      </w:pPr>
      <w:r>
        <w:rPr>
          <w:rFonts w:hint="eastAsia" w:ascii="宋体" w:hAnsi="宋体" w:eastAsia="宋体" w:cs="宋体"/>
          <w:color w:val="auto"/>
          <w:sz w:val="21"/>
          <w:szCs w:val="21"/>
        </w:rPr>
        <w:t>②技术和服务要求响应表</w:t>
      </w:r>
    </w:p>
    <w:p w14:paraId="1712D9CC">
      <w:pPr>
        <w:pStyle w:val="27"/>
        <w:widowControl/>
        <w:ind w:firstLine="420"/>
        <w:rPr>
          <w:color w:val="auto"/>
        </w:rPr>
      </w:pPr>
      <w:r>
        <w:rPr>
          <w:rFonts w:hint="eastAsia" w:ascii="宋体" w:hAnsi="宋体" w:eastAsia="宋体" w:cs="宋体"/>
          <w:color w:val="auto"/>
          <w:sz w:val="21"/>
          <w:szCs w:val="21"/>
        </w:rPr>
        <w:t>③商务条件响应表</w:t>
      </w:r>
    </w:p>
    <w:p w14:paraId="536ED030">
      <w:pPr>
        <w:pStyle w:val="27"/>
        <w:widowControl/>
        <w:ind w:firstLine="420"/>
        <w:rPr>
          <w:color w:val="auto"/>
        </w:rPr>
      </w:pPr>
      <w:r>
        <w:rPr>
          <w:rFonts w:hint="eastAsia" w:ascii="宋体" w:hAnsi="宋体" w:eastAsia="宋体" w:cs="宋体"/>
          <w:color w:val="auto"/>
          <w:sz w:val="21"/>
          <w:szCs w:val="21"/>
        </w:rPr>
        <w:t>④投标人提交的其他资料（若有）</w:t>
      </w:r>
    </w:p>
    <w:p w14:paraId="46D9EA59">
      <w:pPr>
        <w:pStyle w:val="27"/>
        <w:widowControl/>
        <w:ind w:firstLine="420"/>
        <w:rPr>
          <w:color w:val="auto"/>
        </w:rPr>
      </w:pPr>
      <w:r>
        <w:rPr>
          <w:rFonts w:hint="eastAsia" w:ascii="宋体" w:hAnsi="宋体" w:eastAsia="宋体" w:cs="宋体"/>
          <w:color w:val="auto"/>
          <w:sz w:val="21"/>
          <w:szCs w:val="21"/>
        </w:rPr>
        <w:t>根据本函，本投标人代表宣布我方保证遵守招标文件的全部规定，同时：</w:t>
      </w:r>
    </w:p>
    <w:p w14:paraId="13BCC48C">
      <w:pPr>
        <w:pStyle w:val="27"/>
        <w:widowControl/>
        <w:ind w:firstLine="420"/>
        <w:rPr>
          <w:color w:val="auto"/>
        </w:rPr>
      </w:pPr>
      <w:r>
        <w:rPr>
          <w:rFonts w:hint="eastAsia" w:ascii="宋体" w:hAnsi="宋体" w:eastAsia="宋体" w:cs="宋体"/>
          <w:color w:val="auto"/>
          <w:sz w:val="21"/>
          <w:szCs w:val="21"/>
        </w:rPr>
        <w:t>1、</w:t>
      </w:r>
      <w:r>
        <w:rPr>
          <w:rStyle w:val="32"/>
          <w:rFonts w:hint="eastAsia" w:ascii="宋体" w:hAnsi="宋体" w:eastAsia="宋体" w:cs="宋体"/>
          <w:color w:val="auto"/>
          <w:sz w:val="21"/>
          <w:szCs w:val="21"/>
        </w:rPr>
        <w:t>确认：</w:t>
      </w:r>
    </w:p>
    <w:p w14:paraId="5B7382C6">
      <w:pPr>
        <w:pStyle w:val="27"/>
        <w:widowControl/>
        <w:ind w:firstLine="420"/>
        <w:rPr>
          <w:color w:val="auto"/>
        </w:rPr>
      </w:pPr>
      <w:r>
        <w:rPr>
          <w:rFonts w:hint="eastAsia" w:ascii="宋体" w:hAnsi="宋体" w:eastAsia="宋体" w:cs="宋体"/>
          <w:color w:val="auto"/>
          <w:sz w:val="21"/>
          <w:szCs w:val="21"/>
        </w:rPr>
        <w:t>1.1所投合同包的投标报价详见“开标一览表”及“投标分项报价表”。</w:t>
      </w:r>
    </w:p>
    <w:p w14:paraId="5EE0FE04">
      <w:pPr>
        <w:pStyle w:val="27"/>
        <w:widowControl/>
        <w:ind w:firstLine="420"/>
        <w:rPr>
          <w:color w:val="auto"/>
        </w:rPr>
      </w:pPr>
      <w:r>
        <w:rPr>
          <w:rFonts w:hint="eastAsia" w:ascii="宋体" w:hAnsi="宋体" w:eastAsia="宋体" w:cs="宋体"/>
          <w:color w:val="auto"/>
          <w:sz w:val="21"/>
          <w:szCs w:val="21"/>
        </w:rPr>
        <w:t>1.2我方已详细审查全部招标文件</w:t>
      </w:r>
      <w:r>
        <w:rPr>
          <w:rFonts w:ascii="Calibri" w:hAnsi="Calibri" w:eastAsia="宋体" w:cs="Calibri"/>
          <w:color w:val="auto"/>
          <w:sz w:val="21"/>
          <w:szCs w:val="21"/>
        </w:rPr>
        <w:t>[</w:t>
      </w:r>
      <w:r>
        <w:rPr>
          <w:rFonts w:hint="eastAsia" w:ascii="宋体" w:hAnsi="宋体" w:eastAsia="宋体" w:cs="宋体"/>
          <w:color w:val="auto"/>
          <w:sz w:val="21"/>
          <w:szCs w:val="21"/>
        </w:rPr>
        <w:t>包括但不限于：有关附件（若有）、澄清或修改（若有）等</w:t>
      </w:r>
      <w:r>
        <w:rPr>
          <w:rFonts w:ascii="Calibri" w:hAnsi="Calibri" w:eastAsia="宋体" w:cs="Calibri"/>
          <w:color w:val="auto"/>
          <w:sz w:val="21"/>
          <w:szCs w:val="21"/>
        </w:rPr>
        <w:t>]</w:t>
      </w:r>
      <w:r>
        <w:rPr>
          <w:rFonts w:hint="eastAsia" w:ascii="宋体" w:hAnsi="宋体" w:eastAsia="宋体" w:cs="宋体"/>
          <w:color w:val="auto"/>
          <w:sz w:val="21"/>
          <w:szCs w:val="21"/>
        </w:rPr>
        <w:t>，并自行承担因对全部招标文件理解不正确或误解而产生的相应后果和责任。</w:t>
      </w:r>
    </w:p>
    <w:p w14:paraId="7F636E33">
      <w:pPr>
        <w:pStyle w:val="27"/>
        <w:widowControl/>
        <w:ind w:firstLine="420"/>
        <w:rPr>
          <w:color w:val="auto"/>
        </w:rPr>
      </w:pPr>
      <w:r>
        <w:rPr>
          <w:rFonts w:hint="eastAsia" w:ascii="宋体" w:hAnsi="宋体" w:eastAsia="宋体" w:cs="宋体"/>
          <w:color w:val="auto"/>
          <w:sz w:val="21"/>
          <w:szCs w:val="21"/>
        </w:rPr>
        <w:t>2、</w:t>
      </w:r>
      <w:r>
        <w:rPr>
          <w:rStyle w:val="32"/>
          <w:rFonts w:hint="eastAsia" w:ascii="宋体" w:hAnsi="宋体" w:eastAsia="宋体" w:cs="宋体"/>
          <w:color w:val="auto"/>
          <w:sz w:val="21"/>
          <w:szCs w:val="21"/>
        </w:rPr>
        <w:t>承诺及声明：</w:t>
      </w:r>
    </w:p>
    <w:p w14:paraId="1AC9A824">
      <w:pPr>
        <w:pStyle w:val="27"/>
        <w:widowControl/>
        <w:ind w:firstLine="420"/>
        <w:rPr>
          <w:color w:val="auto"/>
        </w:rPr>
      </w:pPr>
      <w:r>
        <w:rPr>
          <w:rFonts w:hint="eastAsia" w:ascii="宋体" w:hAnsi="宋体" w:eastAsia="宋体" w:cs="宋体"/>
          <w:color w:val="auto"/>
          <w:sz w:val="21"/>
          <w:szCs w:val="21"/>
        </w:rPr>
        <w:t>2.1我方具备招标文件第一章载明的“投标人的资格要求”且符合招标文件第三章载明的“二、投标人”之规定，否则</w:t>
      </w:r>
      <w:r>
        <w:rPr>
          <w:rStyle w:val="32"/>
          <w:rFonts w:hint="eastAsia" w:ascii="宋体" w:hAnsi="宋体" w:eastAsia="宋体" w:cs="宋体"/>
          <w:color w:val="auto"/>
          <w:sz w:val="21"/>
          <w:szCs w:val="21"/>
        </w:rPr>
        <w:t>投标无效。</w:t>
      </w:r>
    </w:p>
    <w:p w14:paraId="601E3396">
      <w:pPr>
        <w:pStyle w:val="27"/>
        <w:widowControl/>
        <w:ind w:firstLine="420"/>
        <w:rPr>
          <w:color w:val="auto"/>
        </w:rPr>
      </w:pPr>
      <w:r>
        <w:rPr>
          <w:rFonts w:hint="eastAsia" w:ascii="宋体" w:hAnsi="宋体" w:eastAsia="宋体" w:cs="宋体"/>
          <w:color w:val="auto"/>
          <w:sz w:val="21"/>
          <w:szCs w:val="21"/>
        </w:rPr>
        <w:t>2.2我方提交的投标文件各组成部分的全部内容及资料是不可割离且真实、有效、准确、完整和不具有任何误导性的，否则产生不利后果由我方承担责任。</w:t>
      </w:r>
    </w:p>
    <w:p w14:paraId="5874A82F">
      <w:pPr>
        <w:pStyle w:val="27"/>
        <w:widowControl/>
        <w:ind w:firstLine="420"/>
        <w:rPr>
          <w:color w:val="auto"/>
        </w:rPr>
      </w:pPr>
      <w:r>
        <w:rPr>
          <w:rFonts w:hint="eastAsia" w:ascii="宋体" w:hAnsi="宋体" w:eastAsia="宋体" w:cs="宋体"/>
          <w:color w:val="auto"/>
          <w:sz w:val="21"/>
          <w:szCs w:val="21"/>
        </w:rPr>
        <w:t>2.3我方提供的标的价格不高于同期市场价格，否则产生不利后果由我方承担责任。</w:t>
      </w:r>
    </w:p>
    <w:p w14:paraId="3296C5AE">
      <w:pPr>
        <w:pStyle w:val="27"/>
        <w:widowControl/>
        <w:ind w:firstLine="420"/>
        <w:rPr>
          <w:color w:val="auto"/>
        </w:rPr>
      </w:pPr>
      <w:r>
        <w:rPr>
          <w:rFonts w:hint="eastAsia" w:ascii="宋体" w:hAnsi="宋体" w:eastAsia="宋体" w:cs="宋体"/>
          <w:color w:val="auto"/>
          <w:sz w:val="21"/>
          <w:szCs w:val="21"/>
        </w:rPr>
        <w:t>2.4投标保证金：若出现招标文件第三章规定的不予退还情形，同意贵单位不予退还。</w:t>
      </w:r>
    </w:p>
    <w:p w14:paraId="5351C248">
      <w:pPr>
        <w:pStyle w:val="27"/>
        <w:widowControl/>
        <w:ind w:firstLine="420"/>
        <w:rPr>
          <w:color w:val="auto"/>
        </w:rPr>
      </w:pPr>
      <w:r>
        <w:rPr>
          <w:rFonts w:hint="eastAsia" w:ascii="宋体" w:hAnsi="宋体" w:eastAsia="宋体" w:cs="宋体"/>
          <w:color w:val="auto"/>
          <w:sz w:val="21"/>
          <w:szCs w:val="21"/>
        </w:rPr>
        <w:t>2.5投标有效期：按照招标文件第三章规定执行，并在招标文件第二章载明的期限内保持有效。</w:t>
      </w:r>
    </w:p>
    <w:p w14:paraId="350F8779">
      <w:pPr>
        <w:pStyle w:val="27"/>
        <w:widowControl/>
        <w:ind w:firstLine="420"/>
        <w:rPr>
          <w:color w:val="auto"/>
        </w:rPr>
      </w:pPr>
      <w:r>
        <w:rPr>
          <w:rFonts w:hint="eastAsia" w:ascii="宋体" w:hAnsi="宋体" w:eastAsia="宋体" w:cs="宋体"/>
          <w:color w:val="auto"/>
          <w:sz w:val="21"/>
          <w:szCs w:val="21"/>
        </w:rPr>
        <w:t>2.6若中标，将按照招标文件、我方投标文件及政府采购合同履行责任和义务。</w:t>
      </w:r>
    </w:p>
    <w:p w14:paraId="7B44F7B4">
      <w:pPr>
        <w:pStyle w:val="27"/>
        <w:widowControl/>
        <w:ind w:firstLine="420"/>
        <w:rPr>
          <w:color w:val="auto"/>
        </w:rPr>
      </w:pPr>
      <w:r>
        <w:rPr>
          <w:rFonts w:hint="eastAsia" w:ascii="宋体" w:hAnsi="宋体" w:eastAsia="宋体" w:cs="宋体"/>
          <w:color w:val="auto"/>
          <w:sz w:val="21"/>
          <w:szCs w:val="21"/>
        </w:rPr>
        <w:t>2.7若贵单位要求，我方同意提供与本项目投标有关的一切资料、数据或文件，并完全理解贵单位不一定要接受最低的投标报价或收到的任何投标。</w:t>
      </w:r>
    </w:p>
    <w:p w14:paraId="19D8DE18">
      <w:pPr>
        <w:pStyle w:val="27"/>
        <w:widowControl/>
        <w:ind w:firstLine="420"/>
        <w:rPr>
          <w:color w:val="auto"/>
        </w:rPr>
      </w:pPr>
      <w:r>
        <w:rPr>
          <w:rFonts w:hint="eastAsia" w:ascii="宋体" w:hAnsi="宋体" w:eastAsia="宋体" w:cs="宋体"/>
          <w:color w:val="auto"/>
          <w:sz w:val="21"/>
          <w:szCs w:val="21"/>
        </w:rPr>
        <w:t>2.8除招标文件另有规定外，对于贵单位按照下述联络方式发出的任何信息或通知，均视为我方已收悉前述信息或通知的全部内容：</w:t>
      </w:r>
    </w:p>
    <w:p w14:paraId="38CD2A46">
      <w:pPr>
        <w:pStyle w:val="27"/>
        <w:widowControl/>
        <w:ind w:firstLine="420"/>
        <w:rPr>
          <w:color w:val="auto"/>
        </w:rPr>
      </w:pPr>
      <w:r>
        <w:rPr>
          <w:rFonts w:hint="eastAsia" w:ascii="宋体" w:hAnsi="宋体" w:eastAsia="宋体" w:cs="宋体"/>
          <w:color w:val="auto"/>
          <w:sz w:val="21"/>
          <w:szCs w:val="21"/>
        </w:rPr>
        <w:t>通信地址：</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邮编：</w:t>
      </w:r>
      <w:r>
        <w:rPr>
          <w:rFonts w:hint="eastAsia" w:ascii="宋体" w:hAnsi="宋体" w:eastAsia="宋体" w:cs="宋体"/>
          <w:color w:val="auto"/>
          <w:sz w:val="21"/>
          <w:szCs w:val="21"/>
          <w:u w:val="single"/>
        </w:rPr>
        <w:t>                 </w:t>
      </w:r>
    </w:p>
    <w:p w14:paraId="401B13C9">
      <w:pPr>
        <w:pStyle w:val="27"/>
        <w:widowControl/>
        <w:ind w:firstLine="420"/>
        <w:rPr>
          <w:color w:val="auto"/>
        </w:rPr>
      </w:pPr>
      <w:r>
        <w:rPr>
          <w:rFonts w:hint="eastAsia" w:ascii="宋体" w:hAnsi="宋体" w:eastAsia="宋体" w:cs="宋体"/>
          <w:color w:val="auto"/>
          <w:sz w:val="21"/>
          <w:szCs w:val="21"/>
        </w:rPr>
        <w:t>联系方法：</w:t>
      </w:r>
      <w:r>
        <w:rPr>
          <w:rFonts w:hint="eastAsia" w:ascii="宋体" w:hAnsi="宋体" w:eastAsia="宋体" w:cs="宋体"/>
          <w:color w:val="auto"/>
          <w:sz w:val="21"/>
          <w:szCs w:val="21"/>
          <w:u w:val="single"/>
        </w:rPr>
        <w:t>（包括但不限于：联系人、联系电话、手机、传真、电子邮箱等）</w:t>
      </w:r>
    </w:p>
    <w:p w14:paraId="5A8F8DE2">
      <w:pPr>
        <w:pStyle w:val="27"/>
        <w:widowControl/>
        <w:ind w:firstLine="420"/>
        <w:rPr>
          <w:color w:val="auto"/>
        </w:rPr>
      </w:pPr>
      <w:r>
        <w:rPr>
          <w:rFonts w:hint="eastAsia" w:ascii="宋体" w:hAnsi="宋体" w:eastAsia="宋体" w:cs="宋体"/>
          <w:color w:val="auto"/>
          <w:sz w:val="21"/>
          <w:szCs w:val="21"/>
        </w:rPr>
        <w:t> </w:t>
      </w:r>
    </w:p>
    <w:p w14:paraId="6C97ACF9">
      <w:pPr>
        <w:pStyle w:val="27"/>
        <w:widowControl/>
        <w:ind w:firstLine="42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58D2C14C">
      <w:pPr>
        <w:pStyle w:val="27"/>
        <w:widowControl/>
        <w:ind w:firstLine="42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12C6BEAF">
      <w:pPr>
        <w:pStyle w:val="27"/>
        <w:widowControl/>
        <w:ind w:firstLine="42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003D2E34">
      <w:pPr>
        <w:pStyle w:val="27"/>
        <w:widowControl/>
        <w:jc w:val="center"/>
        <w:rPr>
          <w:rFonts w:ascii="Calibri" w:hAnsi="Calibri" w:cs="Calibri"/>
          <w:color w:val="auto"/>
          <w:sz w:val="21"/>
          <w:szCs w:val="21"/>
        </w:rPr>
      </w:pPr>
      <w:r>
        <w:rPr>
          <w:rFonts w:ascii="Calibri" w:hAnsi="Calibri" w:cs="Calibri"/>
          <w:color w:val="auto"/>
          <w:sz w:val="21"/>
          <w:szCs w:val="21"/>
        </w:rPr>
        <w:br w:type="page"/>
      </w:r>
    </w:p>
    <w:p w14:paraId="303C3F60">
      <w:pPr>
        <w:pStyle w:val="27"/>
        <w:widowControl/>
        <w:jc w:val="center"/>
        <w:outlineLvl w:val="1"/>
        <w:rPr>
          <w:color w:val="auto"/>
        </w:rPr>
      </w:pPr>
      <w:r>
        <w:rPr>
          <w:rStyle w:val="32"/>
          <w:rFonts w:hint="eastAsia" w:ascii="宋体" w:hAnsi="宋体" w:eastAsia="宋体" w:cs="宋体"/>
          <w:color w:val="auto"/>
          <w:sz w:val="21"/>
          <w:szCs w:val="21"/>
        </w:rPr>
        <w:t>二、投标人的资格及资信证明文件</w:t>
      </w:r>
    </w:p>
    <w:p w14:paraId="08829F12">
      <w:pPr>
        <w:pStyle w:val="27"/>
        <w:widowControl/>
        <w:rPr>
          <w:color w:val="auto"/>
        </w:rPr>
      </w:pPr>
      <w:r>
        <w:rPr>
          <w:rFonts w:hint="eastAsia" w:ascii="宋体" w:hAnsi="宋体" w:eastAsia="宋体" w:cs="宋体"/>
          <w:color w:val="auto"/>
          <w:sz w:val="21"/>
          <w:szCs w:val="21"/>
        </w:rPr>
        <w:t> </w:t>
      </w:r>
    </w:p>
    <w:p w14:paraId="4667FF0C">
      <w:pPr>
        <w:pStyle w:val="27"/>
        <w:widowControl/>
        <w:jc w:val="center"/>
        <w:outlineLvl w:val="2"/>
        <w:rPr>
          <w:color w:val="auto"/>
        </w:rPr>
      </w:pPr>
      <w:r>
        <w:rPr>
          <w:rStyle w:val="32"/>
          <w:rFonts w:hint="eastAsia" w:ascii="宋体" w:hAnsi="宋体" w:eastAsia="宋体" w:cs="宋体"/>
          <w:color w:val="auto"/>
          <w:sz w:val="21"/>
          <w:szCs w:val="21"/>
        </w:rPr>
        <w:t>二-1单位负责人授权书（若有）</w:t>
      </w:r>
    </w:p>
    <w:p w14:paraId="0CC340AE">
      <w:pPr>
        <w:pStyle w:val="27"/>
        <w:widowControl/>
        <w:rPr>
          <w:color w:val="auto"/>
        </w:rPr>
      </w:pPr>
      <w:r>
        <w:rPr>
          <w:rFonts w:hint="eastAsia" w:ascii="宋体" w:hAnsi="宋体" w:eastAsia="宋体" w:cs="宋体"/>
          <w:color w:val="auto"/>
          <w:sz w:val="21"/>
          <w:szCs w:val="21"/>
        </w:rPr>
        <w:t> </w:t>
      </w:r>
    </w:p>
    <w:p w14:paraId="1CDB0858">
      <w:pPr>
        <w:pStyle w:val="27"/>
        <w:widowControl/>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14:paraId="4ABEFE2F">
      <w:pPr>
        <w:pStyle w:val="27"/>
        <w:widowControl/>
        <w:ind w:firstLine="420"/>
        <w:rPr>
          <w:color w:val="auto"/>
        </w:rPr>
      </w:pPr>
      <w:r>
        <w:rPr>
          <w:rFonts w:hint="eastAsia" w:ascii="宋体" w:hAnsi="宋体" w:eastAsia="宋体" w:cs="宋体"/>
          <w:color w:val="auto"/>
          <w:sz w:val="21"/>
          <w:szCs w:val="21"/>
        </w:rPr>
        <w:t>我方的单位负责人</w:t>
      </w:r>
      <w:r>
        <w:rPr>
          <w:rFonts w:hint="eastAsia" w:ascii="宋体" w:hAnsi="宋体" w:eastAsia="宋体" w:cs="宋体"/>
          <w:color w:val="auto"/>
          <w:sz w:val="21"/>
          <w:szCs w:val="21"/>
          <w:u w:val="single"/>
        </w:rPr>
        <w:t>（填写“单位负责人全名”）</w:t>
      </w:r>
      <w:r>
        <w:rPr>
          <w:rFonts w:hint="eastAsia" w:ascii="宋体" w:hAnsi="宋体" w:eastAsia="宋体" w:cs="宋体"/>
          <w:color w:val="auto"/>
          <w:sz w:val="21"/>
          <w:szCs w:val="21"/>
        </w:rPr>
        <w:t>授权</w:t>
      </w:r>
      <w:r>
        <w:rPr>
          <w:rFonts w:hint="eastAsia" w:ascii="宋体" w:hAnsi="宋体" w:eastAsia="宋体" w:cs="宋体"/>
          <w:color w:val="auto"/>
          <w:sz w:val="21"/>
          <w:szCs w:val="21"/>
          <w:u w:val="single"/>
        </w:rPr>
        <w:t>（填写“投标人代表全名”）</w:t>
      </w:r>
      <w:r>
        <w:rPr>
          <w:rFonts w:hint="eastAsia" w:ascii="宋体" w:hAnsi="宋体" w:eastAsia="宋体" w:cs="宋体"/>
          <w:color w:val="auto"/>
          <w:sz w:val="21"/>
          <w:szCs w:val="21"/>
        </w:rPr>
        <w:t>为投标人代表，代表我方参加</w:t>
      </w:r>
      <w:r>
        <w:rPr>
          <w:rFonts w:hint="eastAsia" w:ascii="宋体" w:hAnsi="宋体" w:eastAsia="宋体" w:cs="宋体"/>
          <w:color w:val="auto"/>
          <w:sz w:val="21"/>
          <w:szCs w:val="21"/>
          <w:u w:val="single"/>
        </w:rPr>
        <w:t>（填写“项目名称”）</w:t>
      </w:r>
      <w:r>
        <w:rPr>
          <w:rFonts w:hint="eastAsia" w:ascii="宋体" w:hAnsi="宋体" w:eastAsia="宋体" w:cs="宋体"/>
          <w:color w:val="auto"/>
          <w:sz w:val="21"/>
          <w:szCs w:val="21"/>
        </w:rPr>
        <w:t>项目（招标编号：</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14E1F512">
      <w:pPr>
        <w:pStyle w:val="27"/>
        <w:widowControl/>
        <w:ind w:firstLine="420"/>
        <w:rPr>
          <w:color w:val="auto"/>
        </w:rPr>
      </w:pPr>
      <w:r>
        <w:rPr>
          <w:rFonts w:hint="eastAsia" w:ascii="宋体" w:hAnsi="宋体" w:eastAsia="宋体" w:cs="宋体"/>
          <w:color w:val="auto"/>
          <w:sz w:val="21"/>
          <w:szCs w:val="21"/>
        </w:rPr>
        <w:t>投标人代表无转委权。特此授权。</w:t>
      </w:r>
    </w:p>
    <w:p w14:paraId="255C4778">
      <w:pPr>
        <w:pStyle w:val="27"/>
        <w:widowControl/>
        <w:jc w:val="center"/>
        <w:rPr>
          <w:color w:val="auto"/>
        </w:rPr>
      </w:pPr>
      <w:r>
        <w:rPr>
          <w:rFonts w:hint="eastAsia" w:ascii="宋体" w:hAnsi="宋体" w:eastAsia="宋体" w:cs="宋体"/>
          <w:color w:val="auto"/>
          <w:sz w:val="21"/>
          <w:szCs w:val="21"/>
        </w:rPr>
        <w:t>（以下无正文）</w:t>
      </w:r>
    </w:p>
    <w:p w14:paraId="3D0D2C58">
      <w:pPr>
        <w:pStyle w:val="27"/>
        <w:widowControl/>
        <w:rPr>
          <w:color w:val="auto"/>
        </w:rPr>
      </w:pPr>
    </w:p>
    <w:p w14:paraId="78111520">
      <w:pPr>
        <w:pStyle w:val="27"/>
        <w:widowControl/>
        <w:rPr>
          <w:color w:val="auto"/>
        </w:rPr>
      </w:pPr>
      <w:r>
        <w:rPr>
          <w:rFonts w:hint="eastAsia" w:ascii="宋体" w:hAnsi="宋体" w:eastAsia="宋体" w:cs="宋体"/>
          <w:color w:val="auto"/>
          <w:sz w:val="21"/>
          <w:szCs w:val="21"/>
        </w:rPr>
        <w:t>单位负责人：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身份证号：</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手机：</w:t>
      </w:r>
      <w:r>
        <w:rPr>
          <w:rFonts w:hint="eastAsia" w:ascii="宋体" w:hAnsi="宋体" w:eastAsia="宋体" w:cs="宋体"/>
          <w:color w:val="auto"/>
          <w:sz w:val="21"/>
          <w:szCs w:val="21"/>
          <w:u w:val="single"/>
        </w:rPr>
        <w:t>         </w:t>
      </w:r>
    </w:p>
    <w:p w14:paraId="22D76629">
      <w:pPr>
        <w:pStyle w:val="27"/>
        <w:widowControl/>
        <w:rPr>
          <w:color w:val="auto"/>
        </w:rPr>
      </w:pPr>
      <w:r>
        <w:rPr>
          <w:rFonts w:hint="eastAsia" w:ascii="宋体" w:hAnsi="宋体" w:eastAsia="宋体" w:cs="宋体"/>
          <w:color w:val="auto"/>
          <w:sz w:val="21"/>
          <w:szCs w:val="21"/>
        </w:rPr>
        <w:t>投标人代表：</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身份证号：</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手机：</w:t>
      </w:r>
      <w:r>
        <w:rPr>
          <w:rFonts w:hint="eastAsia" w:ascii="宋体" w:hAnsi="宋体" w:eastAsia="宋体" w:cs="宋体"/>
          <w:color w:val="auto"/>
          <w:sz w:val="21"/>
          <w:szCs w:val="21"/>
          <w:u w:val="single"/>
        </w:rPr>
        <w:t>       </w:t>
      </w:r>
    </w:p>
    <w:p w14:paraId="4C1AB62E">
      <w:pPr>
        <w:pStyle w:val="27"/>
        <w:widowControl/>
        <w:rPr>
          <w:color w:val="auto"/>
        </w:rPr>
      </w:pPr>
    </w:p>
    <w:p w14:paraId="752E1934">
      <w:pPr>
        <w:pStyle w:val="27"/>
        <w:widowControl/>
        <w:rPr>
          <w:color w:val="auto"/>
        </w:rPr>
      </w:pPr>
      <w:r>
        <w:rPr>
          <w:rFonts w:hint="eastAsia" w:ascii="宋体" w:hAnsi="宋体" w:eastAsia="宋体" w:cs="宋体"/>
          <w:color w:val="auto"/>
          <w:sz w:val="21"/>
          <w:szCs w:val="21"/>
        </w:rPr>
        <w:t>授权方</w:t>
      </w:r>
    </w:p>
    <w:p w14:paraId="200CDD5B">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7BAABC0E">
      <w:pPr>
        <w:pStyle w:val="27"/>
        <w:widowControl/>
        <w:rPr>
          <w:color w:val="auto"/>
        </w:rPr>
      </w:pPr>
      <w:r>
        <w:rPr>
          <w:rFonts w:hint="eastAsia" w:ascii="宋体" w:hAnsi="宋体" w:eastAsia="宋体" w:cs="宋体"/>
          <w:color w:val="auto"/>
          <w:sz w:val="21"/>
          <w:szCs w:val="21"/>
        </w:rPr>
        <w:t>单位负责人签字或盖章：</w:t>
      </w:r>
      <w:r>
        <w:rPr>
          <w:rFonts w:hint="eastAsia" w:ascii="宋体" w:hAnsi="宋体" w:eastAsia="宋体" w:cs="宋体"/>
          <w:color w:val="auto"/>
          <w:sz w:val="21"/>
          <w:szCs w:val="21"/>
          <w:u w:val="single"/>
        </w:rPr>
        <w:t>                   </w:t>
      </w:r>
    </w:p>
    <w:p w14:paraId="7D431096">
      <w:pPr>
        <w:pStyle w:val="27"/>
        <w:widowControl/>
        <w:rPr>
          <w:color w:val="auto"/>
        </w:rPr>
      </w:pPr>
      <w:r>
        <w:rPr>
          <w:rFonts w:ascii="Calibri" w:hAnsi="Calibri" w:cs="Calibri"/>
          <w:color w:val="auto"/>
          <w:sz w:val="21"/>
          <w:szCs w:val="21"/>
        </w:rPr>
        <w:t> </w:t>
      </w:r>
    </w:p>
    <w:p w14:paraId="4F2FBCCF">
      <w:pPr>
        <w:pStyle w:val="27"/>
        <w:widowControl/>
        <w:rPr>
          <w:color w:val="auto"/>
        </w:rPr>
      </w:pPr>
      <w:r>
        <w:rPr>
          <w:rFonts w:hint="eastAsia" w:ascii="宋体" w:hAnsi="宋体" w:eastAsia="宋体" w:cs="宋体"/>
          <w:color w:val="auto"/>
          <w:sz w:val="21"/>
          <w:szCs w:val="21"/>
        </w:rPr>
        <w:t>接受授权方</w:t>
      </w:r>
    </w:p>
    <w:p w14:paraId="7B850E1E">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0F309EC9">
      <w:pPr>
        <w:pStyle w:val="27"/>
        <w:widowControl/>
        <w:jc w:val="right"/>
        <w:rPr>
          <w:rFonts w:ascii="宋体" w:hAnsi="宋体" w:eastAsia="宋体" w:cs="宋体"/>
          <w:color w:val="auto"/>
          <w:sz w:val="21"/>
          <w:szCs w:val="21"/>
        </w:rPr>
      </w:pPr>
      <w:r>
        <w:rPr>
          <w:rFonts w:hint="eastAsia" w:ascii="宋体" w:hAnsi="宋体" w:eastAsia="宋体" w:cs="宋体"/>
          <w:color w:val="auto"/>
          <w:sz w:val="21"/>
          <w:szCs w:val="21"/>
        </w:rPr>
        <w:t>签署日期：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12193656">
      <w:pPr>
        <w:pStyle w:val="27"/>
        <w:widowControl/>
        <w:jc w:val="right"/>
        <w:rPr>
          <w:rFonts w:ascii="宋体" w:hAnsi="宋体" w:eastAsia="宋体" w:cs="宋体"/>
          <w:color w:val="auto"/>
          <w:sz w:val="21"/>
          <w:szCs w:val="21"/>
        </w:rPr>
      </w:pPr>
      <w:r>
        <w:rPr>
          <w:rFonts w:hint="eastAsia" w:ascii="宋体" w:hAnsi="宋体" w:eastAsia="宋体" w:cs="宋体"/>
          <w:color w:val="auto"/>
          <w:sz w:val="21"/>
          <w:szCs w:val="21"/>
        </w:rPr>
        <w:br w:type="page"/>
      </w:r>
    </w:p>
    <w:p w14:paraId="486A621B">
      <w:pPr>
        <w:pStyle w:val="27"/>
        <w:widowControl/>
        <w:rPr>
          <w:color w:val="auto"/>
        </w:rPr>
      </w:pPr>
      <w:r>
        <w:rPr>
          <w:rFonts w:hint="eastAsia" w:ascii="宋体" w:hAnsi="宋体" w:eastAsia="宋体" w:cs="宋体"/>
          <w:color w:val="auto"/>
          <w:sz w:val="21"/>
          <w:szCs w:val="21"/>
        </w:rPr>
        <w:t>附：单位负责人、投标人代表的身份证正反面复印件</w:t>
      </w:r>
    </w:p>
    <w:tbl>
      <w:tblPr>
        <w:tblStyle w:val="30"/>
        <w:tblW w:w="8520" w:type="dxa"/>
        <w:tblCellSpacing w:w="15" w:type="dxa"/>
        <w:tblInd w:w="-15"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15" w:type="dxa"/>
          <w:left w:w="15" w:type="dxa"/>
          <w:bottom w:w="15" w:type="dxa"/>
          <w:right w:w="15" w:type="dxa"/>
        </w:tblCellMar>
      </w:tblPr>
      <w:tblGrid>
        <w:gridCol w:w="8520"/>
      </w:tblGrid>
      <w:tr w14:paraId="599E4A1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8460" w:type="dxa"/>
            <w:shd w:val="clear" w:color="auto" w:fill="auto"/>
            <w:tcMar>
              <w:top w:w="0" w:type="dxa"/>
              <w:left w:w="105" w:type="dxa"/>
              <w:bottom w:w="0" w:type="dxa"/>
              <w:right w:w="105" w:type="dxa"/>
            </w:tcMar>
            <w:vAlign w:val="center"/>
          </w:tcPr>
          <w:p w14:paraId="7F0962C7">
            <w:pPr>
              <w:pStyle w:val="27"/>
              <w:widowControl/>
              <w:jc w:val="center"/>
              <w:rPr>
                <w:color w:val="auto"/>
              </w:rPr>
            </w:pPr>
            <w:r>
              <w:rPr>
                <w:rStyle w:val="32"/>
                <w:rFonts w:hint="eastAsia" w:ascii="宋体" w:hAnsi="宋体" w:eastAsia="宋体" w:cs="宋体"/>
                <w:color w:val="auto"/>
                <w:sz w:val="21"/>
                <w:szCs w:val="21"/>
              </w:rPr>
              <w:t> </w:t>
            </w:r>
          </w:p>
          <w:p w14:paraId="28A04B16">
            <w:pPr>
              <w:pStyle w:val="27"/>
              <w:widowControl/>
              <w:jc w:val="center"/>
              <w:rPr>
                <w:color w:val="auto"/>
              </w:rPr>
            </w:pPr>
            <w:r>
              <w:rPr>
                <w:rStyle w:val="32"/>
                <w:rFonts w:hint="eastAsia" w:ascii="宋体" w:hAnsi="宋体" w:eastAsia="宋体" w:cs="宋体"/>
                <w:color w:val="auto"/>
                <w:sz w:val="21"/>
                <w:szCs w:val="21"/>
              </w:rPr>
              <w:t>要求：真实有效且内容完整、清晰、整洁。</w:t>
            </w:r>
          </w:p>
          <w:p w14:paraId="77C2A6AA">
            <w:pPr>
              <w:pStyle w:val="27"/>
              <w:widowControl/>
              <w:jc w:val="center"/>
              <w:rPr>
                <w:color w:val="auto"/>
              </w:rPr>
            </w:pPr>
            <w:r>
              <w:rPr>
                <w:rStyle w:val="32"/>
                <w:rFonts w:hint="eastAsia" w:ascii="宋体" w:hAnsi="宋体" w:eastAsia="宋体" w:cs="宋体"/>
                <w:color w:val="auto"/>
                <w:sz w:val="21"/>
                <w:szCs w:val="21"/>
              </w:rPr>
              <w:t> </w:t>
            </w:r>
          </w:p>
        </w:tc>
      </w:tr>
    </w:tbl>
    <w:p w14:paraId="479822B2">
      <w:pPr>
        <w:pStyle w:val="27"/>
        <w:widowControl/>
        <w:rPr>
          <w:color w:val="auto"/>
        </w:rPr>
      </w:pPr>
      <w:r>
        <w:rPr>
          <w:rFonts w:hint="eastAsia" w:ascii="宋体" w:hAnsi="宋体" w:eastAsia="宋体" w:cs="宋体"/>
          <w:color w:val="auto"/>
          <w:sz w:val="21"/>
          <w:szCs w:val="21"/>
        </w:rPr>
        <w:t> </w:t>
      </w:r>
    </w:p>
    <w:p w14:paraId="7502B824">
      <w:pPr>
        <w:pStyle w:val="27"/>
        <w:widowControl/>
        <w:rPr>
          <w:color w:val="auto"/>
        </w:rPr>
      </w:pPr>
      <w:r>
        <w:rPr>
          <w:rFonts w:hint="eastAsia" w:ascii="宋体" w:hAnsi="宋体" w:eastAsia="宋体" w:cs="宋体"/>
          <w:color w:val="auto"/>
          <w:sz w:val="21"/>
          <w:szCs w:val="21"/>
        </w:rPr>
        <w:t>★注意：</w:t>
      </w:r>
    </w:p>
    <w:p w14:paraId="6FF4C9CF">
      <w:pPr>
        <w:pStyle w:val="27"/>
        <w:widowControl/>
        <w:rPr>
          <w:color w:val="auto"/>
        </w:rPr>
      </w:pPr>
      <w:r>
        <w:rPr>
          <w:rFonts w:hint="eastAsia" w:ascii="宋体" w:hAnsi="宋体" w:eastAsia="宋体" w:cs="宋体"/>
          <w:color w:val="auto"/>
          <w:sz w:val="21"/>
          <w:szCs w:val="21"/>
        </w:rPr>
        <w:t>1、企业（银行、保险、石油石化、电力、电信等行业除外）、事业单位和社会团体法人的“单位负责人”指</w:t>
      </w:r>
      <w:r>
        <w:rPr>
          <w:rStyle w:val="32"/>
          <w:rFonts w:hint="eastAsia" w:ascii="宋体" w:hAnsi="宋体" w:eastAsia="宋体" w:cs="宋体"/>
          <w:color w:val="auto"/>
          <w:sz w:val="21"/>
          <w:szCs w:val="21"/>
        </w:rPr>
        <w:t>法定代表人</w:t>
      </w:r>
      <w:r>
        <w:rPr>
          <w:rFonts w:hint="eastAsia" w:ascii="宋体" w:hAnsi="宋体" w:eastAsia="宋体" w:cs="宋体"/>
          <w:color w:val="auto"/>
          <w:sz w:val="21"/>
          <w:szCs w:val="21"/>
        </w:rPr>
        <w:t>，即与实际提交的“营业执照等证明文件”载明的一致。</w:t>
      </w:r>
    </w:p>
    <w:p w14:paraId="1269E913">
      <w:pPr>
        <w:pStyle w:val="27"/>
        <w:widowControl/>
        <w:rPr>
          <w:color w:val="auto"/>
        </w:rPr>
      </w:pPr>
      <w:r>
        <w:rPr>
          <w:rFonts w:hint="eastAsia" w:ascii="宋体" w:hAnsi="宋体" w:eastAsia="宋体" w:cs="宋体"/>
          <w:color w:val="auto"/>
          <w:sz w:val="21"/>
          <w:szCs w:val="21"/>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246AB534">
      <w:pPr>
        <w:pStyle w:val="27"/>
        <w:widowControl/>
        <w:rPr>
          <w:color w:val="auto"/>
        </w:rPr>
      </w:pPr>
      <w:r>
        <w:rPr>
          <w:rFonts w:hint="eastAsia" w:ascii="宋体" w:hAnsi="宋体" w:eastAsia="宋体" w:cs="宋体"/>
          <w:color w:val="auto"/>
          <w:sz w:val="21"/>
          <w:szCs w:val="21"/>
        </w:rPr>
        <w:t>3、投标人（自然人除外）：若投标人代表为单位负责人授权的委托代理人，应提供本授权书；若投标人代表为单位负责人，应在此项下提交其身份证正反面复印件，可不提供本授权书。</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4、投标人为自然人的，可不填写本授权书。</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5、纸质投标文件正本中的本授权书（若有）应为原件。</w:t>
      </w:r>
    </w:p>
    <w:p w14:paraId="2ECA25EF">
      <w:pPr>
        <w:pStyle w:val="27"/>
        <w:widowControl/>
        <w:rPr>
          <w:color w:val="auto"/>
        </w:rPr>
      </w:pPr>
    </w:p>
    <w:p w14:paraId="21141B8C">
      <w:pPr>
        <w:pStyle w:val="27"/>
        <w:widowControl/>
        <w:rPr>
          <w:color w:val="auto"/>
        </w:rPr>
      </w:pPr>
      <w:r>
        <w:rPr>
          <w:rFonts w:hint="eastAsia" w:ascii="宋体" w:hAnsi="宋体" w:eastAsia="宋体" w:cs="宋体"/>
          <w:color w:val="auto"/>
          <w:sz w:val="21"/>
          <w:szCs w:val="21"/>
        </w:rPr>
        <w:t> </w:t>
      </w:r>
    </w:p>
    <w:p w14:paraId="1C7693E0">
      <w:pPr>
        <w:pStyle w:val="27"/>
        <w:widowControl/>
        <w:rPr>
          <w:rFonts w:ascii="Calibri" w:hAnsi="Calibri" w:cs="Calibri"/>
          <w:color w:val="auto"/>
          <w:sz w:val="21"/>
          <w:szCs w:val="21"/>
        </w:rPr>
      </w:pPr>
      <w:r>
        <w:rPr>
          <w:rFonts w:hint="eastAsia" w:ascii="宋体" w:hAnsi="宋体" w:eastAsia="宋体" w:cs="宋体"/>
          <w:color w:val="auto"/>
          <w:sz w:val="21"/>
          <w:szCs w:val="21"/>
        </w:rPr>
        <w:t> </w:t>
      </w:r>
    </w:p>
    <w:p w14:paraId="110F8758">
      <w:pPr>
        <w:pStyle w:val="27"/>
        <w:widowControl/>
        <w:jc w:val="center"/>
        <w:rPr>
          <w:rFonts w:ascii="Calibri" w:hAnsi="Calibri" w:cs="Calibri"/>
          <w:color w:val="auto"/>
          <w:sz w:val="21"/>
          <w:szCs w:val="21"/>
        </w:rPr>
      </w:pPr>
      <w:r>
        <w:rPr>
          <w:rFonts w:ascii="Calibri" w:hAnsi="Calibri" w:cs="Calibri"/>
          <w:color w:val="auto"/>
          <w:sz w:val="21"/>
          <w:szCs w:val="21"/>
        </w:rPr>
        <w:br w:type="page"/>
      </w:r>
    </w:p>
    <w:p w14:paraId="6CEC1342">
      <w:pPr>
        <w:pStyle w:val="27"/>
        <w:widowControl/>
        <w:jc w:val="center"/>
        <w:outlineLvl w:val="2"/>
        <w:rPr>
          <w:color w:val="auto"/>
        </w:rPr>
      </w:pPr>
      <w:r>
        <w:rPr>
          <w:rStyle w:val="32"/>
          <w:rFonts w:hint="eastAsia" w:ascii="宋体" w:hAnsi="宋体" w:eastAsia="宋体" w:cs="宋体"/>
          <w:color w:val="auto"/>
          <w:sz w:val="21"/>
          <w:szCs w:val="21"/>
        </w:rPr>
        <w:t>二-2营业执照等证明文件</w:t>
      </w:r>
    </w:p>
    <w:p w14:paraId="30264EA0">
      <w:pPr>
        <w:pStyle w:val="27"/>
        <w:widowControl/>
        <w:rPr>
          <w:color w:val="auto"/>
        </w:rPr>
      </w:pPr>
      <w:r>
        <w:rPr>
          <w:rFonts w:ascii="Calibri" w:hAnsi="Calibri" w:cs="Calibri"/>
          <w:color w:val="auto"/>
          <w:sz w:val="21"/>
          <w:szCs w:val="21"/>
        </w:rPr>
        <w:t> </w:t>
      </w:r>
    </w:p>
    <w:p w14:paraId="0CD78D63">
      <w:pPr>
        <w:pStyle w:val="27"/>
        <w:widowControl/>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14:paraId="37728CC3">
      <w:pPr>
        <w:pStyle w:val="27"/>
        <w:widowControl/>
        <w:ind w:firstLine="420"/>
        <w:rPr>
          <w:color w:val="auto"/>
        </w:rPr>
      </w:pPr>
      <w:r>
        <w:rPr>
          <w:rFonts w:hint="eastAsia" w:ascii="宋体" w:hAnsi="宋体" w:eastAsia="宋体" w:cs="宋体"/>
          <w:color w:val="auto"/>
          <w:sz w:val="21"/>
          <w:szCs w:val="21"/>
        </w:rPr>
        <w:t>（ ）投标人为法人（包括企业、事业单位和社会团体）的</w:t>
      </w:r>
    </w:p>
    <w:p w14:paraId="5B1765D3">
      <w:pPr>
        <w:pStyle w:val="27"/>
        <w:widowControl/>
        <w:ind w:firstLine="420"/>
        <w:rPr>
          <w:color w:val="auto"/>
        </w:rPr>
      </w:pPr>
      <w:r>
        <w:rPr>
          <w:rFonts w:hint="eastAsia" w:ascii="宋体" w:hAnsi="宋体" w:eastAsia="宋体" w:cs="宋体"/>
          <w:color w:val="auto"/>
          <w:sz w:val="21"/>
          <w:szCs w:val="21"/>
        </w:rPr>
        <w:t>现附上由</w:t>
      </w:r>
      <w:r>
        <w:rPr>
          <w:rFonts w:hint="eastAsia" w:ascii="宋体" w:hAnsi="宋体" w:eastAsia="宋体" w:cs="宋体"/>
          <w:color w:val="auto"/>
          <w:sz w:val="21"/>
          <w:szCs w:val="21"/>
          <w:u w:val="single"/>
        </w:rPr>
        <w:t>（填写“签发机关全称”）</w:t>
      </w:r>
      <w:r>
        <w:rPr>
          <w:rFonts w:hint="eastAsia" w:ascii="宋体" w:hAnsi="宋体" w:eastAsia="宋体" w:cs="宋体"/>
          <w:color w:val="auto"/>
          <w:sz w:val="21"/>
          <w:szCs w:val="21"/>
        </w:rPr>
        <w:t>签发的我方统一社会信用代码</w:t>
      </w:r>
      <w:r>
        <w:rPr>
          <w:rFonts w:hint="eastAsia" w:ascii="宋体" w:hAnsi="宋体" w:eastAsia="宋体" w:cs="宋体"/>
          <w:color w:val="auto"/>
          <w:sz w:val="21"/>
          <w:szCs w:val="21"/>
          <w:u w:val="single"/>
        </w:rPr>
        <w:t>（请填写法人的具体证照名称）</w:t>
      </w:r>
      <w:r>
        <w:rPr>
          <w:rFonts w:hint="eastAsia" w:ascii="宋体" w:hAnsi="宋体" w:eastAsia="宋体" w:cs="宋体"/>
          <w:color w:val="auto"/>
          <w:sz w:val="21"/>
          <w:szCs w:val="21"/>
        </w:rPr>
        <w:t>复印件，该证明材料真实有效，否则我方负全部责任。</w:t>
      </w:r>
    </w:p>
    <w:p w14:paraId="1C5A6FA6">
      <w:pPr>
        <w:pStyle w:val="27"/>
        <w:widowControl/>
        <w:ind w:firstLine="420"/>
        <w:rPr>
          <w:color w:val="auto"/>
        </w:rPr>
      </w:pPr>
      <w:r>
        <w:rPr>
          <w:rFonts w:hint="eastAsia" w:ascii="宋体" w:hAnsi="宋体" w:eastAsia="宋体" w:cs="宋体"/>
          <w:color w:val="auto"/>
          <w:sz w:val="21"/>
          <w:szCs w:val="21"/>
        </w:rPr>
        <w:t>（ ）投标人为非法人（包括其他组织、自然人）的</w:t>
      </w:r>
    </w:p>
    <w:p w14:paraId="36AB5BD7">
      <w:pPr>
        <w:pStyle w:val="27"/>
        <w:widowControl/>
        <w:ind w:firstLine="420"/>
        <w:rPr>
          <w:color w:val="auto"/>
        </w:rPr>
      </w:pPr>
      <w:r>
        <w:rPr>
          <w:rFonts w:hint="eastAsia" w:ascii="宋体" w:hAnsi="宋体" w:eastAsia="宋体" w:cs="宋体"/>
          <w:color w:val="auto"/>
          <w:sz w:val="21"/>
          <w:szCs w:val="21"/>
        </w:rPr>
        <w:t>□现附上由</w:t>
      </w:r>
      <w:r>
        <w:rPr>
          <w:rFonts w:hint="eastAsia" w:ascii="宋体" w:hAnsi="宋体" w:eastAsia="宋体" w:cs="宋体"/>
          <w:color w:val="auto"/>
          <w:sz w:val="21"/>
          <w:szCs w:val="21"/>
          <w:u w:val="single"/>
        </w:rPr>
        <w:t>（填写“签发机关全称”）</w:t>
      </w:r>
      <w:r>
        <w:rPr>
          <w:rFonts w:hint="eastAsia" w:ascii="宋体" w:hAnsi="宋体" w:eastAsia="宋体" w:cs="宋体"/>
          <w:color w:val="auto"/>
          <w:sz w:val="21"/>
          <w:szCs w:val="21"/>
        </w:rPr>
        <w:t>签发的我方</w:t>
      </w:r>
      <w:r>
        <w:rPr>
          <w:rFonts w:hint="eastAsia" w:ascii="宋体" w:hAnsi="宋体" w:eastAsia="宋体" w:cs="宋体"/>
          <w:color w:val="auto"/>
          <w:sz w:val="21"/>
          <w:szCs w:val="21"/>
          <w:u w:val="single"/>
        </w:rPr>
        <w:t>（请填写非自然人的非法人的具体证照名称）</w:t>
      </w:r>
      <w:r>
        <w:rPr>
          <w:rFonts w:hint="eastAsia" w:ascii="宋体" w:hAnsi="宋体" w:eastAsia="宋体" w:cs="宋体"/>
          <w:color w:val="auto"/>
          <w:sz w:val="21"/>
          <w:szCs w:val="21"/>
        </w:rPr>
        <w:t>复印件，该证明材料真实有效，否则我方负全部责任。</w:t>
      </w:r>
    </w:p>
    <w:p w14:paraId="70B4D031">
      <w:pPr>
        <w:pStyle w:val="27"/>
        <w:widowControl/>
        <w:ind w:firstLine="420"/>
        <w:rPr>
          <w:color w:val="auto"/>
        </w:rPr>
      </w:pPr>
      <w:r>
        <w:rPr>
          <w:rFonts w:hint="eastAsia" w:ascii="宋体" w:hAnsi="宋体" w:eastAsia="宋体" w:cs="宋体"/>
          <w:color w:val="auto"/>
          <w:sz w:val="21"/>
          <w:szCs w:val="21"/>
        </w:rPr>
        <w:t>□现附上由</w:t>
      </w:r>
      <w:r>
        <w:rPr>
          <w:rFonts w:hint="eastAsia" w:ascii="宋体" w:hAnsi="宋体" w:eastAsia="宋体" w:cs="宋体"/>
          <w:color w:val="auto"/>
          <w:sz w:val="21"/>
          <w:szCs w:val="21"/>
          <w:u w:val="single"/>
        </w:rPr>
        <w:t>（填写“签发机关全称”）</w:t>
      </w:r>
      <w:r>
        <w:rPr>
          <w:rFonts w:hint="eastAsia" w:ascii="宋体" w:hAnsi="宋体" w:eastAsia="宋体" w:cs="宋体"/>
          <w:color w:val="auto"/>
          <w:sz w:val="21"/>
          <w:szCs w:val="21"/>
        </w:rPr>
        <w:t>签发的我方</w:t>
      </w:r>
      <w:r>
        <w:rPr>
          <w:rFonts w:hint="eastAsia" w:ascii="宋体" w:hAnsi="宋体" w:eastAsia="宋体" w:cs="宋体"/>
          <w:color w:val="auto"/>
          <w:sz w:val="21"/>
          <w:szCs w:val="21"/>
          <w:u w:val="single"/>
        </w:rPr>
        <w:t>（请填写自然人的身份证件名称）</w:t>
      </w:r>
      <w:r>
        <w:rPr>
          <w:rFonts w:hint="eastAsia" w:ascii="宋体" w:hAnsi="宋体" w:eastAsia="宋体" w:cs="宋体"/>
          <w:color w:val="auto"/>
          <w:sz w:val="21"/>
          <w:szCs w:val="21"/>
        </w:rPr>
        <w:t>复印件，该证明材料真实有效，否则我方负全部责任。</w:t>
      </w:r>
    </w:p>
    <w:p w14:paraId="3254354C">
      <w:pPr>
        <w:pStyle w:val="27"/>
        <w:widowControl/>
        <w:rPr>
          <w:color w:val="auto"/>
        </w:rPr>
      </w:pPr>
      <w:r>
        <w:rPr>
          <w:rFonts w:ascii="Calibri" w:hAnsi="Calibri" w:cs="Calibri"/>
          <w:color w:val="auto"/>
          <w:sz w:val="21"/>
          <w:szCs w:val="21"/>
        </w:rPr>
        <w:t> </w:t>
      </w:r>
    </w:p>
    <w:p w14:paraId="0EF4CF5D">
      <w:pPr>
        <w:pStyle w:val="27"/>
        <w:widowControl/>
        <w:rPr>
          <w:color w:val="auto"/>
        </w:rPr>
      </w:pPr>
      <w:r>
        <w:rPr>
          <w:rFonts w:hint="eastAsia" w:ascii="宋体" w:hAnsi="宋体" w:eastAsia="宋体" w:cs="宋体"/>
          <w:color w:val="auto"/>
          <w:sz w:val="21"/>
          <w:szCs w:val="21"/>
        </w:rPr>
        <w:t>★注意：</w:t>
      </w:r>
    </w:p>
    <w:p w14:paraId="07EA32BA">
      <w:pPr>
        <w:pStyle w:val="27"/>
        <w:widowControl/>
        <w:rPr>
          <w:color w:val="auto"/>
        </w:rPr>
      </w:pPr>
      <w:r>
        <w:rPr>
          <w:rFonts w:hint="eastAsia" w:ascii="宋体" w:hAnsi="宋体" w:eastAsia="宋体" w:cs="宋体"/>
          <w:color w:val="auto"/>
          <w:sz w:val="21"/>
          <w:szCs w:val="21"/>
        </w:rPr>
        <w:t>1、请投标人按照实际情况编制填写，在相应的（）中打“√”并选择相应的“□”（若有）后，再按照本格式的要求提供相应证明材料的复印件。</w:t>
      </w:r>
    </w:p>
    <w:p w14:paraId="5011C1A7">
      <w:pPr>
        <w:pStyle w:val="27"/>
        <w:widowControl/>
        <w:rPr>
          <w:color w:val="auto"/>
        </w:rPr>
      </w:pPr>
      <w:r>
        <w:rPr>
          <w:rFonts w:hint="eastAsia" w:ascii="宋体" w:hAnsi="宋体" w:eastAsia="宋体" w:cs="宋体"/>
          <w:color w:val="auto"/>
          <w:sz w:val="21"/>
          <w:szCs w:val="21"/>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182544AF">
      <w:pPr>
        <w:pStyle w:val="27"/>
        <w:widowControl/>
        <w:rPr>
          <w:color w:val="auto"/>
        </w:rPr>
      </w:pPr>
      <w:r>
        <w:rPr>
          <w:rFonts w:hint="eastAsia" w:ascii="宋体" w:hAnsi="宋体" w:eastAsia="宋体" w:cs="宋体"/>
          <w:color w:val="auto"/>
          <w:sz w:val="21"/>
          <w:szCs w:val="21"/>
        </w:rPr>
        <w:t>3、投标人提供的相应证明材料复印件均应符合：内容完整、清晰、整洁，并由投标人加盖其单位公章。</w:t>
      </w:r>
    </w:p>
    <w:p w14:paraId="69D09DB4">
      <w:pPr>
        <w:pStyle w:val="27"/>
        <w:widowControl/>
        <w:rPr>
          <w:color w:val="auto"/>
        </w:rPr>
      </w:pPr>
    </w:p>
    <w:p w14:paraId="4AFD10DA">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4760DB7B">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14613E4F">
      <w:pPr>
        <w:pStyle w:val="27"/>
        <w:widowControl/>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34C3FB09">
      <w:pPr>
        <w:pStyle w:val="27"/>
        <w:widowControl/>
        <w:rPr>
          <w:color w:val="auto"/>
        </w:rPr>
      </w:pPr>
      <w:r>
        <w:rPr>
          <w:color w:val="auto"/>
        </w:rPr>
        <w:br w:type="page"/>
      </w:r>
    </w:p>
    <w:p w14:paraId="7DF40043">
      <w:pPr>
        <w:pStyle w:val="27"/>
        <w:widowControl/>
        <w:spacing w:line="224" w:lineRule="exact"/>
        <w:jc w:val="center"/>
        <w:outlineLvl w:val="2"/>
        <w:rPr>
          <w:color w:val="auto"/>
          <w:sz w:val="22"/>
          <w:szCs w:val="22"/>
        </w:rPr>
      </w:pPr>
      <w:r>
        <w:rPr>
          <w:rStyle w:val="32"/>
          <w:rFonts w:hint="eastAsia" w:ascii="宋体" w:hAnsi="宋体" w:eastAsia="宋体" w:cs="宋体"/>
          <w:color w:val="auto"/>
          <w:sz w:val="20"/>
          <w:szCs w:val="20"/>
        </w:rPr>
        <w:t>二-3财务状况报告（财务报告、或资信证明、或投标担保函）</w:t>
      </w:r>
    </w:p>
    <w:p w14:paraId="016B36F9">
      <w:pPr>
        <w:pStyle w:val="27"/>
        <w:widowControl/>
        <w:spacing w:line="224" w:lineRule="exact"/>
        <w:rPr>
          <w:color w:val="auto"/>
          <w:sz w:val="22"/>
          <w:szCs w:val="22"/>
        </w:rPr>
      </w:pPr>
      <w:r>
        <w:rPr>
          <w:rFonts w:hint="eastAsia" w:ascii="宋体" w:hAnsi="宋体" w:eastAsia="宋体" w:cs="宋体"/>
          <w:color w:val="auto"/>
          <w:sz w:val="20"/>
          <w:szCs w:val="20"/>
        </w:rPr>
        <w:t> 致：</w:t>
      </w:r>
      <w:r>
        <w:rPr>
          <w:rFonts w:hint="eastAsia" w:ascii="宋体" w:hAnsi="宋体" w:eastAsia="宋体" w:cs="宋体"/>
          <w:color w:val="auto"/>
          <w:sz w:val="20"/>
          <w:szCs w:val="20"/>
          <w:u w:val="single"/>
        </w:rPr>
        <w:t>                     </w:t>
      </w:r>
    </w:p>
    <w:p w14:paraId="1047A074">
      <w:pPr>
        <w:pStyle w:val="27"/>
        <w:widowControl/>
        <w:spacing w:line="224" w:lineRule="exact"/>
        <w:ind w:firstLine="420"/>
        <w:rPr>
          <w:color w:val="auto"/>
          <w:sz w:val="22"/>
          <w:szCs w:val="22"/>
        </w:rPr>
      </w:pPr>
      <w:r>
        <w:rPr>
          <w:rFonts w:hint="eastAsia" w:ascii="宋体" w:hAnsi="宋体" w:eastAsia="宋体" w:cs="宋体"/>
          <w:color w:val="auto"/>
          <w:sz w:val="20"/>
          <w:szCs w:val="20"/>
        </w:rPr>
        <w:t>（ ）投标人提供财务报告的</w:t>
      </w:r>
    </w:p>
    <w:p w14:paraId="55BD8C81">
      <w:pPr>
        <w:pStyle w:val="27"/>
        <w:widowControl/>
        <w:spacing w:line="224" w:lineRule="exact"/>
        <w:ind w:firstLine="420"/>
        <w:rPr>
          <w:color w:val="auto"/>
          <w:sz w:val="22"/>
          <w:szCs w:val="22"/>
        </w:rPr>
      </w:pPr>
      <w:r>
        <w:rPr>
          <w:rFonts w:hint="eastAsia" w:ascii="宋体" w:hAnsi="宋体" w:eastAsia="宋体" w:cs="宋体"/>
          <w:color w:val="auto"/>
          <w:sz w:val="20"/>
          <w:szCs w:val="20"/>
        </w:rPr>
        <w:t>□企业适用：现附上我方</w:t>
      </w:r>
      <w:r>
        <w:rPr>
          <w:rFonts w:hint="eastAsia" w:ascii="宋体" w:hAnsi="宋体" w:eastAsia="宋体" w:cs="宋体"/>
          <w:color w:val="auto"/>
          <w:sz w:val="20"/>
          <w:szCs w:val="20"/>
          <w:u w:val="single"/>
        </w:rPr>
        <w:t>（填写“具体的年度、或半年度、或季度”）</w:t>
      </w:r>
      <w:r>
        <w:rPr>
          <w:rFonts w:hint="eastAsia" w:ascii="宋体" w:hAnsi="宋体" w:eastAsia="宋体" w:cs="宋体"/>
          <w:color w:val="auto"/>
          <w:sz w:val="20"/>
          <w:szCs w:val="20"/>
        </w:rPr>
        <w:t>财务报告复印件，包括资产负债表、利润表、现金流量表、所有者权益变动表（若有）及其附注（若有），上述证明材料真实有效，否则我方负全部责任。</w:t>
      </w:r>
    </w:p>
    <w:p w14:paraId="2E0BC7B0">
      <w:pPr>
        <w:pStyle w:val="27"/>
        <w:widowControl/>
        <w:spacing w:line="224" w:lineRule="exact"/>
        <w:ind w:firstLine="420"/>
        <w:rPr>
          <w:color w:val="auto"/>
          <w:sz w:val="22"/>
          <w:szCs w:val="22"/>
        </w:rPr>
      </w:pPr>
      <w:r>
        <w:rPr>
          <w:rFonts w:hint="eastAsia" w:ascii="宋体" w:hAnsi="宋体" w:eastAsia="宋体" w:cs="宋体"/>
          <w:color w:val="auto"/>
          <w:sz w:val="20"/>
          <w:szCs w:val="20"/>
        </w:rPr>
        <w:t>□事业单位适用：现附上我方</w:t>
      </w:r>
      <w:r>
        <w:rPr>
          <w:rFonts w:hint="eastAsia" w:ascii="宋体" w:hAnsi="宋体" w:eastAsia="宋体" w:cs="宋体"/>
          <w:color w:val="auto"/>
          <w:sz w:val="20"/>
          <w:szCs w:val="20"/>
          <w:u w:val="single"/>
        </w:rPr>
        <w:t>（填写“具体的年度、或半年度、或季度”）</w:t>
      </w:r>
      <w:r>
        <w:rPr>
          <w:rFonts w:hint="eastAsia" w:ascii="宋体" w:hAnsi="宋体" w:eastAsia="宋体" w:cs="宋体"/>
          <w:color w:val="auto"/>
          <w:sz w:val="20"/>
          <w:szCs w:val="20"/>
        </w:rPr>
        <w:t>财务报告复印件，包括资产负债表、收入支出表（或收入费用表）、财政补助收入支出表（若有），上述证明材料真实有效，否则我方负全部责任。</w:t>
      </w:r>
    </w:p>
    <w:p w14:paraId="43A3BF88">
      <w:pPr>
        <w:pStyle w:val="27"/>
        <w:widowControl/>
        <w:spacing w:line="224" w:lineRule="exact"/>
        <w:ind w:firstLine="420"/>
        <w:rPr>
          <w:color w:val="auto"/>
          <w:sz w:val="22"/>
          <w:szCs w:val="22"/>
        </w:rPr>
      </w:pPr>
      <w:r>
        <w:rPr>
          <w:rFonts w:hint="eastAsia" w:ascii="宋体" w:hAnsi="宋体" w:eastAsia="宋体" w:cs="宋体"/>
          <w:color w:val="auto"/>
          <w:sz w:val="20"/>
          <w:szCs w:val="20"/>
        </w:rPr>
        <w:t>□社会团体适用：现附上我方</w:t>
      </w:r>
      <w:r>
        <w:rPr>
          <w:rFonts w:hint="eastAsia" w:ascii="宋体" w:hAnsi="宋体" w:eastAsia="宋体" w:cs="宋体"/>
          <w:color w:val="auto"/>
          <w:sz w:val="20"/>
          <w:szCs w:val="20"/>
          <w:u w:val="single"/>
        </w:rPr>
        <w:t>（填写“具体的年度、或半年度、或季度”）</w:t>
      </w:r>
      <w:r>
        <w:rPr>
          <w:rFonts w:hint="eastAsia" w:ascii="宋体" w:hAnsi="宋体" w:eastAsia="宋体" w:cs="宋体"/>
          <w:color w:val="auto"/>
          <w:sz w:val="20"/>
          <w:szCs w:val="20"/>
        </w:rPr>
        <w:t>财务报告复印件，包括资产负债表、业务活动表、现金流量表，上述证明材料真实有效，否则我方负全部责任。</w:t>
      </w:r>
    </w:p>
    <w:p w14:paraId="3C283DF1">
      <w:pPr>
        <w:pStyle w:val="27"/>
        <w:widowControl/>
        <w:spacing w:line="224" w:lineRule="exact"/>
        <w:ind w:firstLine="420"/>
        <w:rPr>
          <w:color w:val="auto"/>
          <w:sz w:val="22"/>
          <w:szCs w:val="22"/>
        </w:rPr>
      </w:pPr>
      <w:r>
        <w:rPr>
          <w:rFonts w:hint="eastAsia" w:ascii="宋体" w:hAnsi="宋体" w:eastAsia="宋体" w:cs="宋体"/>
          <w:color w:val="auto"/>
          <w:sz w:val="20"/>
          <w:szCs w:val="20"/>
        </w:rPr>
        <w:t>（ ）投标人提供资信证明的</w:t>
      </w:r>
    </w:p>
    <w:p w14:paraId="1DE1E5B6">
      <w:pPr>
        <w:pStyle w:val="27"/>
        <w:widowControl/>
        <w:spacing w:line="224" w:lineRule="exact"/>
        <w:ind w:firstLine="420"/>
        <w:rPr>
          <w:color w:val="auto"/>
          <w:sz w:val="22"/>
          <w:szCs w:val="22"/>
        </w:rPr>
      </w:pPr>
      <w:r>
        <w:rPr>
          <w:rFonts w:hint="eastAsia" w:ascii="宋体" w:hAnsi="宋体" w:eastAsia="宋体" w:cs="宋体"/>
          <w:color w:val="auto"/>
          <w:sz w:val="20"/>
          <w:szCs w:val="20"/>
        </w:rPr>
        <w:t>□非自然人适用（包括企业、事业单位、社会团体和其他组织）：现附上我方银行：（填写“开户银行全称”）出具的资信证明复印件，上述证明材料真实有效，否则我方负全部责任。</w:t>
      </w:r>
    </w:p>
    <w:p w14:paraId="56EDF836">
      <w:pPr>
        <w:pStyle w:val="27"/>
        <w:widowControl/>
        <w:spacing w:line="224" w:lineRule="exact"/>
        <w:ind w:firstLine="420"/>
        <w:rPr>
          <w:color w:val="auto"/>
          <w:sz w:val="22"/>
          <w:szCs w:val="22"/>
        </w:rPr>
      </w:pPr>
      <w:r>
        <w:rPr>
          <w:rFonts w:hint="eastAsia" w:ascii="宋体" w:hAnsi="宋体" w:eastAsia="宋体" w:cs="宋体"/>
          <w:color w:val="auto"/>
          <w:sz w:val="20"/>
          <w:szCs w:val="20"/>
        </w:rPr>
        <w:t>□自然人适用：现附上我方银行：</w:t>
      </w:r>
      <w:r>
        <w:rPr>
          <w:rFonts w:hint="eastAsia" w:ascii="宋体" w:hAnsi="宋体" w:eastAsia="宋体" w:cs="宋体"/>
          <w:color w:val="auto"/>
          <w:sz w:val="20"/>
          <w:szCs w:val="20"/>
          <w:u w:val="single"/>
        </w:rPr>
        <w:t>（填写自然人的“个人账户的开户银行全称”）</w:t>
      </w:r>
      <w:r>
        <w:rPr>
          <w:rFonts w:hint="eastAsia" w:ascii="宋体" w:hAnsi="宋体" w:eastAsia="宋体" w:cs="宋体"/>
          <w:color w:val="auto"/>
          <w:sz w:val="20"/>
          <w:szCs w:val="20"/>
        </w:rPr>
        <w:t>出具的资信证明复印件，上述证明材料真实有效，否则我方负全部责任。</w:t>
      </w:r>
    </w:p>
    <w:p w14:paraId="48E2EF3A">
      <w:pPr>
        <w:pStyle w:val="27"/>
        <w:widowControl/>
        <w:spacing w:line="224" w:lineRule="exact"/>
        <w:ind w:firstLine="420"/>
        <w:rPr>
          <w:color w:val="auto"/>
          <w:sz w:val="22"/>
          <w:szCs w:val="22"/>
        </w:rPr>
      </w:pPr>
      <w:r>
        <w:rPr>
          <w:rFonts w:hint="eastAsia" w:ascii="宋体" w:hAnsi="宋体" w:eastAsia="宋体" w:cs="宋体"/>
          <w:color w:val="auto"/>
          <w:sz w:val="20"/>
          <w:szCs w:val="20"/>
        </w:rPr>
        <w:t>（ ）投标人提供投标担保函的</w:t>
      </w:r>
    </w:p>
    <w:p w14:paraId="5B355EA2">
      <w:pPr>
        <w:pStyle w:val="27"/>
        <w:widowControl/>
        <w:spacing w:line="224" w:lineRule="exact"/>
        <w:ind w:firstLine="420"/>
        <w:rPr>
          <w:color w:val="auto"/>
          <w:sz w:val="22"/>
          <w:szCs w:val="22"/>
        </w:rPr>
      </w:pPr>
      <w:r>
        <w:rPr>
          <w:rFonts w:hint="eastAsia" w:ascii="宋体" w:hAnsi="宋体" w:eastAsia="宋体" w:cs="宋体"/>
          <w:color w:val="auto"/>
          <w:sz w:val="20"/>
          <w:szCs w:val="20"/>
        </w:rPr>
        <w:t>现附上由财政部门认可的政府采购专业担保机构：</w:t>
      </w:r>
      <w:r>
        <w:rPr>
          <w:rFonts w:hint="eastAsia" w:ascii="宋体" w:hAnsi="宋体" w:eastAsia="宋体" w:cs="宋体"/>
          <w:color w:val="auto"/>
          <w:sz w:val="20"/>
          <w:szCs w:val="20"/>
          <w:u w:val="single"/>
        </w:rPr>
        <w:t>（填写“担保机构全称”）</w:t>
      </w:r>
      <w:r>
        <w:rPr>
          <w:rFonts w:hint="eastAsia" w:ascii="宋体" w:hAnsi="宋体" w:eastAsia="宋体" w:cs="宋体"/>
          <w:color w:val="auto"/>
          <w:sz w:val="20"/>
          <w:szCs w:val="20"/>
        </w:rPr>
        <w:t>出具的投标担保函复印件，上述证明材料真实有效，否则我方负全部责任。</w:t>
      </w:r>
    </w:p>
    <w:p w14:paraId="52BBA47D">
      <w:pPr>
        <w:pStyle w:val="27"/>
        <w:widowControl/>
        <w:spacing w:line="224" w:lineRule="exact"/>
        <w:rPr>
          <w:color w:val="auto"/>
          <w:sz w:val="22"/>
          <w:szCs w:val="22"/>
        </w:rPr>
      </w:pPr>
      <w:r>
        <w:rPr>
          <w:rFonts w:ascii="Calibri" w:hAnsi="Calibri" w:cs="Calibri"/>
          <w:color w:val="auto"/>
          <w:sz w:val="20"/>
          <w:szCs w:val="20"/>
        </w:rPr>
        <w:t> </w:t>
      </w:r>
      <w:r>
        <w:rPr>
          <w:rFonts w:hint="eastAsia" w:ascii="宋体" w:hAnsi="宋体" w:eastAsia="宋体" w:cs="宋体"/>
          <w:color w:val="auto"/>
          <w:sz w:val="20"/>
          <w:szCs w:val="20"/>
        </w:rPr>
        <w:t>★注意：</w:t>
      </w:r>
    </w:p>
    <w:p w14:paraId="45A123D6">
      <w:pPr>
        <w:pStyle w:val="27"/>
        <w:widowControl/>
        <w:spacing w:line="224" w:lineRule="exact"/>
        <w:rPr>
          <w:color w:val="auto"/>
          <w:sz w:val="22"/>
          <w:szCs w:val="22"/>
        </w:rPr>
      </w:pPr>
      <w:r>
        <w:rPr>
          <w:rFonts w:hint="eastAsia" w:ascii="宋体" w:hAnsi="宋体" w:eastAsia="宋体" w:cs="宋体"/>
          <w:color w:val="auto"/>
          <w:sz w:val="20"/>
          <w:szCs w:val="20"/>
        </w:rPr>
        <w:t>1、请投标人按照实际情况编制填写，在相应的（）中打“√”并选择相应的“□”（若有）后，再按照本格式的要求提供相应证明材料的复印件。</w:t>
      </w:r>
    </w:p>
    <w:p w14:paraId="2A2FD9B7">
      <w:pPr>
        <w:pStyle w:val="27"/>
        <w:widowControl/>
        <w:spacing w:line="224" w:lineRule="exact"/>
        <w:rPr>
          <w:color w:val="auto"/>
          <w:sz w:val="22"/>
          <w:szCs w:val="22"/>
        </w:rPr>
      </w:pPr>
      <w:r>
        <w:rPr>
          <w:rFonts w:hint="eastAsia" w:ascii="宋体" w:hAnsi="宋体" w:eastAsia="宋体" w:cs="宋体"/>
          <w:color w:val="auto"/>
          <w:sz w:val="20"/>
          <w:szCs w:val="20"/>
        </w:rPr>
        <w:t>2、投标人提供的财务报告复印件（成立年限按照投标截止时间推算）应符合下列规定：</w:t>
      </w:r>
    </w:p>
    <w:p w14:paraId="6B528259">
      <w:pPr>
        <w:pStyle w:val="27"/>
        <w:widowControl/>
        <w:spacing w:line="224" w:lineRule="exact"/>
        <w:rPr>
          <w:color w:val="auto"/>
          <w:sz w:val="22"/>
          <w:szCs w:val="22"/>
        </w:rPr>
      </w:pPr>
      <w:r>
        <w:rPr>
          <w:rFonts w:hint="eastAsia" w:ascii="宋体" w:hAnsi="宋体" w:eastAsia="宋体" w:cs="宋体"/>
          <w:color w:val="auto"/>
          <w:sz w:val="20"/>
          <w:szCs w:val="20"/>
        </w:rPr>
        <w:t>2.1成立年限满</w:t>
      </w:r>
      <w:r>
        <w:rPr>
          <w:rFonts w:ascii="Calibri" w:hAnsi="Calibri" w:eastAsia="宋体" w:cs="Calibri"/>
          <w:color w:val="auto"/>
          <w:sz w:val="20"/>
          <w:szCs w:val="20"/>
        </w:rPr>
        <w:t>1</w:t>
      </w:r>
      <w:r>
        <w:rPr>
          <w:rFonts w:hint="eastAsia" w:ascii="宋体" w:hAnsi="宋体" w:eastAsia="宋体" w:cs="宋体"/>
          <w:color w:val="auto"/>
          <w:sz w:val="20"/>
          <w:szCs w:val="20"/>
        </w:rPr>
        <w:t>年及以上的投标人，提供经审计的上一年度的年度财务报告。</w:t>
      </w:r>
    </w:p>
    <w:p w14:paraId="1DED6B68">
      <w:pPr>
        <w:pStyle w:val="27"/>
        <w:widowControl/>
        <w:spacing w:line="224" w:lineRule="exact"/>
        <w:rPr>
          <w:color w:val="auto"/>
          <w:sz w:val="22"/>
          <w:szCs w:val="22"/>
        </w:rPr>
      </w:pPr>
      <w:r>
        <w:rPr>
          <w:rFonts w:hint="eastAsia" w:ascii="宋体" w:hAnsi="宋体" w:eastAsia="宋体" w:cs="宋体"/>
          <w:color w:val="auto"/>
          <w:sz w:val="20"/>
          <w:szCs w:val="20"/>
        </w:rPr>
        <w:t>2.2成立年限满半年但不足</w:t>
      </w:r>
      <w:r>
        <w:rPr>
          <w:rFonts w:ascii="Calibri" w:hAnsi="Calibri" w:eastAsia="宋体" w:cs="Calibri"/>
          <w:color w:val="auto"/>
          <w:sz w:val="20"/>
          <w:szCs w:val="20"/>
        </w:rPr>
        <w:t>1</w:t>
      </w:r>
      <w:r>
        <w:rPr>
          <w:rFonts w:hint="eastAsia" w:ascii="宋体" w:hAnsi="宋体" w:eastAsia="宋体" w:cs="宋体"/>
          <w:color w:val="auto"/>
          <w:sz w:val="20"/>
          <w:szCs w:val="20"/>
        </w:rPr>
        <w:t>年的投标人，提供该半年度中任一季度的季度财务报告或该半年度的半年度财务报告。</w:t>
      </w:r>
    </w:p>
    <w:p w14:paraId="0CACA113">
      <w:pPr>
        <w:pStyle w:val="27"/>
        <w:widowControl/>
        <w:spacing w:line="224" w:lineRule="exact"/>
        <w:rPr>
          <w:color w:val="auto"/>
          <w:sz w:val="21"/>
          <w:szCs w:val="21"/>
        </w:rPr>
      </w:pPr>
      <w:r>
        <w:rPr>
          <w:rStyle w:val="32"/>
          <w:rFonts w:hint="eastAsia" w:ascii="宋体" w:hAnsi="宋体" w:eastAsia="宋体" w:cs="宋体"/>
          <w:color w:val="auto"/>
          <w:sz w:val="21"/>
          <w:szCs w:val="21"/>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或投标担保函复印件。</w:t>
      </w:r>
    </w:p>
    <w:p w14:paraId="2D7AFC16">
      <w:pPr>
        <w:pStyle w:val="27"/>
        <w:widowControl/>
        <w:spacing w:line="224" w:lineRule="exact"/>
        <w:rPr>
          <w:color w:val="auto"/>
          <w:sz w:val="22"/>
          <w:szCs w:val="22"/>
        </w:rPr>
      </w:pPr>
      <w:r>
        <w:rPr>
          <w:rFonts w:hint="eastAsia" w:ascii="宋体" w:hAnsi="宋体" w:eastAsia="宋体" w:cs="宋体"/>
          <w:color w:val="auto"/>
          <w:sz w:val="20"/>
          <w:szCs w:val="20"/>
        </w:rPr>
        <w:t>3、“财政部门认可的政府采购专业担保机构”应符合《财政部关于开展政府采购信用担保试点工作方案》（财库</w:t>
      </w:r>
      <w:r>
        <w:rPr>
          <w:rFonts w:ascii="Calibri" w:hAnsi="Calibri" w:eastAsia="宋体" w:cs="Calibri"/>
          <w:color w:val="auto"/>
          <w:sz w:val="20"/>
          <w:szCs w:val="20"/>
        </w:rPr>
        <w:t>[2011]124</w:t>
      </w:r>
      <w:r>
        <w:rPr>
          <w:rFonts w:hint="eastAsia" w:ascii="宋体" w:hAnsi="宋体" w:eastAsia="宋体" w:cs="宋体"/>
          <w:color w:val="auto"/>
          <w:sz w:val="20"/>
          <w:szCs w:val="20"/>
        </w:rPr>
        <w:t>号）的规定。</w:t>
      </w:r>
    </w:p>
    <w:p w14:paraId="56AEDFB1">
      <w:pPr>
        <w:pStyle w:val="27"/>
        <w:widowControl/>
        <w:spacing w:line="224" w:lineRule="exact"/>
        <w:rPr>
          <w:color w:val="auto"/>
          <w:sz w:val="22"/>
          <w:szCs w:val="22"/>
        </w:rPr>
      </w:pPr>
      <w:r>
        <w:rPr>
          <w:rFonts w:hint="eastAsia" w:ascii="宋体" w:hAnsi="宋体" w:eastAsia="宋体" w:cs="宋体"/>
          <w:color w:val="auto"/>
          <w:sz w:val="20"/>
          <w:szCs w:val="20"/>
        </w:rPr>
        <w:t>4、投标人提供的相应证明材料复印件均应符合：内容完整、清晰、整洁，并由投标人加盖</w:t>
      </w:r>
    </w:p>
    <w:p w14:paraId="1CCD53F3">
      <w:pPr>
        <w:pStyle w:val="27"/>
        <w:widowControl/>
        <w:spacing w:line="224" w:lineRule="exact"/>
        <w:rPr>
          <w:color w:val="auto"/>
          <w:sz w:val="22"/>
          <w:szCs w:val="22"/>
        </w:rPr>
      </w:pPr>
      <w:r>
        <w:rPr>
          <w:rFonts w:hint="eastAsia" w:ascii="宋体" w:hAnsi="宋体" w:eastAsia="宋体" w:cs="宋体"/>
          <w:color w:val="auto"/>
          <w:sz w:val="20"/>
          <w:szCs w:val="20"/>
        </w:rPr>
        <w:t>投标人：</w:t>
      </w:r>
      <w:r>
        <w:rPr>
          <w:rFonts w:hint="eastAsia" w:ascii="宋体" w:hAnsi="宋体" w:eastAsia="宋体" w:cs="宋体"/>
          <w:color w:val="auto"/>
          <w:sz w:val="20"/>
          <w:szCs w:val="20"/>
          <w:u w:val="single"/>
        </w:rPr>
        <w:t>（全称并加盖单位公章）</w:t>
      </w:r>
    </w:p>
    <w:p w14:paraId="578A37AD">
      <w:pPr>
        <w:pStyle w:val="27"/>
        <w:widowControl/>
        <w:spacing w:line="224" w:lineRule="exact"/>
        <w:rPr>
          <w:color w:val="auto"/>
          <w:sz w:val="22"/>
          <w:szCs w:val="22"/>
        </w:rPr>
      </w:pPr>
      <w:r>
        <w:rPr>
          <w:rFonts w:hint="eastAsia" w:ascii="宋体" w:hAnsi="宋体" w:eastAsia="宋体" w:cs="宋体"/>
          <w:color w:val="auto"/>
          <w:sz w:val="20"/>
          <w:szCs w:val="20"/>
        </w:rPr>
        <w:t>投标人代表签字：</w:t>
      </w:r>
      <w:r>
        <w:rPr>
          <w:rFonts w:hint="eastAsia" w:ascii="宋体" w:hAnsi="宋体" w:eastAsia="宋体" w:cs="宋体"/>
          <w:color w:val="auto"/>
          <w:sz w:val="20"/>
          <w:szCs w:val="20"/>
          <w:u w:val="single"/>
        </w:rPr>
        <w:t>                   </w:t>
      </w:r>
    </w:p>
    <w:p w14:paraId="01096525">
      <w:pPr>
        <w:pStyle w:val="27"/>
        <w:widowControl/>
        <w:spacing w:line="224" w:lineRule="exact"/>
        <w:rPr>
          <w:color w:val="auto"/>
          <w:sz w:val="22"/>
          <w:szCs w:val="22"/>
        </w:rPr>
      </w:pPr>
      <w:r>
        <w:rPr>
          <w:rFonts w:hint="eastAsia" w:ascii="宋体" w:hAnsi="宋体" w:eastAsia="宋体" w:cs="宋体"/>
          <w:color w:val="auto"/>
          <w:sz w:val="20"/>
          <w:szCs w:val="20"/>
        </w:rPr>
        <w:t>日期：</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年</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月</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日</w:t>
      </w:r>
    </w:p>
    <w:p w14:paraId="076E7092">
      <w:pPr>
        <w:pStyle w:val="27"/>
        <w:widowControl/>
        <w:spacing w:line="240" w:lineRule="exact"/>
        <w:jc w:val="center"/>
        <w:rPr>
          <w:rFonts w:ascii="宋体" w:hAnsi="宋体" w:eastAsia="宋体" w:cs="宋体"/>
          <w:color w:val="auto"/>
          <w:sz w:val="21"/>
          <w:szCs w:val="21"/>
        </w:rPr>
      </w:pPr>
    </w:p>
    <w:p w14:paraId="27475EC4">
      <w:pPr>
        <w:pStyle w:val="27"/>
        <w:widowControl/>
        <w:spacing w:line="240" w:lineRule="exact"/>
        <w:jc w:val="center"/>
        <w:outlineLvl w:val="2"/>
        <w:rPr>
          <w:color w:val="auto"/>
          <w:sz w:val="22"/>
          <w:szCs w:val="22"/>
        </w:rPr>
      </w:pPr>
      <w:r>
        <w:rPr>
          <w:rFonts w:hint="eastAsia" w:ascii="宋体" w:hAnsi="宋体" w:eastAsia="宋体" w:cs="宋体"/>
          <w:color w:val="auto"/>
          <w:sz w:val="20"/>
          <w:szCs w:val="20"/>
        </w:rPr>
        <w:t>二</w:t>
      </w:r>
      <w:r>
        <w:rPr>
          <w:rStyle w:val="32"/>
          <w:rFonts w:hint="eastAsia" w:ascii="宋体" w:hAnsi="宋体" w:eastAsia="宋体" w:cs="宋体"/>
          <w:color w:val="auto"/>
          <w:sz w:val="20"/>
          <w:szCs w:val="20"/>
        </w:rPr>
        <w:t>-4依法缴纳税收证明材料</w:t>
      </w:r>
    </w:p>
    <w:p w14:paraId="797144B6">
      <w:pPr>
        <w:pStyle w:val="27"/>
        <w:widowControl/>
        <w:spacing w:line="240" w:lineRule="exact"/>
        <w:rPr>
          <w:color w:val="auto"/>
          <w:sz w:val="22"/>
          <w:szCs w:val="22"/>
        </w:rPr>
      </w:pPr>
      <w:r>
        <w:rPr>
          <w:rFonts w:hint="eastAsia" w:ascii="宋体" w:hAnsi="宋体" w:eastAsia="宋体" w:cs="宋体"/>
          <w:color w:val="auto"/>
          <w:sz w:val="20"/>
          <w:szCs w:val="20"/>
        </w:rPr>
        <w:t> 致：</w:t>
      </w:r>
      <w:r>
        <w:rPr>
          <w:rFonts w:hint="eastAsia" w:ascii="宋体" w:hAnsi="宋体" w:eastAsia="宋体" w:cs="宋体"/>
          <w:color w:val="auto"/>
          <w:sz w:val="20"/>
          <w:szCs w:val="20"/>
          <w:u w:val="single"/>
        </w:rPr>
        <w:t>                     </w:t>
      </w:r>
    </w:p>
    <w:p w14:paraId="35B9BD9D">
      <w:pPr>
        <w:pStyle w:val="27"/>
        <w:widowControl/>
        <w:spacing w:line="240" w:lineRule="exact"/>
        <w:ind w:firstLine="420"/>
        <w:rPr>
          <w:color w:val="auto"/>
          <w:sz w:val="22"/>
          <w:szCs w:val="22"/>
        </w:rPr>
      </w:pPr>
      <w:r>
        <w:rPr>
          <w:rFonts w:hint="eastAsia" w:ascii="宋体" w:hAnsi="宋体" w:eastAsia="宋体" w:cs="宋体"/>
          <w:color w:val="auto"/>
          <w:sz w:val="20"/>
          <w:szCs w:val="20"/>
        </w:rPr>
        <w:t>1、依法缴纳税收的投标人</w:t>
      </w:r>
    </w:p>
    <w:p w14:paraId="0F85363F">
      <w:pPr>
        <w:pStyle w:val="27"/>
        <w:widowControl/>
        <w:spacing w:line="240" w:lineRule="exact"/>
        <w:ind w:firstLine="420"/>
        <w:rPr>
          <w:color w:val="auto"/>
          <w:sz w:val="22"/>
          <w:szCs w:val="22"/>
        </w:rPr>
      </w:pPr>
      <w:r>
        <w:rPr>
          <w:rFonts w:hint="eastAsia" w:ascii="宋体" w:hAnsi="宋体" w:eastAsia="宋体" w:cs="宋体"/>
          <w:color w:val="auto"/>
          <w:sz w:val="20"/>
          <w:szCs w:val="20"/>
        </w:rPr>
        <w:t>（ ）法人（包括企业、事业单位和社会团体）的</w:t>
      </w:r>
    </w:p>
    <w:p w14:paraId="6DA74B0D">
      <w:pPr>
        <w:pStyle w:val="27"/>
        <w:widowControl/>
        <w:spacing w:line="240" w:lineRule="exact"/>
        <w:ind w:firstLine="420"/>
        <w:rPr>
          <w:color w:val="auto"/>
          <w:sz w:val="22"/>
          <w:szCs w:val="22"/>
        </w:rPr>
      </w:pPr>
      <w:r>
        <w:rPr>
          <w:rFonts w:hint="eastAsia" w:ascii="宋体" w:hAnsi="宋体" w:eastAsia="宋体" w:cs="宋体"/>
          <w:color w:val="auto"/>
          <w:sz w:val="20"/>
          <w:szCs w:val="20"/>
        </w:rPr>
        <w:t>现附上自</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年</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月</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日至</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年</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月</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日期间我方缴纳的</w:t>
      </w:r>
      <w:r>
        <w:rPr>
          <w:rFonts w:hint="eastAsia" w:ascii="宋体" w:hAnsi="宋体" w:eastAsia="宋体" w:cs="宋体"/>
          <w:color w:val="auto"/>
          <w:sz w:val="20"/>
          <w:szCs w:val="20"/>
          <w:u w:val="single"/>
        </w:rPr>
        <w:t>（按照投标人实际缴纳的税种名称填写，如：增值税、所得税等）</w:t>
      </w:r>
      <w:r>
        <w:rPr>
          <w:rFonts w:hint="eastAsia" w:ascii="宋体" w:hAnsi="宋体" w:eastAsia="宋体" w:cs="宋体"/>
          <w:color w:val="auto"/>
          <w:sz w:val="20"/>
          <w:szCs w:val="20"/>
        </w:rPr>
        <w:t>税收凭据复印件，上述证明材料真实有效，否则我方负全部责任。</w:t>
      </w:r>
    </w:p>
    <w:p w14:paraId="2439B377">
      <w:pPr>
        <w:pStyle w:val="27"/>
        <w:widowControl/>
        <w:spacing w:line="240" w:lineRule="exact"/>
        <w:ind w:firstLine="420"/>
        <w:rPr>
          <w:color w:val="auto"/>
          <w:sz w:val="22"/>
          <w:szCs w:val="22"/>
        </w:rPr>
      </w:pPr>
      <w:r>
        <w:rPr>
          <w:rFonts w:hint="eastAsia" w:ascii="宋体" w:hAnsi="宋体" w:eastAsia="宋体" w:cs="宋体"/>
          <w:color w:val="auto"/>
          <w:sz w:val="20"/>
          <w:szCs w:val="20"/>
        </w:rPr>
        <w:t>（ ）非法人（包括其他组织、自然人）的</w:t>
      </w:r>
    </w:p>
    <w:p w14:paraId="6247A89F">
      <w:pPr>
        <w:pStyle w:val="27"/>
        <w:widowControl/>
        <w:spacing w:line="240" w:lineRule="exact"/>
        <w:ind w:firstLine="420"/>
        <w:rPr>
          <w:color w:val="auto"/>
          <w:sz w:val="22"/>
          <w:szCs w:val="22"/>
        </w:rPr>
      </w:pPr>
      <w:r>
        <w:rPr>
          <w:rFonts w:hint="eastAsia" w:ascii="宋体" w:hAnsi="宋体" w:eastAsia="宋体" w:cs="宋体"/>
          <w:color w:val="auto"/>
          <w:sz w:val="20"/>
          <w:szCs w:val="20"/>
        </w:rPr>
        <w:t>现附上自</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年</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月</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日至</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年</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月</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日期间我方缴纳的</w:t>
      </w:r>
      <w:r>
        <w:rPr>
          <w:rFonts w:hint="eastAsia" w:ascii="宋体" w:hAnsi="宋体" w:eastAsia="宋体" w:cs="宋体"/>
          <w:color w:val="auto"/>
          <w:sz w:val="20"/>
          <w:szCs w:val="20"/>
          <w:u w:val="single"/>
        </w:rPr>
        <w:t>（按照投标人实际缴纳的税种名称填写）</w:t>
      </w:r>
      <w:r>
        <w:rPr>
          <w:rFonts w:hint="eastAsia" w:ascii="宋体" w:hAnsi="宋体" w:eastAsia="宋体" w:cs="宋体"/>
          <w:color w:val="auto"/>
          <w:sz w:val="20"/>
          <w:szCs w:val="20"/>
        </w:rPr>
        <w:t>税收凭据复印件，上述证明材料真实有效，否则我方负全部责任。</w:t>
      </w:r>
    </w:p>
    <w:p w14:paraId="39426684">
      <w:pPr>
        <w:pStyle w:val="27"/>
        <w:widowControl/>
        <w:spacing w:line="240" w:lineRule="exact"/>
        <w:ind w:firstLine="420"/>
        <w:rPr>
          <w:color w:val="auto"/>
          <w:sz w:val="22"/>
          <w:szCs w:val="22"/>
        </w:rPr>
      </w:pPr>
      <w:r>
        <w:rPr>
          <w:rFonts w:hint="eastAsia" w:ascii="宋体" w:hAnsi="宋体" w:eastAsia="宋体" w:cs="宋体"/>
          <w:color w:val="auto"/>
          <w:sz w:val="20"/>
          <w:szCs w:val="20"/>
        </w:rPr>
        <w:t>2、依法免税的投标人</w:t>
      </w:r>
    </w:p>
    <w:p w14:paraId="3CD61480">
      <w:pPr>
        <w:pStyle w:val="27"/>
        <w:widowControl/>
        <w:spacing w:line="240" w:lineRule="exact"/>
        <w:ind w:firstLine="420"/>
        <w:rPr>
          <w:color w:val="auto"/>
          <w:sz w:val="22"/>
          <w:szCs w:val="22"/>
        </w:rPr>
      </w:pPr>
      <w:r>
        <w:rPr>
          <w:rFonts w:hint="eastAsia" w:ascii="宋体" w:hAnsi="宋体" w:eastAsia="宋体" w:cs="宋体"/>
          <w:color w:val="auto"/>
          <w:sz w:val="20"/>
          <w:szCs w:val="20"/>
        </w:rPr>
        <w:t>（ ）现附上我方依法免税证明材料复印件，上述证明材料真实有效，否则我方负全部责任。</w:t>
      </w:r>
    </w:p>
    <w:p w14:paraId="0B69CD78">
      <w:pPr>
        <w:pStyle w:val="27"/>
        <w:widowControl/>
        <w:spacing w:line="240" w:lineRule="exact"/>
        <w:rPr>
          <w:color w:val="auto"/>
          <w:sz w:val="22"/>
          <w:szCs w:val="22"/>
        </w:rPr>
      </w:pPr>
      <w:r>
        <w:rPr>
          <w:rFonts w:ascii="Calibri" w:hAnsi="Calibri" w:cs="Calibri"/>
          <w:color w:val="auto"/>
          <w:sz w:val="20"/>
          <w:szCs w:val="20"/>
        </w:rPr>
        <w:t> </w:t>
      </w:r>
      <w:r>
        <w:rPr>
          <w:rFonts w:hint="eastAsia" w:ascii="宋体" w:hAnsi="宋体" w:eastAsia="宋体" w:cs="宋体"/>
          <w:color w:val="auto"/>
          <w:sz w:val="20"/>
          <w:szCs w:val="20"/>
        </w:rPr>
        <w:t>★注意：</w:t>
      </w:r>
    </w:p>
    <w:p w14:paraId="47692107">
      <w:pPr>
        <w:pStyle w:val="27"/>
        <w:widowControl/>
        <w:spacing w:line="240" w:lineRule="exact"/>
        <w:rPr>
          <w:color w:val="auto"/>
          <w:sz w:val="22"/>
          <w:szCs w:val="22"/>
        </w:rPr>
      </w:pPr>
      <w:r>
        <w:rPr>
          <w:rFonts w:hint="eastAsia" w:ascii="宋体" w:hAnsi="宋体" w:eastAsia="宋体" w:cs="宋体"/>
          <w:color w:val="auto"/>
          <w:sz w:val="20"/>
          <w:szCs w:val="20"/>
        </w:rPr>
        <w:t>1、请投标人按照实际情况编制填写，在相应的（）中打“√”，并按照本格式的要求提供相应证明材料的复印件。</w:t>
      </w:r>
    </w:p>
    <w:p w14:paraId="1CD85BE7">
      <w:pPr>
        <w:pStyle w:val="27"/>
        <w:widowControl/>
        <w:spacing w:line="240" w:lineRule="exact"/>
        <w:rPr>
          <w:color w:val="auto"/>
          <w:sz w:val="22"/>
          <w:szCs w:val="22"/>
        </w:rPr>
      </w:pPr>
      <w:r>
        <w:rPr>
          <w:rFonts w:hint="eastAsia" w:ascii="宋体" w:hAnsi="宋体" w:eastAsia="宋体" w:cs="宋体"/>
          <w:color w:val="auto"/>
          <w:sz w:val="20"/>
          <w:szCs w:val="20"/>
        </w:rPr>
        <w:t>2、投标人提供的税收凭据复印件应符合下列规定：</w:t>
      </w:r>
    </w:p>
    <w:p w14:paraId="135F0F04">
      <w:pPr>
        <w:pStyle w:val="27"/>
        <w:widowControl/>
        <w:spacing w:line="240" w:lineRule="exact"/>
        <w:rPr>
          <w:color w:val="auto"/>
          <w:sz w:val="22"/>
          <w:szCs w:val="22"/>
        </w:rPr>
      </w:pPr>
      <w:r>
        <w:rPr>
          <w:rFonts w:hint="eastAsia" w:ascii="宋体" w:hAnsi="宋体" w:eastAsia="宋体" w:cs="宋体"/>
          <w:color w:val="auto"/>
          <w:sz w:val="20"/>
          <w:szCs w:val="20"/>
        </w:rPr>
        <w:t>2.1投标截止时间前（不含投标截止时间的当月）已依法缴纳税收的投标人，提供投标截止时间前六个月（不含投标截止时间的当月）中任一月份的税收凭据复印件。</w:t>
      </w:r>
    </w:p>
    <w:p w14:paraId="4B0CEBA9">
      <w:pPr>
        <w:pStyle w:val="27"/>
        <w:widowControl/>
        <w:spacing w:line="240" w:lineRule="exact"/>
        <w:rPr>
          <w:color w:val="auto"/>
          <w:sz w:val="22"/>
          <w:szCs w:val="22"/>
        </w:rPr>
      </w:pPr>
      <w:r>
        <w:rPr>
          <w:rFonts w:hint="eastAsia" w:ascii="宋体" w:hAnsi="宋体" w:eastAsia="宋体" w:cs="宋体"/>
          <w:color w:val="auto"/>
          <w:sz w:val="20"/>
          <w:szCs w:val="20"/>
        </w:rPr>
        <w:t>2.2投标截止时间的当月成立且已依法缴纳税收的投标人，提供投标截止时间当月的税收凭据复印件。</w:t>
      </w:r>
    </w:p>
    <w:p w14:paraId="397A2DDA">
      <w:pPr>
        <w:pStyle w:val="27"/>
        <w:widowControl/>
        <w:spacing w:line="240" w:lineRule="exact"/>
        <w:rPr>
          <w:color w:val="auto"/>
          <w:sz w:val="22"/>
          <w:szCs w:val="22"/>
        </w:rPr>
      </w:pPr>
      <w:r>
        <w:rPr>
          <w:rFonts w:hint="eastAsia" w:ascii="宋体" w:hAnsi="宋体" w:eastAsia="宋体" w:cs="宋体"/>
          <w:color w:val="auto"/>
          <w:sz w:val="20"/>
          <w:szCs w:val="20"/>
        </w:rPr>
        <w:t>2.3投标截止时间的当月成立但因税务机关原因导致其尚未依法缴纳税收的投标人，提供依法缴纳税收承诺书原件（格式自拟），该承诺书视同税收凭据。</w:t>
      </w:r>
    </w:p>
    <w:p w14:paraId="13EB9DF8">
      <w:pPr>
        <w:pStyle w:val="27"/>
        <w:widowControl/>
        <w:spacing w:line="240" w:lineRule="exact"/>
        <w:rPr>
          <w:color w:val="auto"/>
          <w:sz w:val="22"/>
          <w:szCs w:val="22"/>
        </w:rPr>
      </w:pPr>
      <w:r>
        <w:rPr>
          <w:rFonts w:hint="eastAsia" w:ascii="宋体" w:hAnsi="宋体" w:eastAsia="宋体" w:cs="宋体"/>
          <w:color w:val="auto"/>
          <w:sz w:val="20"/>
          <w:szCs w:val="20"/>
        </w:rPr>
        <w:t>3、</w:t>
      </w:r>
      <w:r>
        <w:rPr>
          <w:rStyle w:val="32"/>
          <w:rFonts w:hint="eastAsia" w:ascii="宋体" w:hAnsi="宋体" w:eastAsia="宋体" w:cs="宋体"/>
          <w:color w:val="auto"/>
          <w:sz w:val="20"/>
          <w:szCs w:val="20"/>
        </w:rPr>
        <w:t>“依法缴纳税收证明材料”</w:t>
      </w:r>
      <w:r>
        <w:rPr>
          <w:rFonts w:hint="eastAsia" w:ascii="宋体" w:hAnsi="宋体" w:eastAsia="宋体" w:cs="宋体"/>
          <w:color w:val="auto"/>
          <w:sz w:val="20"/>
          <w:szCs w:val="20"/>
        </w:rPr>
        <w:t>有欠缴记录的，视为</w:t>
      </w:r>
      <w:r>
        <w:rPr>
          <w:rStyle w:val="32"/>
          <w:rFonts w:hint="eastAsia" w:ascii="宋体" w:hAnsi="宋体" w:eastAsia="宋体" w:cs="宋体"/>
          <w:color w:val="auto"/>
          <w:sz w:val="20"/>
          <w:szCs w:val="20"/>
        </w:rPr>
        <w:t>未依法缴纳税收。</w:t>
      </w:r>
    </w:p>
    <w:p w14:paraId="235A9F1A">
      <w:pPr>
        <w:pStyle w:val="27"/>
        <w:widowControl/>
        <w:spacing w:line="240" w:lineRule="exact"/>
        <w:rPr>
          <w:color w:val="auto"/>
          <w:sz w:val="22"/>
          <w:szCs w:val="22"/>
        </w:rPr>
      </w:pPr>
      <w:r>
        <w:rPr>
          <w:rFonts w:hint="eastAsia" w:ascii="宋体" w:hAnsi="宋体" w:eastAsia="宋体" w:cs="宋体"/>
          <w:color w:val="auto"/>
          <w:sz w:val="20"/>
          <w:szCs w:val="20"/>
        </w:rPr>
        <w:t>4、投标人提供的相应证明材料复印件均应符合：内容完整、清晰、整洁，并由投标人加盖其单位公章。</w:t>
      </w:r>
    </w:p>
    <w:p w14:paraId="7E412A00">
      <w:pPr>
        <w:pStyle w:val="27"/>
        <w:widowControl/>
        <w:spacing w:line="240" w:lineRule="exact"/>
        <w:rPr>
          <w:color w:val="auto"/>
          <w:sz w:val="22"/>
          <w:szCs w:val="22"/>
        </w:rPr>
      </w:pPr>
      <w:r>
        <w:rPr>
          <w:rFonts w:ascii="Calibri" w:hAnsi="Calibri" w:cs="Calibri"/>
          <w:color w:val="auto"/>
          <w:sz w:val="20"/>
          <w:szCs w:val="20"/>
        </w:rPr>
        <w:t>  </w:t>
      </w:r>
      <w:r>
        <w:rPr>
          <w:rFonts w:hint="eastAsia" w:ascii="宋体" w:hAnsi="宋体" w:eastAsia="宋体" w:cs="宋体"/>
          <w:color w:val="auto"/>
          <w:sz w:val="20"/>
          <w:szCs w:val="20"/>
        </w:rPr>
        <w:t>投标人：</w:t>
      </w:r>
      <w:r>
        <w:rPr>
          <w:rFonts w:hint="eastAsia" w:ascii="宋体" w:hAnsi="宋体" w:eastAsia="宋体" w:cs="宋体"/>
          <w:color w:val="auto"/>
          <w:sz w:val="20"/>
          <w:szCs w:val="20"/>
          <w:u w:val="single"/>
        </w:rPr>
        <w:t>（全称并加盖单位公章）</w:t>
      </w:r>
    </w:p>
    <w:p w14:paraId="097CF1D8">
      <w:pPr>
        <w:pStyle w:val="27"/>
        <w:widowControl/>
        <w:spacing w:line="240" w:lineRule="exact"/>
        <w:rPr>
          <w:color w:val="auto"/>
          <w:sz w:val="22"/>
          <w:szCs w:val="22"/>
        </w:rPr>
      </w:pPr>
      <w:r>
        <w:rPr>
          <w:rFonts w:hint="eastAsia" w:ascii="宋体" w:hAnsi="宋体" w:eastAsia="宋体" w:cs="宋体"/>
          <w:color w:val="auto"/>
          <w:sz w:val="20"/>
          <w:szCs w:val="20"/>
        </w:rPr>
        <w:t>投标人代表签字：</w:t>
      </w:r>
      <w:r>
        <w:rPr>
          <w:rFonts w:hint="eastAsia" w:ascii="宋体" w:hAnsi="宋体" w:eastAsia="宋体" w:cs="宋体"/>
          <w:color w:val="auto"/>
          <w:sz w:val="20"/>
          <w:szCs w:val="20"/>
          <w:u w:val="single"/>
        </w:rPr>
        <w:t>                   </w:t>
      </w:r>
    </w:p>
    <w:p w14:paraId="246A0FC8">
      <w:pPr>
        <w:pStyle w:val="27"/>
        <w:widowControl/>
        <w:spacing w:line="240" w:lineRule="exact"/>
        <w:rPr>
          <w:color w:val="auto"/>
          <w:sz w:val="22"/>
          <w:szCs w:val="22"/>
        </w:rPr>
      </w:pPr>
      <w:r>
        <w:rPr>
          <w:rFonts w:hint="eastAsia" w:ascii="宋体" w:hAnsi="宋体" w:eastAsia="宋体" w:cs="宋体"/>
          <w:color w:val="auto"/>
          <w:sz w:val="20"/>
          <w:szCs w:val="20"/>
        </w:rPr>
        <w:t>日期：</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年</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月</w:t>
      </w:r>
      <w:r>
        <w:rPr>
          <w:rFonts w:hint="eastAsia" w:ascii="宋体" w:hAnsi="宋体" w:eastAsia="宋体" w:cs="宋体"/>
          <w:color w:val="auto"/>
          <w:sz w:val="20"/>
          <w:szCs w:val="20"/>
          <w:u w:val="single"/>
        </w:rPr>
        <w:t>   </w:t>
      </w:r>
      <w:r>
        <w:rPr>
          <w:rFonts w:hint="eastAsia" w:ascii="宋体" w:hAnsi="宋体" w:eastAsia="宋体" w:cs="宋体"/>
          <w:color w:val="auto"/>
          <w:sz w:val="20"/>
          <w:szCs w:val="20"/>
        </w:rPr>
        <w:t>日</w:t>
      </w:r>
    </w:p>
    <w:p w14:paraId="17C63D14">
      <w:pPr>
        <w:pStyle w:val="27"/>
        <w:widowControl/>
        <w:spacing w:line="240" w:lineRule="exact"/>
        <w:rPr>
          <w:rStyle w:val="32"/>
          <w:rFonts w:ascii="宋体" w:hAnsi="宋体" w:eastAsia="宋体" w:cs="宋体"/>
          <w:color w:val="auto"/>
          <w:sz w:val="21"/>
          <w:szCs w:val="21"/>
        </w:rPr>
      </w:pPr>
      <w:r>
        <w:rPr>
          <w:rFonts w:hint="eastAsia" w:ascii="宋体" w:hAnsi="宋体" w:eastAsia="宋体" w:cs="宋体"/>
          <w:color w:val="auto"/>
          <w:sz w:val="21"/>
          <w:szCs w:val="21"/>
        </w:rPr>
        <w:t> </w:t>
      </w:r>
    </w:p>
    <w:p w14:paraId="0E785BB4">
      <w:pPr>
        <w:pStyle w:val="27"/>
        <w:widowControl/>
        <w:spacing w:line="240" w:lineRule="exact"/>
        <w:jc w:val="center"/>
        <w:outlineLvl w:val="2"/>
        <w:rPr>
          <w:color w:val="auto"/>
        </w:rPr>
      </w:pPr>
      <w:r>
        <w:rPr>
          <w:rStyle w:val="32"/>
          <w:rFonts w:hint="eastAsia" w:ascii="宋体" w:hAnsi="宋体" w:eastAsia="宋体" w:cs="宋体"/>
          <w:color w:val="auto"/>
          <w:sz w:val="21"/>
          <w:szCs w:val="21"/>
        </w:rPr>
        <w:t>二-5依法缴纳社会保障资金证明材料</w:t>
      </w:r>
    </w:p>
    <w:p w14:paraId="64D71808">
      <w:pPr>
        <w:pStyle w:val="27"/>
        <w:widowControl/>
        <w:spacing w:line="240" w:lineRule="exact"/>
        <w:rPr>
          <w:color w:val="auto"/>
        </w:rPr>
      </w:pPr>
      <w:r>
        <w:rPr>
          <w:rFonts w:hint="eastAsia" w:ascii="宋体" w:hAnsi="宋体" w:eastAsia="宋体" w:cs="宋体"/>
          <w:color w:val="auto"/>
          <w:sz w:val="21"/>
          <w:szCs w:val="21"/>
        </w:rPr>
        <w:t> 致：</w:t>
      </w:r>
      <w:r>
        <w:rPr>
          <w:rFonts w:hint="eastAsia" w:ascii="宋体" w:hAnsi="宋体" w:eastAsia="宋体" w:cs="宋体"/>
          <w:color w:val="auto"/>
          <w:sz w:val="21"/>
          <w:szCs w:val="21"/>
          <w:u w:val="single"/>
        </w:rPr>
        <w:t>                     </w:t>
      </w:r>
    </w:p>
    <w:p w14:paraId="0CB04826">
      <w:pPr>
        <w:pStyle w:val="27"/>
        <w:widowControl/>
        <w:spacing w:line="240" w:lineRule="exact"/>
        <w:ind w:firstLine="420"/>
        <w:rPr>
          <w:color w:val="auto"/>
        </w:rPr>
      </w:pPr>
      <w:r>
        <w:rPr>
          <w:rFonts w:hint="eastAsia" w:ascii="宋体" w:hAnsi="宋体" w:eastAsia="宋体" w:cs="宋体"/>
          <w:color w:val="auto"/>
          <w:sz w:val="21"/>
          <w:szCs w:val="21"/>
        </w:rPr>
        <w:t>1、依法缴纳社会保障资金的投标人</w:t>
      </w:r>
    </w:p>
    <w:p w14:paraId="42D72378">
      <w:pPr>
        <w:pStyle w:val="27"/>
        <w:widowControl/>
        <w:spacing w:line="240" w:lineRule="exact"/>
        <w:ind w:firstLine="420"/>
        <w:rPr>
          <w:color w:val="auto"/>
        </w:rPr>
      </w:pPr>
      <w:r>
        <w:rPr>
          <w:rFonts w:hint="eastAsia" w:ascii="宋体" w:hAnsi="宋体" w:eastAsia="宋体" w:cs="宋体"/>
          <w:color w:val="auto"/>
          <w:sz w:val="21"/>
          <w:szCs w:val="21"/>
        </w:rPr>
        <w:t>（ ）法人（包括企业、事业单位和社会团体）的</w:t>
      </w:r>
    </w:p>
    <w:p w14:paraId="1AFDDE6A">
      <w:pPr>
        <w:pStyle w:val="27"/>
        <w:widowControl/>
        <w:spacing w:line="240" w:lineRule="exact"/>
        <w:ind w:firstLine="420"/>
        <w:rPr>
          <w:color w:val="auto"/>
        </w:rPr>
      </w:pPr>
      <w:r>
        <w:rPr>
          <w:rFonts w:hint="eastAsia" w:ascii="宋体" w:hAnsi="宋体" w:eastAsia="宋体" w:cs="宋体"/>
          <w:color w:val="auto"/>
          <w:sz w:val="21"/>
          <w:szCs w:val="21"/>
        </w:rPr>
        <w:t>现附上自</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日至</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日我方缴纳的社会保险凭据（限：税务机关/社会保障资金管理机关的专用收据或社会保险缴纳清单，或社会保险的银行缴款收讫凭证）复印件，上述证明材料真实有效，否则我方负全部责任。</w:t>
      </w:r>
    </w:p>
    <w:p w14:paraId="39E80DBE">
      <w:pPr>
        <w:pStyle w:val="27"/>
        <w:widowControl/>
        <w:spacing w:line="240" w:lineRule="exact"/>
        <w:ind w:firstLine="420"/>
        <w:rPr>
          <w:color w:val="auto"/>
        </w:rPr>
      </w:pPr>
      <w:r>
        <w:rPr>
          <w:rFonts w:hint="eastAsia" w:ascii="宋体" w:hAnsi="宋体" w:eastAsia="宋体" w:cs="宋体"/>
          <w:color w:val="auto"/>
          <w:sz w:val="21"/>
          <w:szCs w:val="21"/>
        </w:rPr>
        <w:t>（ ）非法人（包括其他组织、自然人）的</w:t>
      </w:r>
    </w:p>
    <w:p w14:paraId="55FBB24B">
      <w:pPr>
        <w:pStyle w:val="27"/>
        <w:widowControl/>
        <w:spacing w:line="240" w:lineRule="exact"/>
        <w:ind w:firstLine="420"/>
        <w:rPr>
          <w:color w:val="auto"/>
        </w:rPr>
      </w:pPr>
      <w:r>
        <w:rPr>
          <w:rFonts w:hint="eastAsia" w:ascii="宋体" w:hAnsi="宋体" w:eastAsia="宋体" w:cs="宋体"/>
          <w:color w:val="auto"/>
          <w:sz w:val="21"/>
          <w:szCs w:val="21"/>
        </w:rPr>
        <w:t>自</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日至</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日我方缴纳的社会保险凭据（限：税务机关/社会保障资金管理机关的专用收据或社会保险缴纳清单，或社会保险的银行缴款收讫凭证）复印件，上述证明材料真实有效，否则我方负全部责任。</w:t>
      </w:r>
    </w:p>
    <w:p w14:paraId="2623E40C">
      <w:pPr>
        <w:pStyle w:val="27"/>
        <w:widowControl/>
        <w:spacing w:line="240" w:lineRule="exact"/>
        <w:ind w:firstLine="420"/>
        <w:rPr>
          <w:color w:val="auto"/>
        </w:rPr>
      </w:pPr>
      <w:r>
        <w:rPr>
          <w:rFonts w:hint="eastAsia" w:ascii="宋体" w:hAnsi="宋体" w:eastAsia="宋体" w:cs="宋体"/>
          <w:color w:val="auto"/>
          <w:sz w:val="21"/>
          <w:szCs w:val="21"/>
        </w:rPr>
        <w:t>2、依法不需要缴纳社会保障资金的投标人</w:t>
      </w:r>
    </w:p>
    <w:p w14:paraId="587659E1">
      <w:pPr>
        <w:pStyle w:val="27"/>
        <w:widowControl/>
        <w:spacing w:line="240" w:lineRule="exact"/>
        <w:ind w:firstLine="420"/>
        <w:rPr>
          <w:color w:val="auto"/>
        </w:rPr>
      </w:pPr>
      <w:r>
        <w:rPr>
          <w:rFonts w:hint="eastAsia" w:ascii="宋体" w:hAnsi="宋体" w:eastAsia="宋体" w:cs="宋体"/>
          <w:color w:val="auto"/>
          <w:sz w:val="21"/>
          <w:szCs w:val="21"/>
        </w:rPr>
        <w:t>（ ）现附上我方依法不需要缴纳社会保障资金证明材料复印件，上述证明材料真实有效，否则我方负全部责任。</w:t>
      </w:r>
    </w:p>
    <w:p w14:paraId="0DF5A719">
      <w:pPr>
        <w:pStyle w:val="27"/>
        <w:widowControl/>
        <w:spacing w:line="240" w:lineRule="exact"/>
        <w:rPr>
          <w:color w:val="auto"/>
        </w:rPr>
      </w:pPr>
      <w:r>
        <w:rPr>
          <w:rFonts w:ascii="Calibri" w:hAnsi="Calibri" w:cs="Calibri"/>
          <w:color w:val="auto"/>
          <w:sz w:val="21"/>
          <w:szCs w:val="21"/>
        </w:rPr>
        <w:t> </w:t>
      </w:r>
      <w:r>
        <w:rPr>
          <w:rFonts w:hint="eastAsia" w:ascii="宋体" w:hAnsi="宋体" w:eastAsia="宋体" w:cs="宋体"/>
          <w:color w:val="auto"/>
          <w:sz w:val="21"/>
          <w:szCs w:val="21"/>
        </w:rPr>
        <w:t>★注意：</w:t>
      </w:r>
    </w:p>
    <w:p w14:paraId="6802A9BF">
      <w:pPr>
        <w:pStyle w:val="27"/>
        <w:widowControl/>
        <w:spacing w:line="240" w:lineRule="exact"/>
        <w:rPr>
          <w:color w:val="auto"/>
        </w:rPr>
      </w:pPr>
      <w:r>
        <w:rPr>
          <w:rFonts w:hint="eastAsia" w:ascii="宋体" w:hAnsi="宋体" w:eastAsia="宋体" w:cs="宋体"/>
          <w:color w:val="auto"/>
          <w:sz w:val="21"/>
          <w:szCs w:val="21"/>
        </w:rPr>
        <w:t>1、请投标人按照实际情况编制填写，在相应的（）中打“√”，并按照本格式的要求提供相应证明材料的复印件。</w:t>
      </w:r>
    </w:p>
    <w:p w14:paraId="56446D6D">
      <w:pPr>
        <w:pStyle w:val="27"/>
        <w:widowControl/>
        <w:spacing w:line="240" w:lineRule="exact"/>
        <w:rPr>
          <w:color w:val="auto"/>
        </w:rPr>
      </w:pPr>
      <w:r>
        <w:rPr>
          <w:rFonts w:hint="eastAsia" w:ascii="宋体" w:hAnsi="宋体" w:eastAsia="宋体" w:cs="宋体"/>
          <w:color w:val="auto"/>
          <w:sz w:val="21"/>
          <w:szCs w:val="21"/>
        </w:rPr>
        <w:t>2、投标人提供的社会保险凭据复印件应符合下列规定：</w:t>
      </w:r>
    </w:p>
    <w:p w14:paraId="5F06B1D7">
      <w:pPr>
        <w:pStyle w:val="27"/>
        <w:widowControl/>
        <w:spacing w:line="240" w:lineRule="exact"/>
        <w:rPr>
          <w:color w:val="auto"/>
        </w:rPr>
      </w:pPr>
      <w:r>
        <w:rPr>
          <w:rFonts w:hint="eastAsia" w:ascii="宋体" w:hAnsi="宋体" w:eastAsia="宋体" w:cs="宋体"/>
          <w:color w:val="auto"/>
          <w:sz w:val="21"/>
          <w:szCs w:val="21"/>
        </w:rPr>
        <w:t>2.1投标截止时间前（不含投标截止时间的当月）已依法缴纳社会保障资金的投标人，提供投标截止时间前六个月（不含投标截止时间的当月）中任一月份的社会保险凭据复印件。</w:t>
      </w:r>
    </w:p>
    <w:p w14:paraId="32394C22">
      <w:pPr>
        <w:pStyle w:val="27"/>
        <w:widowControl/>
        <w:spacing w:line="240" w:lineRule="exact"/>
        <w:rPr>
          <w:color w:val="auto"/>
        </w:rPr>
      </w:pPr>
      <w:r>
        <w:rPr>
          <w:rFonts w:hint="eastAsia" w:ascii="宋体" w:hAnsi="宋体" w:eastAsia="宋体" w:cs="宋体"/>
          <w:color w:val="auto"/>
          <w:sz w:val="21"/>
          <w:szCs w:val="21"/>
        </w:rPr>
        <w:t>2.2投标截止时间的当月成立且已依法缴纳社会保障资金的投标人，提供投标截止时间当月的社会保险凭据复印件。</w:t>
      </w:r>
    </w:p>
    <w:p w14:paraId="167842F5">
      <w:pPr>
        <w:pStyle w:val="27"/>
        <w:widowControl/>
        <w:spacing w:line="240" w:lineRule="exact"/>
        <w:rPr>
          <w:color w:val="auto"/>
        </w:rPr>
      </w:pPr>
      <w:r>
        <w:rPr>
          <w:rFonts w:hint="eastAsia" w:ascii="宋体" w:hAnsi="宋体" w:eastAsia="宋体" w:cs="宋体"/>
          <w:color w:val="auto"/>
          <w:sz w:val="21"/>
          <w:szCs w:val="21"/>
        </w:rPr>
        <w:t>2.3投标截止时间的当月成立但因税务机关</w:t>
      </w:r>
      <w:r>
        <w:rPr>
          <w:rFonts w:ascii="Calibri" w:hAnsi="Calibri" w:eastAsia="宋体" w:cs="Calibri"/>
          <w:color w:val="auto"/>
          <w:sz w:val="21"/>
          <w:szCs w:val="21"/>
        </w:rPr>
        <w:t>/</w:t>
      </w:r>
      <w:r>
        <w:rPr>
          <w:rFonts w:hint="eastAsia" w:ascii="宋体" w:hAnsi="宋体" w:eastAsia="宋体" w:cs="宋体"/>
          <w:color w:val="auto"/>
          <w:sz w:val="21"/>
          <w:szCs w:val="21"/>
        </w:rPr>
        <w:t>社会保障资金管理机关原因导致其尚未依法缴纳社会保障资金的投标人，提供依法缴纳社会保障资金承诺书原件（格式自拟），该承诺书视同社会保险凭据。</w:t>
      </w:r>
    </w:p>
    <w:p w14:paraId="190FA586">
      <w:pPr>
        <w:pStyle w:val="27"/>
        <w:widowControl/>
        <w:spacing w:line="240" w:lineRule="exact"/>
        <w:rPr>
          <w:color w:val="auto"/>
        </w:rPr>
      </w:pPr>
      <w:r>
        <w:rPr>
          <w:rFonts w:hint="eastAsia" w:ascii="宋体" w:hAnsi="宋体" w:eastAsia="宋体" w:cs="宋体"/>
          <w:color w:val="auto"/>
          <w:sz w:val="21"/>
          <w:szCs w:val="21"/>
        </w:rPr>
        <w:t>3、</w:t>
      </w:r>
      <w:r>
        <w:rPr>
          <w:rStyle w:val="32"/>
          <w:rFonts w:hint="eastAsia" w:ascii="宋体" w:hAnsi="宋体" w:eastAsia="宋体" w:cs="宋体"/>
          <w:color w:val="auto"/>
          <w:sz w:val="21"/>
          <w:szCs w:val="21"/>
        </w:rPr>
        <w:t>“依法缴纳社会保障资金证明材料”</w:t>
      </w:r>
      <w:r>
        <w:rPr>
          <w:rFonts w:hint="eastAsia" w:ascii="宋体" w:hAnsi="宋体" w:eastAsia="宋体" w:cs="宋体"/>
          <w:color w:val="auto"/>
          <w:sz w:val="21"/>
          <w:szCs w:val="21"/>
        </w:rPr>
        <w:t>有欠缴记录的，视为</w:t>
      </w:r>
      <w:r>
        <w:rPr>
          <w:rStyle w:val="32"/>
          <w:rFonts w:hint="eastAsia" w:ascii="宋体" w:hAnsi="宋体" w:eastAsia="宋体" w:cs="宋体"/>
          <w:color w:val="auto"/>
          <w:sz w:val="21"/>
          <w:szCs w:val="21"/>
        </w:rPr>
        <w:t>未依法缴纳社会保障资金。</w:t>
      </w:r>
    </w:p>
    <w:p w14:paraId="24454BEF">
      <w:pPr>
        <w:pStyle w:val="27"/>
        <w:widowControl/>
        <w:spacing w:line="240" w:lineRule="exact"/>
        <w:rPr>
          <w:color w:val="auto"/>
        </w:rPr>
      </w:pPr>
      <w:r>
        <w:rPr>
          <w:rFonts w:hint="eastAsia" w:ascii="宋体" w:hAnsi="宋体" w:eastAsia="宋体" w:cs="宋体"/>
          <w:color w:val="auto"/>
          <w:sz w:val="21"/>
          <w:szCs w:val="21"/>
        </w:rPr>
        <w:t>4、投标人提供的相应证明材料复印件均应符合：内容完整、清晰、整洁，并由投标人加盖其单位公章。</w:t>
      </w:r>
    </w:p>
    <w:p w14:paraId="6BB2C57B">
      <w:pPr>
        <w:pStyle w:val="27"/>
        <w:widowControl/>
        <w:spacing w:line="240" w:lineRule="exact"/>
        <w:rPr>
          <w:color w:val="auto"/>
        </w:rPr>
      </w:pPr>
      <w:r>
        <w:rPr>
          <w:rFonts w:ascii="Calibri" w:hAnsi="Calibri" w:cs="Calibri"/>
          <w:color w:val="auto"/>
          <w:sz w:val="21"/>
          <w:szCs w:val="21"/>
        </w:rPr>
        <w:t> </w:t>
      </w: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15B9BEF1">
      <w:pPr>
        <w:pStyle w:val="27"/>
        <w:widowControl/>
        <w:spacing w:line="240" w:lineRule="exact"/>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124ECD90">
      <w:pPr>
        <w:pStyle w:val="27"/>
        <w:widowControl/>
        <w:spacing w:line="240" w:lineRule="exact"/>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0B5741AA">
      <w:pPr>
        <w:pStyle w:val="27"/>
        <w:widowControl/>
        <w:rPr>
          <w:color w:val="auto"/>
        </w:rPr>
      </w:pPr>
      <w:r>
        <w:rPr>
          <w:rFonts w:hint="eastAsia" w:ascii="宋体" w:hAnsi="宋体" w:eastAsia="宋体" w:cs="宋体"/>
          <w:color w:val="auto"/>
          <w:sz w:val="21"/>
          <w:szCs w:val="21"/>
        </w:rPr>
        <w:t> </w:t>
      </w:r>
    </w:p>
    <w:p w14:paraId="6EE7C15C">
      <w:pPr>
        <w:pStyle w:val="27"/>
        <w:widowControl/>
        <w:rPr>
          <w:color w:val="auto"/>
        </w:rPr>
      </w:pPr>
      <w:r>
        <w:rPr>
          <w:rFonts w:hint="eastAsia" w:ascii="宋体" w:hAnsi="宋体" w:eastAsia="宋体" w:cs="宋体"/>
          <w:color w:val="auto"/>
          <w:sz w:val="21"/>
          <w:szCs w:val="21"/>
        </w:rPr>
        <w:t> </w:t>
      </w:r>
    </w:p>
    <w:p w14:paraId="6A25FFEF">
      <w:pPr>
        <w:pStyle w:val="27"/>
        <w:widowControl/>
        <w:jc w:val="center"/>
        <w:rPr>
          <w:rFonts w:ascii="宋体" w:hAnsi="宋体" w:eastAsia="宋体" w:cs="宋体"/>
          <w:color w:val="auto"/>
          <w:sz w:val="21"/>
          <w:szCs w:val="21"/>
        </w:rPr>
      </w:pPr>
    </w:p>
    <w:p w14:paraId="5CB00912">
      <w:pPr>
        <w:pStyle w:val="27"/>
        <w:widowControl/>
        <w:jc w:val="center"/>
        <w:outlineLvl w:val="2"/>
        <w:rPr>
          <w:color w:val="auto"/>
        </w:rPr>
      </w:pPr>
      <w:r>
        <w:rPr>
          <w:rFonts w:hint="eastAsia" w:ascii="宋体" w:hAnsi="宋体" w:eastAsia="宋体" w:cs="宋体"/>
          <w:color w:val="auto"/>
          <w:sz w:val="21"/>
          <w:szCs w:val="21"/>
        </w:rPr>
        <w:t>二</w:t>
      </w:r>
      <w:r>
        <w:rPr>
          <w:rStyle w:val="32"/>
          <w:rFonts w:hint="eastAsia" w:ascii="宋体" w:hAnsi="宋体" w:eastAsia="宋体" w:cs="宋体"/>
          <w:color w:val="auto"/>
          <w:sz w:val="21"/>
          <w:szCs w:val="21"/>
        </w:rPr>
        <w:t>-6具备履行合同所必需设备和专业技术能力的声明函（若有）</w:t>
      </w:r>
    </w:p>
    <w:p w14:paraId="4944EB2B">
      <w:pPr>
        <w:pStyle w:val="27"/>
        <w:widowControl/>
        <w:rPr>
          <w:color w:val="auto"/>
        </w:rPr>
      </w:pPr>
      <w:r>
        <w:rPr>
          <w:rFonts w:hint="eastAsia" w:ascii="宋体" w:hAnsi="宋体" w:eastAsia="宋体" w:cs="宋体"/>
          <w:color w:val="auto"/>
          <w:sz w:val="21"/>
          <w:szCs w:val="21"/>
        </w:rPr>
        <w:t> </w:t>
      </w:r>
    </w:p>
    <w:p w14:paraId="5EADC3BC">
      <w:pPr>
        <w:pStyle w:val="27"/>
        <w:widowControl/>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14:paraId="6AD60634">
      <w:pPr>
        <w:pStyle w:val="27"/>
        <w:widowControl/>
        <w:ind w:firstLine="420"/>
        <w:rPr>
          <w:color w:val="auto"/>
        </w:rPr>
      </w:pPr>
      <w:r>
        <w:rPr>
          <w:rFonts w:hint="eastAsia" w:ascii="宋体" w:hAnsi="宋体" w:eastAsia="宋体" w:cs="宋体"/>
          <w:color w:val="auto"/>
          <w:sz w:val="21"/>
          <w:szCs w:val="21"/>
        </w:rPr>
        <w:t>我方具备履行合同所必需的设备和专业技术能力，否则产生不利后果由我方承担责任。</w:t>
      </w:r>
    </w:p>
    <w:p w14:paraId="79F9F9E8">
      <w:pPr>
        <w:pStyle w:val="27"/>
        <w:widowControl/>
        <w:ind w:firstLine="420"/>
        <w:rPr>
          <w:color w:val="auto"/>
        </w:rPr>
      </w:pPr>
      <w:r>
        <w:rPr>
          <w:rFonts w:hint="eastAsia" w:ascii="宋体" w:hAnsi="宋体" w:eastAsia="宋体" w:cs="宋体"/>
          <w:color w:val="auto"/>
          <w:sz w:val="21"/>
          <w:szCs w:val="21"/>
        </w:rPr>
        <w:t>特此声明。</w:t>
      </w:r>
    </w:p>
    <w:p w14:paraId="6264D14A">
      <w:pPr>
        <w:pStyle w:val="27"/>
        <w:widowControl/>
        <w:rPr>
          <w:color w:val="auto"/>
        </w:rPr>
      </w:pPr>
      <w:r>
        <w:rPr>
          <w:rFonts w:hint="eastAsia" w:ascii="宋体" w:hAnsi="宋体" w:eastAsia="宋体" w:cs="宋体"/>
          <w:color w:val="auto"/>
          <w:sz w:val="21"/>
          <w:szCs w:val="21"/>
        </w:rPr>
        <w:t> </w:t>
      </w:r>
    </w:p>
    <w:p w14:paraId="37D669DB">
      <w:pPr>
        <w:pStyle w:val="27"/>
        <w:widowControl/>
        <w:rPr>
          <w:color w:val="auto"/>
        </w:rPr>
      </w:pPr>
      <w:r>
        <w:rPr>
          <w:rFonts w:hint="eastAsia" w:ascii="宋体" w:hAnsi="宋体" w:eastAsia="宋体" w:cs="宋体"/>
          <w:color w:val="auto"/>
          <w:sz w:val="21"/>
          <w:szCs w:val="21"/>
        </w:rPr>
        <w:t>★注意：</w:t>
      </w:r>
    </w:p>
    <w:p w14:paraId="5C38B8E0">
      <w:pPr>
        <w:pStyle w:val="27"/>
        <w:widowControl/>
        <w:rPr>
          <w:color w:val="auto"/>
        </w:rPr>
      </w:pPr>
      <w:r>
        <w:rPr>
          <w:rFonts w:hint="eastAsia" w:ascii="宋体" w:hAnsi="宋体" w:eastAsia="宋体" w:cs="宋体"/>
          <w:color w:val="auto"/>
          <w:sz w:val="21"/>
          <w:szCs w:val="21"/>
        </w:rPr>
        <w:t>1、招标文件未要求投标人提供“具备履行合同所必需的设备和专业技术能力专项证明材料”的，投标人应提供本声明函。</w:t>
      </w:r>
    </w:p>
    <w:p w14:paraId="244A47F4">
      <w:pPr>
        <w:pStyle w:val="27"/>
        <w:widowControl/>
        <w:rPr>
          <w:color w:val="auto"/>
        </w:rPr>
      </w:pPr>
      <w:r>
        <w:rPr>
          <w:rFonts w:hint="eastAsia" w:ascii="宋体" w:hAnsi="宋体" w:eastAsia="宋体" w:cs="宋体"/>
          <w:color w:val="auto"/>
          <w:sz w:val="21"/>
          <w:szCs w:val="21"/>
        </w:rPr>
        <w:t>2、招标文件要求投标人提供“具备履行合同所必需的设备和专业技术能力专项证明材料”的，投标人可不提供本声明函。</w:t>
      </w:r>
    </w:p>
    <w:p w14:paraId="417B6F97">
      <w:pPr>
        <w:pStyle w:val="27"/>
        <w:widowControl/>
        <w:rPr>
          <w:color w:val="auto"/>
        </w:rPr>
      </w:pPr>
      <w:r>
        <w:rPr>
          <w:rFonts w:hint="eastAsia" w:ascii="宋体" w:hAnsi="宋体" w:eastAsia="宋体" w:cs="宋体"/>
          <w:color w:val="auto"/>
          <w:sz w:val="21"/>
          <w:szCs w:val="21"/>
        </w:rPr>
        <w:t>3、纸质投标文件正本中的本声明函（若有）应为原件。</w:t>
      </w:r>
    </w:p>
    <w:p w14:paraId="55536FEE">
      <w:pPr>
        <w:pStyle w:val="27"/>
        <w:widowControl/>
        <w:rPr>
          <w:color w:val="auto"/>
        </w:rPr>
      </w:pPr>
      <w:r>
        <w:rPr>
          <w:rFonts w:hint="eastAsia" w:ascii="宋体" w:hAnsi="宋体" w:eastAsia="宋体" w:cs="宋体"/>
          <w:color w:val="auto"/>
          <w:sz w:val="21"/>
          <w:szCs w:val="21"/>
        </w:rPr>
        <w:t>4、请投标人根据实际情况如实声明，否则</w:t>
      </w:r>
      <w:r>
        <w:rPr>
          <w:rStyle w:val="32"/>
          <w:rFonts w:hint="eastAsia" w:ascii="宋体" w:hAnsi="宋体" w:eastAsia="宋体" w:cs="宋体"/>
          <w:color w:val="auto"/>
          <w:sz w:val="21"/>
          <w:szCs w:val="21"/>
        </w:rPr>
        <w:t>视为提供虚假材料。</w:t>
      </w:r>
    </w:p>
    <w:p w14:paraId="02465B5F">
      <w:pPr>
        <w:pStyle w:val="27"/>
        <w:widowControl/>
        <w:rPr>
          <w:color w:val="auto"/>
        </w:rPr>
      </w:pPr>
      <w:r>
        <w:rPr>
          <w:rFonts w:ascii="Calibri" w:hAnsi="Calibri" w:cs="Calibri"/>
          <w:color w:val="auto"/>
          <w:sz w:val="21"/>
          <w:szCs w:val="21"/>
        </w:rPr>
        <w:t> </w:t>
      </w:r>
    </w:p>
    <w:p w14:paraId="5A489495">
      <w:pPr>
        <w:pStyle w:val="27"/>
        <w:widowControl/>
        <w:rPr>
          <w:color w:val="auto"/>
        </w:rPr>
      </w:pPr>
      <w:r>
        <w:rPr>
          <w:rFonts w:ascii="Calibri" w:hAnsi="Calibri" w:cs="Calibri"/>
          <w:color w:val="auto"/>
          <w:sz w:val="21"/>
          <w:szCs w:val="21"/>
        </w:rPr>
        <w:t> </w:t>
      </w:r>
    </w:p>
    <w:p w14:paraId="4BEDC5F2">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218FF26C">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546F6ABA">
      <w:pPr>
        <w:pStyle w:val="27"/>
        <w:widowControl/>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7FE068F0">
      <w:pPr>
        <w:pStyle w:val="27"/>
        <w:widowControl/>
        <w:rPr>
          <w:color w:val="auto"/>
        </w:rPr>
      </w:pPr>
      <w:r>
        <w:rPr>
          <w:rFonts w:hint="eastAsia" w:ascii="宋体" w:hAnsi="宋体" w:eastAsia="宋体" w:cs="宋体"/>
          <w:color w:val="auto"/>
          <w:sz w:val="21"/>
          <w:szCs w:val="21"/>
        </w:rPr>
        <w:t> </w:t>
      </w:r>
    </w:p>
    <w:p w14:paraId="3E84AC74">
      <w:pPr>
        <w:pStyle w:val="27"/>
        <w:widowControl/>
        <w:rPr>
          <w:color w:val="auto"/>
        </w:rPr>
      </w:pPr>
      <w:r>
        <w:rPr>
          <w:rFonts w:hint="eastAsia" w:ascii="宋体" w:hAnsi="宋体" w:eastAsia="宋体" w:cs="宋体"/>
          <w:color w:val="auto"/>
          <w:sz w:val="21"/>
          <w:szCs w:val="21"/>
        </w:rPr>
        <w:t> </w:t>
      </w:r>
    </w:p>
    <w:p w14:paraId="73003691">
      <w:pPr>
        <w:pStyle w:val="27"/>
        <w:widowControl/>
        <w:jc w:val="center"/>
        <w:rPr>
          <w:rFonts w:ascii="宋体" w:hAnsi="宋体" w:eastAsia="宋体" w:cs="宋体"/>
          <w:color w:val="auto"/>
          <w:sz w:val="21"/>
          <w:szCs w:val="21"/>
        </w:rPr>
      </w:pPr>
      <w:r>
        <w:rPr>
          <w:rFonts w:hint="eastAsia" w:ascii="宋体" w:hAnsi="宋体" w:eastAsia="宋体" w:cs="宋体"/>
          <w:color w:val="auto"/>
          <w:sz w:val="21"/>
          <w:szCs w:val="21"/>
        </w:rPr>
        <w:br w:type="page"/>
      </w:r>
    </w:p>
    <w:p w14:paraId="56844038">
      <w:pPr>
        <w:pStyle w:val="27"/>
        <w:widowControl/>
        <w:jc w:val="center"/>
        <w:outlineLvl w:val="2"/>
        <w:rPr>
          <w:color w:val="auto"/>
        </w:rPr>
      </w:pPr>
      <w:r>
        <w:rPr>
          <w:rFonts w:hint="eastAsia" w:ascii="宋体" w:hAnsi="宋体" w:eastAsia="宋体" w:cs="宋体"/>
          <w:color w:val="auto"/>
          <w:sz w:val="21"/>
          <w:szCs w:val="21"/>
        </w:rPr>
        <w:t>二</w:t>
      </w:r>
      <w:r>
        <w:rPr>
          <w:rStyle w:val="32"/>
          <w:rFonts w:hint="eastAsia" w:ascii="宋体" w:hAnsi="宋体" w:eastAsia="宋体" w:cs="宋体"/>
          <w:color w:val="auto"/>
          <w:sz w:val="21"/>
          <w:szCs w:val="21"/>
        </w:rPr>
        <w:t>-7参加采购活动前三年内在经营活动中没有重大违法记录书面声明</w:t>
      </w:r>
    </w:p>
    <w:p w14:paraId="4AEB1B7E">
      <w:pPr>
        <w:pStyle w:val="27"/>
        <w:widowControl/>
        <w:rPr>
          <w:color w:val="auto"/>
        </w:rPr>
      </w:pPr>
      <w:r>
        <w:rPr>
          <w:rFonts w:hint="eastAsia" w:ascii="宋体" w:hAnsi="宋体" w:eastAsia="宋体" w:cs="宋体"/>
          <w:color w:val="auto"/>
          <w:sz w:val="21"/>
          <w:szCs w:val="21"/>
        </w:rPr>
        <w:t> </w:t>
      </w:r>
    </w:p>
    <w:p w14:paraId="293DEE35">
      <w:pPr>
        <w:pStyle w:val="27"/>
        <w:widowControl/>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14:paraId="39402ECE">
      <w:pPr>
        <w:pStyle w:val="27"/>
        <w:widowControl/>
        <w:ind w:firstLine="420"/>
        <w:rPr>
          <w:color w:val="auto"/>
        </w:rPr>
      </w:pPr>
      <w:r>
        <w:rPr>
          <w:rFonts w:hint="eastAsia" w:ascii="宋体" w:hAnsi="宋体" w:eastAsia="宋体" w:cs="宋体"/>
          <w:color w:val="auto"/>
          <w:sz w:val="21"/>
          <w:szCs w:val="21"/>
        </w:rPr>
        <w:t>参加采购活动前三年内，我方在经营活动中没有重大违法记录，也无行贿犯罪记录，否则产生不利后果由我方承担责任。</w:t>
      </w:r>
    </w:p>
    <w:p w14:paraId="4BF1A6C4">
      <w:pPr>
        <w:pStyle w:val="27"/>
        <w:widowControl/>
        <w:ind w:firstLine="420"/>
        <w:rPr>
          <w:color w:val="auto"/>
        </w:rPr>
      </w:pPr>
      <w:r>
        <w:rPr>
          <w:rFonts w:hint="eastAsia" w:ascii="宋体" w:hAnsi="宋体" w:eastAsia="宋体" w:cs="宋体"/>
          <w:color w:val="auto"/>
          <w:sz w:val="21"/>
          <w:szCs w:val="21"/>
        </w:rPr>
        <w:t>特此声明。</w:t>
      </w:r>
    </w:p>
    <w:p w14:paraId="13EEC9DC">
      <w:pPr>
        <w:pStyle w:val="27"/>
        <w:widowControl/>
        <w:rPr>
          <w:color w:val="auto"/>
        </w:rPr>
      </w:pPr>
      <w:r>
        <w:rPr>
          <w:rFonts w:ascii="Calibri" w:hAnsi="Calibri" w:cs="Calibri"/>
          <w:color w:val="auto"/>
          <w:sz w:val="21"/>
          <w:szCs w:val="21"/>
        </w:rPr>
        <w:t> </w:t>
      </w:r>
    </w:p>
    <w:p w14:paraId="7A11C7C8">
      <w:pPr>
        <w:pStyle w:val="27"/>
        <w:widowControl/>
        <w:rPr>
          <w:color w:val="auto"/>
        </w:rPr>
      </w:pPr>
      <w:r>
        <w:rPr>
          <w:rFonts w:hint="eastAsia" w:ascii="宋体" w:hAnsi="宋体" w:eastAsia="宋体" w:cs="宋体"/>
          <w:color w:val="auto"/>
          <w:sz w:val="21"/>
          <w:szCs w:val="21"/>
        </w:rPr>
        <w:t>★注意：</w:t>
      </w:r>
    </w:p>
    <w:p w14:paraId="15DEA916">
      <w:pPr>
        <w:pStyle w:val="27"/>
        <w:widowControl/>
        <w:rPr>
          <w:color w:val="auto"/>
        </w:rPr>
      </w:pPr>
      <w:r>
        <w:rPr>
          <w:rFonts w:hint="eastAsia" w:ascii="宋体" w:hAnsi="宋体" w:eastAsia="宋体" w:cs="宋体"/>
          <w:color w:val="auto"/>
          <w:sz w:val="21"/>
          <w:szCs w:val="21"/>
        </w:rPr>
        <w:t>1、“重大违法记录”指投标人因违法经营受到刑事处罚或责令停产停业、吊销许可证或执照、较大数额罚款等行政处罚。</w:t>
      </w:r>
    </w:p>
    <w:p w14:paraId="7243BF15">
      <w:pPr>
        <w:pStyle w:val="27"/>
        <w:widowControl/>
        <w:rPr>
          <w:color w:val="auto"/>
        </w:rPr>
      </w:pPr>
      <w:r>
        <w:rPr>
          <w:rFonts w:hint="eastAsia" w:ascii="宋体" w:hAnsi="宋体" w:eastAsia="宋体" w:cs="宋体"/>
          <w:color w:val="auto"/>
          <w:sz w:val="21"/>
          <w:szCs w:val="21"/>
        </w:rPr>
        <w:t>2、纸质投标文件正本中的本声明应为原件。</w:t>
      </w:r>
    </w:p>
    <w:p w14:paraId="33746AE6">
      <w:pPr>
        <w:pStyle w:val="27"/>
        <w:widowControl/>
        <w:rPr>
          <w:color w:val="auto"/>
        </w:rPr>
      </w:pPr>
      <w:r>
        <w:rPr>
          <w:rFonts w:hint="eastAsia" w:ascii="宋体" w:hAnsi="宋体" w:eastAsia="宋体" w:cs="宋体"/>
          <w:color w:val="auto"/>
          <w:sz w:val="21"/>
          <w:szCs w:val="21"/>
        </w:rPr>
        <w:t>3、请投标人根据实际情况如实声明，否则</w:t>
      </w:r>
      <w:r>
        <w:rPr>
          <w:rStyle w:val="32"/>
          <w:rFonts w:hint="eastAsia" w:ascii="宋体" w:hAnsi="宋体" w:eastAsia="宋体" w:cs="宋体"/>
          <w:color w:val="auto"/>
          <w:sz w:val="21"/>
          <w:szCs w:val="21"/>
        </w:rPr>
        <w:t>视为提供虚假材料。</w:t>
      </w:r>
    </w:p>
    <w:p w14:paraId="0D0EAFB4">
      <w:pPr>
        <w:pStyle w:val="27"/>
        <w:widowControl/>
        <w:rPr>
          <w:color w:val="auto"/>
        </w:rPr>
      </w:pPr>
      <w:r>
        <w:rPr>
          <w:rFonts w:hint="eastAsia" w:ascii="宋体" w:hAnsi="宋体" w:eastAsia="宋体" w:cs="宋体"/>
          <w:color w:val="auto"/>
          <w:sz w:val="21"/>
          <w:szCs w:val="21"/>
        </w:rPr>
        <w:t> </w:t>
      </w:r>
    </w:p>
    <w:p w14:paraId="2FE81F5C">
      <w:pPr>
        <w:pStyle w:val="27"/>
        <w:widowControl/>
        <w:rPr>
          <w:color w:val="auto"/>
        </w:rPr>
      </w:pPr>
      <w:r>
        <w:rPr>
          <w:rFonts w:hint="eastAsia" w:ascii="宋体" w:hAnsi="宋体" w:eastAsia="宋体" w:cs="宋体"/>
          <w:color w:val="auto"/>
          <w:sz w:val="21"/>
          <w:szCs w:val="21"/>
        </w:rPr>
        <w:t> </w:t>
      </w:r>
    </w:p>
    <w:p w14:paraId="6DC77BBF">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1A7298F2">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4AD3EA19">
      <w:pPr>
        <w:pStyle w:val="27"/>
        <w:widowControl/>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7E90B3F4">
      <w:pPr>
        <w:pStyle w:val="27"/>
        <w:widowControl/>
        <w:rPr>
          <w:color w:val="auto"/>
        </w:rPr>
      </w:pPr>
      <w:r>
        <w:rPr>
          <w:rFonts w:hint="eastAsia" w:ascii="宋体" w:hAnsi="宋体" w:eastAsia="宋体" w:cs="宋体"/>
          <w:color w:val="auto"/>
          <w:sz w:val="21"/>
          <w:szCs w:val="21"/>
        </w:rPr>
        <w:t> </w:t>
      </w:r>
    </w:p>
    <w:p w14:paraId="06613E32">
      <w:pPr>
        <w:pStyle w:val="27"/>
        <w:widowControl/>
        <w:rPr>
          <w:color w:val="auto"/>
        </w:rPr>
      </w:pPr>
      <w:r>
        <w:rPr>
          <w:rFonts w:hint="eastAsia" w:ascii="宋体" w:hAnsi="宋体" w:eastAsia="宋体" w:cs="宋体"/>
          <w:color w:val="auto"/>
          <w:sz w:val="21"/>
          <w:szCs w:val="21"/>
        </w:rPr>
        <w:t> </w:t>
      </w:r>
    </w:p>
    <w:p w14:paraId="62E22B12">
      <w:pPr>
        <w:pStyle w:val="27"/>
        <w:widowControl/>
        <w:jc w:val="center"/>
        <w:rPr>
          <w:rFonts w:ascii="宋体" w:hAnsi="宋体" w:eastAsia="宋体" w:cs="宋体"/>
          <w:color w:val="auto"/>
          <w:sz w:val="21"/>
          <w:szCs w:val="21"/>
        </w:rPr>
      </w:pPr>
      <w:r>
        <w:rPr>
          <w:rFonts w:hint="eastAsia" w:ascii="宋体" w:hAnsi="宋体" w:eastAsia="宋体" w:cs="宋体"/>
          <w:color w:val="auto"/>
          <w:sz w:val="21"/>
          <w:szCs w:val="21"/>
        </w:rPr>
        <w:br w:type="page"/>
      </w:r>
    </w:p>
    <w:p w14:paraId="7F81FDCE">
      <w:pPr>
        <w:pStyle w:val="27"/>
        <w:widowControl/>
        <w:jc w:val="center"/>
        <w:outlineLvl w:val="2"/>
        <w:rPr>
          <w:color w:val="auto"/>
        </w:rPr>
      </w:pPr>
      <w:r>
        <w:rPr>
          <w:rFonts w:hint="eastAsia" w:ascii="宋体" w:hAnsi="宋体" w:eastAsia="宋体" w:cs="宋体"/>
          <w:color w:val="auto"/>
          <w:sz w:val="21"/>
          <w:szCs w:val="21"/>
        </w:rPr>
        <w:t>二</w:t>
      </w:r>
      <w:r>
        <w:rPr>
          <w:rStyle w:val="32"/>
          <w:rFonts w:hint="eastAsia" w:ascii="宋体" w:hAnsi="宋体" w:eastAsia="宋体" w:cs="宋体"/>
          <w:color w:val="auto"/>
          <w:sz w:val="21"/>
          <w:szCs w:val="21"/>
        </w:rPr>
        <w:t>-8信用记录查询结果</w:t>
      </w:r>
    </w:p>
    <w:p w14:paraId="12875274">
      <w:pPr>
        <w:pStyle w:val="27"/>
        <w:widowControl/>
        <w:rPr>
          <w:color w:val="auto"/>
        </w:rPr>
      </w:pPr>
      <w:r>
        <w:rPr>
          <w:rFonts w:hint="eastAsia" w:ascii="宋体" w:hAnsi="宋体" w:eastAsia="宋体" w:cs="宋体"/>
          <w:color w:val="auto"/>
          <w:sz w:val="21"/>
          <w:szCs w:val="21"/>
        </w:rPr>
        <w:t> </w:t>
      </w:r>
    </w:p>
    <w:p w14:paraId="58F85292">
      <w:pPr>
        <w:pStyle w:val="27"/>
        <w:widowControl/>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14:paraId="6C88A79E">
      <w:pPr>
        <w:pStyle w:val="27"/>
        <w:widowControl/>
        <w:ind w:firstLine="420"/>
        <w:rPr>
          <w:color w:val="auto"/>
        </w:rPr>
      </w:pPr>
      <w:r>
        <w:rPr>
          <w:rFonts w:hint="eastAsia" w:ascii="宋体" w:hAnsi="宋体" w:eastAsia="宋体" w:cs="宋体"/>
          <w:color w:val="auto"/>
          <w:sz w:val="21"/>
          <w:szCs w:val="21"/>
        </w:rPr>
        <w:t>现附上截至</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时我方通过“信用中国”网站（</w:t>
      </w:r>
      <w:r>
        <w:rPr>
          <w:rFonts w:ascii="Calibri" w:hAnsi="Calibri" w:eastAsia="宋体" w:cs="Calibri"/>
          <w:color w:val="auto"/>
          <w:sz w:val="21"/>
          <w:szCs w:val="21"/>
        </w:rPr>
        <w:t>www.creditchina.gov.cn</w:t>
      </w:r>
      <w:r>
        <w:rPr>
          <w:rFonts w:hint="eastAsia" w:ascii="宋体" w:hAnsi="宋体" w:eastAsia="宋体" w:cs="宋体"/>
          <w:color w:val="auto"/>
          <w:sz w:val="21"/>
          <w:szCs w:val="21"/>
        </w:rPr>
        <w:t>）获取的我方信用信息查询结果</w:t>
      </w:r>
      <w:r>
        <w:rPr>
          <w:rFonts w:hint="eastAsia" w:ascii="宋体" w:hAnsi="宋体" w:eastAsia="宋体" w:cs="宋体"/>
          <w:color w:val="auto"/>
          <w:sz w:val="21"/>
          <w:szCs w:val="21"/>
          <w:u w:val="single"/>
        </w:rPr>
        <w:t>（填写具体份数）</w:t>
      </w:r>
      <w:r>
        <w:rPr>
          <w:rFonts w:hint="eastAsia" w:ascii="宋体" w:hAnsi="宋体" w:eastAsia="宋体" w:cs="宋体"/>
          <w:color w:val="auto"/>
          <w:sz w:val="21"/>
          <w:szCs w:val="21"/>
        </w:rPr>
        <w:t>份、通过中国政府采购网（www.ccgp.gov.cn）获取的我方信用信息查询结果</w:t>
      </w:r>
      <w:r>
        <w:rPr>
          <w:rFonts w:hint="eastAsia" w:ascii="宋体" w:hAnsi="宋体" w:eastAsia="宋体" w:cs="宋体"/>
          <w:color w:val="auto"/>
          <w:sz w:val="21"/>
          <w:szCs w:val="21"/>
          <w:u w:val="single"/>
        </w:rPr>
        <w:t>（填写具体份数）</w:t>
      </w:r>
      <w:r>
        <w:rPr>
          <w:rFonts w:hint="eastAsia" w:ascii="宋体" w:hAnsi="宋体" w:eastAsia="宋体" w:cs="宋体"/>
          <w:color w:val="auto"/>
          <w:sz w:val="21"/>
          <w:szCs w:val="21"/>
        </w:rPr>
        <w:t>份，上述信用信息查询结果真实有效，否则我方负全部责任。</w:t>
      </w:r>
    </w:p>
    <w:p w14:paraId="0E3BAE4E">
      <w:pPr>
        <w:pStyle w:val="27"/>
        <w:widowControl/>
        <w:rPr>
          <w:color w:val="auto"/>
        </w:rPr>
      </w:pPr>
      <w:r>
        <w:rPr>
          <w:rFonts w:ascii="Calibri" w:hAnsi="Calibri" w:cs="Calibri"/>
          <w:color w:val="auto"/>
          <w:sz w:val="21"/>
          <w:szCs w:val="21"/>
        </w:rPr>
        <w:t> </w:t>
      </w:r>
    </w:p>
    <w:p w14:paraId="7F40F04D">
      <w:pPr>
        <w:pStyle w:val="27"/>
        <w:widowControl/>
        <w:rPr>
          <w:color w:val="auto"/>
        </w:rPr>
      </w:pPr>
      <w:r>
        <w:rPr>
          <w:rFonts w:hint="eastAsia" w:ascii="宋体" w:hAnsi="宋体" w:eastAsia="宋体" w:cs="宋体"/>
          <w:color w:val="auto"/>
          <w:sz w:val="21"/>
          <w:szCs w:val="21"/>
        </w:rPr>
        <w:t>★注意：</w:t>
      </w:r>
    </w:p>
    <w:p w14:paraId="08A32FA1">
      <w:pPr>
        <w:pStyle w:val="27"/>
        <w:widowControl/>
        <w:rPr>
          <w:color w:val="auto"/>
        </w:rPr>
      </w:pPr>
      <w:r>
        <w:rPr>
          <w:rFonts w:hint="eastAsia" w:ascii="宋体" w:hAnsi="宋体" w:eastAsia="宋体" w:cs="宋体"/>
          <w:color w:val="auto"/>
          <w:sz w:val="21"/>
          <w:szCs w:val="21"/>
        </w:rPr>
        <w:t>投标人应在招标文件要求的截止时点前分别通过“信用中国”网站（</w:t>
      </w:r>
      <w:r>
        <w:rPr>
          <w:rFonts w:ascii="Calibri" w:hAnsi="Calibri" w:eastAsia="宋体" w:cs="Calibri"/>
          <w:color w:val="auto"/>
          <w:sz w:val="21"/>
          <w:szCs w:val="21"/>
        </w:rPr>
        <w:t>www.creditchina.gov.cn</w:t>
      </w:r>
      <w:r>
        <w:rPr>
          <w:rFonts w:hint="eastAsia" w:ascii="宋体" w:hAnsi="宋体" w:eastAsia="宋体" w:cs="宋体"/>
          <w:color w:val="auto"/>
          <w:sz w:val="21"/>
          <w:szCs w:val="21"/>
        </w:rPr>
        <w:t>）、中国政府采购网（</w:t>
      </w:r>
      <w:r>
        <w:rPr>
          <w:rFonts w:ascii="Calibri" w:hAnsi="Calibri" w:eastAsia="宋体" w:cs="Calibri"/>
          <w:color w:val="auto"/>
          <w:sz w:val="21"/>
          <w:szCs w:val="21"/>
        </w:rPr>
        <w:t>www.ccgp.gov.cn</w:t>
      </w:r>
      <w:r>
        <w:rPr>
          <w:rFonts w:hint="eastAsia" w:ascii="宋体" w:hAnsi="宋体" w:eastAsia="宋体" w:cs="宋体"/>
          <w:color w:val="auto"/>
          <w:sz w:val="21"/>
          <w:szCs w:val="21"/>
        </w:rPr>
        <w:t>）查询并打印相应的信用记录，投标人提供的查询结果应为其通过上述网站获取的信用信息查询结果原始页面的打印件（或截图）。</w:t>
      </w:r>
    </w:p>
    <w:p w14:paraId="0482547E">
      <w:pPr>
        <w:pStyle w:val="27"/>
        <w:widowControl/>
        <w:rPr>
          <w:color w:val="auto"/>
        </w:rPr>
      </w:pPr>
    </w:p>
    <w:p w14:paraId="639EF1BF">
      <w:pPr>
        <w:pStyle w:val="27"/>
        <w:widowControl/>
        <w:rPr>
          <w:color w:val="auto"/>
        </w:rPr>
      </w:pPr>
      <w:r>
        <w:rPr>
          <w:rFonts w:hint="eastAsia" w:ascii="宋体" w:hAnsi="宋体" w:eastAsia="宋体" w:cs="宋体"/>
          <w:color w:val="auto"/>
          <w:sz w:val="21"/>
          <w:szCs w:val="21"/>
        </w:rPr>
        <w:t> </w:t>
      </w:r>
    </w:p>
    <w:p w14:paraId="6DB6D15B">
      <w:pPr>
        <w:pStyle w:val="27"/>
        <w:widowControl/>
        <w:rPr>
          <w:color w:val="auto"/>
        </w:rPr>
      </w:pPr>
      <w:r>
        <w:rPr>
          <w:rFonts w:hint="eastAsia" w:ascii="宋体" w:hAnsi="宋体" w:eastAsia="宋体" w:cs="宋体"/>
          <w:color w:val="auto"/>
          <w:sz w:val="21"/>
          <w:szCs w:val="21"/>
        </w:rPr>
        <w:t> </w:t>
      </w:r>
    </w:p>
    <w:p w14:paraId="18C24C8B">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2584917D">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16DFDAA0">
      <w:pPr>
        <w:pStyle w:val="27"/>
        <w:widowControl/>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3791BF1B">
      <w:pPr>
        <w:pStyle w:val="27"/>
        <w:widowControl/>
        <w:rPr>
          <w:color w:val="auto"/>
        </w:rPr>
      </w:pPr>
      <w:r>
        <w:rPr>
          <w:rFonts w:hint="eastAsia" w:ascii="宋体" w:hAnsi="宋体" w:eastAsia="宋体" w:cs="宋体"/>
          <w:color w:val="auto"/>
          <w:sz w:val="21"/>
          <w:szCs w:val="21"/>
        </w:rPr>
        <w:t> </w:t>
      </w:r>
    </w:p>
    <w:p w14:paraId="466BC773">
      <w:pPr>
        <w:pStyle w:val="27"/>
        <w:widowControl/>
        <w:rPr>
          <w:color w:val="auto"/>
        </w:rPr>
      </w:pPr>
      <w:r>
        <w:rPr>
          <w:rFonts w:hint="eastAsia" w:ascii="宋体" w:hAnsi="宋体" w:eastAsia="宋体" w:cs="宋体"/>
          <w:color w:val="auto"/>
          <w:sz w:val="21"/>
          <w:szCs w:val="21"/>
        </w:rPr>
        <w:t> </w:t>
      </w:r>
    </w:p>
    <w:p w14:paraId="23EF0574">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20D8C0F4">
      <w:pPr>
        <w:pStyle w:val="27"/>
        <w:widowControl/>
        <w:jc w:val="center"/>
        <w:outlineLvl w:val="2"/>
        <w:rPr>
          <w:color w:val="auto"/>
        </w:rPr>
      </w:pPr>
      <w:r>
        <w:rPr>
          <w:rStyle w:val="32"/>
          <w:rFonts w:hint="eastAsia" w:ascii="宋体" w:hAnsi="宋体" w:eastAsia="宋体" w:cs="宋体"/>
          <w:color w:val="auto"/>
          <w:sz w:val="21"/>
          <w:szCs w:val="21"/>
        </w:rPr>
        <w:t>二-9检察机关行贿犯罪档案查询结果告知函</w:t>
      </w:r>
    </w:p>
    <w:p w14:paraId="0ED2D071">
      <w:pPr>
        <w:pStyle w:val="27"/>
        <w:widowControl/>
        <w:rPr>
          <w:color w:val="auto"/>
        </w:rPr>
      </w:pPr>
      <w:r>
        <w:rPr>
          <w:rFonts w:ascii="Calibri" w:hAnsi="Calibri" w:cs="Calibri"/>
          <w:color w:val="auto"/>
          <w:sz w:val="21"/>
          <w:szCs w:val="21"/>
        </w:rPr>
        <w:t> </w:t>
      </w:r>
    </w:p>
    <w:p w14:paraId="00EBEFBA">
      <w:pPr>
        <w:pStyle w:val="27"/>
        <w:widowControl/>
        <w:ind w:firstLine="420"/>
        <w:rPr>
          <w:color w:val="auto"/>
        </w:rPr>
      </w:pPr>
      <w:r>
        <w:rPr>
          <w:rFonts w:hint="eastAsia" w:ascii="宋体" w:hAnsi="宋体" w:eastAsia="宋体" w:cs="宋体"/>
          <w:color w:val="auto"/>
          <w:sz w:val="21"/>
          <w:szCs w:val="21"/>
        </w:rPr>
        <w:t>检察机关行贿犯罪档案查询结果告知函（以下简称：“告知函”）由投标人向住所地或业务发生地检察院申请查询，具体以检察院出具的为准。</w:t>
      </w:r>
    </w:p>
    <w:p w14:paraId="4AD4FF17">
      <w:pPr>
        <w:pStyle w:val="27"/>
        <w:widowControl/>
        <w:rPr>
          <w:color w:val="auto"/>
        </w:rPr>
      </w:pPr>
      <w:r>
        <w:rPr>
          <w:rFonts w:ascii="Calibri" w:hAnsi="Calibri" w:cs="Calibri"/>
          <w:color w:val="auto"/>
          <w:sz w:val="21"/>
          <w:szCs w:val="21"/>
        </w:rPr>
        <w:t> </w:t>
      </w:r>
    </w:p>
    <w:p w14:paraId="12F4CED0">
      <w:pPr>
        <w:pStyle w:val="27"/>
        <w:widowControl/>
        <w:rPr>
          <w:color w:val="auto"/>
        </w:rPr>
      </w:pPr>
      <w:r>
        <w:rPr>
          <w:rFonts w:hint="eastAsia" w:ascii="宋体" w:hAnsi="宋体" w:eastAsia="宋体" w:cs="宋体"/>
          <w:color w:val="auto"/>
          <w:sz w:val="21"/>
          <w:szCs w:val="21"/>
        </w:rPr>
        <w:t>★注意：</w:t>
      </w:r>
    </w:p>
    <w:p w14:paraId="7BC1DDB7">
      <w:pPr>
        <w:pStyle w:val="27"/>
        <w:widowControl/>
        <w:rPr>
          <w:color w:val="auto"/>
        </w:rPr>
      </w:pPr>
      <w:r>
        <w:rPr>
          <w:rFonts w:hint="eastAsia" w:ascii="宋体" w:hAnsi="宋体" w:eastAsia="宋体" w:cs="宋体"/>
          <w:color w:val="auto"/>
          <w:sz w:val="21"/>
          <w:szCs w:val="21"/>
        </w:rPr>
        <w:t>1、未提供行贿犯罪档案查询结果或查询结果表明投标人有行贿犯罪记录的，</w:t>
      </w:r>
      <w:r>
        <w:rPr>
          <w:rStyle w:val="32"/>
          <w:rFonts w:hint="eastAsia" w:ascii="宋体" w:hAnsi="宋体" w:eastAsia="宋体" w:cs="宋体"/>
          <w:color w:val="auto"/>
          <w:sz w:val="21"/>
          <w:szCs w:val="21"/>
        </w:rPr>
        <w:t>投标无效。</w:t>
      </w:r>
    </w:p>
    <w:p w14:paraId="2568F7C6">
      <w:pPr>
        <w:pStyle w:val="27"/>
        <w:widowControl/>
        <w:rPr>
          <w:color w:val="auto"/>
        </w:rPr>
      </w:pPr>
      <w:r>
        <w:rPr>
          <w:rFonts w:hint="eastAsia" w:ascii="宋体" w:hAnsi="宋体" w:eastAsia="宋体" w:cs="宋体"/>
          <w:color w:val="auto"/>
          <w:sz w:val="21"/>
          <w:szCs w:val="21"/>
        </w:rPr>
        <w:t>2、若从检察机关指定网站下载打印或截图告知函，则告知函应为从前述指定网站获取的查询结果原始页面的打印件（或截图），否则</w:t>
      </w:r>
      <w:r>
        <w:rPr>
          <w:rStyle w:val="32"/>
          <w:rFonts w:hint="eastAsia" w:ascii="宋体" w:hAnsi="宋体" w:eastAsia="宋体" w:cs="宋体"/>
          <w:color w:val="auto"/>
          <w:sz w:val="21"/>
          <w:szCs w:val="21"/>
        </w:rPr>
        <w:t>投标无效。</w:t>
      </w:r>
    </w:p>
    <w:p w14:paraId="731F8A28">
      <w:pPr>
        <w:pStyle w:val="27"/>
        <w:widowControl/>
        <w:rPr>
          <w:color w:val="auto"/>
        </w:rPr>
      </w:pPr>
      <w:r>
        <w:rPr>
          <w:rFonts w:hint="eastAsia" w:ascii="宋体" w:hAnsi="宋体" w:eastAsia="宋体" w:cs="宋体"/>
          <w:color w:val="auto"/>
          <w:sz w:val="21"/>
          <w:szCs w:val="21"/>
        </w:rPr>
        <w:t>3、告知函应在有效期内且内容完整、清晰、整洁，否则</w:t>
      </w:r>
      <w:r>
        <w:rPr>
          <w:rStyle w:val="32"/>
          <w:rFonts w:hint="eastAsia" w:ascii="宋体" w:hAnsi="宋体" w:eastAsia="宋体" w:cs="宋体"/>
          <w:color w:val="auto"/>
          <w:sz w:val="21"/>
          <w:szCs w:val="21"/>
        </w:rPr>
        <w:t>投标无效。</w:t>
      </w:r>
    </w:p>
    <w:p w14:paraId="2FF45F32">
      <w:pPr>
        <w:pStyle w:val="27"/>
        <w:widowControl/>
        <w:rPr>
          <w:color w:val="auto"/>
        </w:rPr>
      </w:pPr>
      <w:r>
        <w:rPr>
          <w:rFonts w:hint="eastAsia" w:ascii="宋体" w:hAnsi="宋体" w:eastAsia="宋体" w:cs="宋体"/>
          <w:color w:val="auto"/>
          <w:sz w:val="21"/>
          <w:szCs w:val="21"/>
        </w:rPr>
        <w:t>4、有效期内的告知函复印件（含扫描件）及符合招标文件第七章规定的打印件（或截图），无论内容中是否注明“复印件无效”，</w:t>
      </w:r>
      <w:r>
        <w:rPr>
          <w:rStyle w:val="32"/>
          <w:rFonts w:hint="eastAsia" w:ascii="宋体" w:hAnsi="宋体" w:eastAsia="宋体" w:cs="宋体"/>
          <w:color w:val="auto"/>
          <w:sz w:val="21"/>
          <w:szCs w:val="21"/>
        </w:rPr>
        <w:t>均视同有效。</w:t>
      </w:r>
    </w:p>
    <w:p w14:paraId="14CA72FE">
      <w:pPr>
        <w:pStyle w:val="27"/>
        <w:widowControl/>
        <w:rPr>
          <w:color w:val="auto"/>
        </w:rPr>
      </w:pPr>
      <w:r>
        <w:rPr>
          <w:rFonts w:hint="eastAsia" w:ascii="宋体" w:hAnsi="宋体" w:eastAsia="宋体" w:cs="宋体"/>
          <w:color w:val="auto"/>
          <w:sz w:val="21"/>
          <w:szCs w:val="21"/>
        </w:rPr>
        <w:t>5、无法获取有效期内检察机关行贿犯罪档案查询结果告知函的，应在《参加采购活动前三年内在经营活动中没有重大违法记录书面声明》中对近三年无行贿犯罪记录进行声明。</w:t>
      </w:r>
    </w:p>
    <w:p w14:paraId="187B12D1">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5DBE6EA3">
      <w:pPr>
        <w:pStyle w:val="27"/>
        <w:widowControl/>
        <w:jc w:val="center"/>
        <w:outlineLvl w:val="2"/>
        <w:rPr>
          <w:color w:val="auto"/>
        </w:rPr>
      </w:pPr>
      <w:r>
        <w:rPr>
          <w:rStyle w:val="32"/>
          <w:rFonts w:hint="eastAsia" w:ascii="宋体" w:hAnsi="宋体" w:eastAsia="宋体" w:cs="宋体"/>
          <w:color w:val="auto"/>
          <w:sz w:val="21"/>
          <w:szCs w:val="21"/>
        </w:rPr>
        <w:t>二-10联合体协议（若有）</w:t>
      </w:r>
    </w:p>
    <w:p w14:paraId="2E959B53">
      <w:pPr>
        <w:pStyle w:val="27"/>
        <w:widowControl/>
        <w:rPr>
          <w:color w:val="auto"/>
        </w:rPr>
      </w:pPr>
      <w:r>
        <w:rPr>
          <w:rFonts w:hint="eastAsia" w:ascii="宋体" w:hAnsi="宋体" w:eastAsia="宋体" w:cs="宋体"/>
          <w:color w:val="auto"/>
          <w:sz w:val="21"/>
          <w:szCs w:val="21"/>
        </w:rPr>
        <w:t> </w:t>
      </w:r>
    </w:p>
    <w:p w14:paraId="07A33104">
      <w:pPr>
        <w:pStyle w:val="27"/>
        <w:widowControl/>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14:paraId="14158EAE">
      <w:pPr>
        <w:pStyle w:val="27"/>
        <w:widowControl/>
        <w:ind w:firstLine="420"/>
        <w:rPr>
          <w:color w:val="auto"/>
        </w:rPr>
      </w:pPr>
      <w:r>
        <w:rPr>
          <w:rFonts w:hint="eastAsia" w:ascii="宋体" w:hAnsi="宋体" w:eastAsia="宋体" w:cs="宋体"/>
          <w:color w:val="auto"/>
          <w:sz w:val="21"/>
          <w:szCs w:val="21"/>
        </w:rPr>
        <w:t>兹有</w:t>
      </w:r>
      <w:r>
        <w:rPr>
          <w:rFonts w:hint="eastAsia" w:ascii="宋体" w:hAnsi="宋体" w:eastAsia="宋体" w:cs="宋体"/>
          <w:color w:val="auto"/>
          <w:sz w:val="21"/>
          <w:szCs w:val="21"/>
          <w:u w:val="single"/>
        </w:rPr>
        <w:t>（填写“联合体中各方的全称”，各方的全称之间请用“、”分割）</w:t>
      </w:r>
      <w:r>
        <w:rPr>
          <w:rFonts w:hint="eastAsia" w:ascii="宋体" w:hAnsi="宋体" w:eastAsia="宋体" w:cs="宋体"/>
          <w:color w:val="auto"/>
          <w:sz w:val="21"/>
          <w:szCs w:val="21"/>
        </w:rPr>
        <w:t>自愿组成联合体，共同参加</w:t>
      </w:r>
      <w:r>
        <w:rPr>
          <w:rFonts w:hint="eastAsia" w:ascii="宋体" w:hAnsi="宋体" w:eastAsia="宋体" w:cs="宋体"/>
          <w:color w:val="auto"/>
          <w:sz w:val="21"/>
          <w:szCs w:val="21"/>
          <w:u w:val="single"/>
        </w:rPr>
        <w:t>（填写“项目名称”） </w:t>
      </w:r>
      <w:r>
        <w:rPr>
          <w:rFonts w:hint="eastAsia" w:ascii="宋体" w:hAnsi="宋体" w:eastAsia="宋体" w:cs="宋体"/>
          <w:color w:val="auto"/>
          <w:sz w:val="21"/>
          <w:szCs w:val="21"/>
        </w:rPr>
        <w:t>项目（招标编号：</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）的投标。现就联合体参加本项目投标的有关事宜达成下列协议：</w:t>
      </w:r>
    </w:p>
    <w:p w14:paraId="599AAE8A">
      <w:pPr>
        <w:pStyle w:val="27"/>
        <w:widowControl/>
        <w:ind w:firstLine="420"/>
        <w:rPr>
          <w:color w:val="auto"/>
        </w:rPr>
      </w:pPr>
      <w:r>
        <w:rPr>
          <w:rFonts w:hint="eastAsia" w:ascii="宋体" w:hAnsi="宋体" w:eastAsia="宋体" w:cs="宋体"/>
          <w:color w:val="auto"/>
          <w:sz w:val="21"/>
          <w:szCs w:val="21"/>
        </w:rPr>
        <w:t>一、联合体各方应承担的工作和义务具体如下：</w:t>
      </w:r>
    </w:p>
    <w:p w14:paraId="7882DF79">
      <w:pPr>
        <w:pStyle w:val="27"/>
        <w:widowControl/>
        <w:ind w:firstLine="420"/>
        <w:rPr>
          <w:color w:val="auto"/>
        </w:rPr>
      </w:pPr>
      <w:r>
        <w:rPr>
          <w:rFonts w:hint="eastAsia" w:ascii="宋体" w:hAnsi="宋体" w:eastAsia="宋体" w:cs="宋体"/>
          <w:color w:val="auto"/>
          <w:sz w:val="21"/>
          <w:szCs w:val="21"/>
        </w:rPr>
        <w:t>1、牵头方（</w:t>
      </w:r>
      <w:r>
        <w:rPr>
          <w:rFonts w:hint="eastAsia" w:ascii="宋体" w:hAnsi="宋体" w:eastAsia="宋体" w:cs="宋体"/>
          <w:color w:val="auto"/>
          <w:sz w:val="21"/>
          <w:szCs w:val="21"/>
          <w:u w:val="single"/>
        </w:rPr>
        <w:t>全称</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（填写“工作及义务的具体内容”） </w:t>
      </w:r>
      <w:r>
        <w:rPr>
          <w:rFonts w:hint="eastAsia" w:ascii="宋体" w:hAnsi="宋体" w:eastAsia="宋体" w:cs="宋体"/>
          <w:color w:val="auto"/>
          <w:sz w:val="21"/>
          <w:szCs w:val="21"/>
        </w:rPr>
        <w:t>；</w:t>
      </w:r>
    </w:p>
    <w:p w14:paraId="3D762089">
      <w:pPr>
        <w:pStyle w:val="27"/>
        <w:widowControl/>
        <w:ind w:firstLine="420"/>
        <w:rPr>
          <w:color w:val="auto"/>
        </w:rPr>
      </w:pPr>
      <w:r>
        <w:rPr>
          <w:rFonts w:hint="eastAsia" w:ascii="宋体" w:hAnsi="宋体" w:eastAsia="宋体" w:cs="宋体"/>
          <w:color w:val="auto"/>
          <w:sz w:val="21"/>
          <w:szCs w:val="21"/>
        </w:rPr>
        <w:t>2、成员方：</w:t>
      </w:r>
    </w:p>
    <w:p w14:paraId="0ECEA0F2">
      <w:pPr>
        <w:pStyle w:val="27"/>
        <w:widowControl/>
        <w:ind w:firstLine="420"/>
        <w:rPr>
          <w:color w:val="auto"/>
        </w:rPr>
      </w:pPr>
      <w:r>
        <w:rPr>
          <w:rFonts w:hint="eastAsia" w:ascii="宋体" w:hAnsi="宋体" w:eastAsia="宋体" w:cs="宋体"/>
          <w:color w:val="auto"/>
          <w:sz w:val="21"/>
          <w:szCs w:val="21"/>
        </w:rPr>
        <w:t>2.1</w:t>
      </w:r>
      <w:r>
        <w:rPr>
          <w:rFonts w:hint="eastAsia" w:ascii="宋体" w:hAnsi="宋体" w:eastAsia="宋体" w:cs="宋体"/>
          <w:color w:val="auto"/>
          <w:sz w:val="21"/>
          <w:szCs w:val="21"/>
          <w:u w:val="single"/>
        </w:rPr>
        <w:t>（成员一的全称）</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（填写“工作及义务的具体内容”） </w:t>
      </w:r>
      <w:r>
        <w:rPr>
          <w:rFonts w:hint="eastAsia" w:ascii="宋体" w:hAnsi="宋体" w:eastAsia="宋体" w:cs="宋体"/>
          <w:color w:val="auto"/>
          <w:sz w:val="21"/>
          <w:szCs w:val="21"/>
        </w:rPr>
        <w:t>；</w:t>
      </w:r>
    </w:p>
    <w:p w14:paraId="0B3BBD15">
      <w:pPr>
        <w:pStyle w:val="27"/>
        <w:widowControl/>
        <w:ind w:firstLine="420"/>
        <w:rPr>
          <w:color w:val="auto"/>
        </w:rPr>
      </w:pPr>
      <w:r>
        <w:rPr>
          <w:rFonts w:ascii="Calibri" w:hAnsi="Calibri" w:cs="Calibri"/>
          <w:color w:val="auto"/>
          <w:sz w:val="21"/>
          <w:szCs w:val="21"/>
        </w:rPr>
        <w:t>……</w:t>
      </w:r>
      <w:r>
        <w:rPr>
          <w:rFonts w:hint="eastAsia" w:ascii="宋体" w:hAnsi="宋体" w:eastAsia="宋体" w:cs="宋体"/>
          <w:color w:val="auto"/>
          <w:sz w:val="21"/>
          <w:szCs w:val="21"/>
        </w:rPr>
        <w:t>。</w:t>
      </w:r>
    </w:p>
    <w:p w14:paraId="0845FDBB">
      <w:pPr>
        <w:pStyle w:val="27"/>
        <w:widowControl/>
        <w:ind w:firstLine="420"/>
        <w:rPr>
          <w:color w:val="auto"/>
        </w:rPr>
      </w:pPr>
      <w:r>
        <w:rPr>
          <w:rFonts w:hint="eastAsia" w:ascii="宋体" w:hAnsi="宋体" w:eastAsia="宋体" w:cs="宋体"/>
          <w:color w:val="auto"/>
          <w:sz w:val="21"/>
          <w:szCs w:val="21"/>
        </w:rPr>
        <w:t>二、联合体各方约定：</w:t>
      </w:r>
    </w:p>
    <w:p w14:paraId="1F580E7B">
      <w:pPr>
        <w:pStyle w:val="27"/>
        <w:widowControl/>
        <w:ind w:firstLine="420"/>
        <w:rPr>
          <w:color w:val="auto"/>
        </w:rPr>
      </w:pPr>
      <w:r>
        <w:rPr>
          <w:rFonts w:hint="eastAsia" w:ascii="宋体" w:hAnsi="宋体" w:eastAsia="宋体" w:cs="宋体"/>
          <w:color w:val="auto"/>
          <w:sz w:val="21"/>
          <w:szCs w:val="21"/>
        </w:rPr>
        <w:t>1、由</w:t>
      </w:r>
      <w:r>
        <w:rPr>
          <w:rFonts w:hint="eastAsia" w:ascii="宋体" w:hAnsi="宋体" w:eastAsia="宋体" w:cs="宋体"/>
          <w:color w:val="auto"/>
          <w:sz w:val="21"/>
          <w:szCs w:val="21"/>
          <w:u w:val="single"/>
        </w:rPr>
        <w:t>（填写“牵头方的全称”）</w:t>
      </w:r>
      <w:r>
        <w:rPr>
          <w:rFonts w:hint="eastAsia" w:ascii="宋体" w:hAnsi="宋体" w:eastAsia="宋体" w:cs="宋体"/>
          <w:color w:val="auto"/>
          <w:sz w:val="21"/>
          <w:szCs w:val="21"/>
        </w:rPr>
        <w:t>代表联合体办理参加本项目投标的有关事宜（包括但不限于：报名、派出投标人代表、提交投标文件及参加开标、谈判、澄清等），在此过程中，投标人代表签字的一切文件和处理结果，联合体均予以认可并对此承担责任。</w:t>
      </w:r>
    </w:p>
    <w:p w14:paraId="2774FD12">
      <w:pPr>
        <w:pStyle w:val="27"/>
        <w:widowControl/>
        <w:ind w:firstLine="420"/>
        <w:rPr>
          <w:color w:val="auto"/>
        </w:rPr>
      </w:pPr>
      <w:r>
        <w:rPr>
          <w:rFonts w:hint="eastAsia" w:ascii="宋体" w:hAnsi="宋体" w:eastAsia="宋体" w:cs="宋体"/>
          <w:color w:val="auto"/>
          <w:sz w:val="21"/>
          <w:szCs w:val="21"/>
        </w:rPr>
        <w:t>2、联合体各方约定由</w:t>
      </w:r>
      <w:r>
        <w:rPr>
          <w:rFonts w:hint="eastAsia" w:ascii="宋体" w:hAnsi="宋体" w:eastAsia="宋体" w:cs="宋体"/>
          <w:color w:val="auto"/>
          <w:sz w:val="21"/>
          <w:szCs w:val="21"/>
          <w:u w:val="single"/>
        </w:rPr>
        <w:t>（填写“牵头方的全称”）</w:t>
      </w:r>
      <w:r>
        <w:rPr>
          <w:rFonts w:hint="eastAsia" w:ascii="宋体" w:hAnsi="宋体" w:eastAsia="宋体" w:cs="宋体"/>
          <w:color w:val="auto"/>
          <w:sz w:val="21"/>
          <w:szCs w:val="21"/>
        </w:rPr>
        <w:t>代表联合体办理投标保证金事宜。</w:t>
      </w:r>
    </w:p>
    <w:p w14:paraId="6BB10439">
      <w:pPr>
        <w:pStyle w:val="27"/>
        <w:widowControl/>
        <w:rPr>
          <w:color w:val="auto"/>
        </w:rPr>
      </w:pPr>
      <w:r>
        <w:rPr>
          <w:rFonts w:hint="eastAsia" w:ascii="宋体" w:hAnsi="宋体" w:eastAsia="宋体" w:cs="宋体"/>
          <w:color w:val="auto"/>
          <w:sz w:val="21"/>
          <w:szCs w:val="21"/>
        </w:rPr>
        <w:t>  3、根据福建省财政厅文件（闽财购[2008]10号）的规定，若本项目采用综合评分法，则联合体只能确定由其中一方的条件参与商务部分的评标。因此，联合体各方约定以</w:t>
      </w:r>
      <w:r>
        <w:rPr>
          <w:rFonts w:hint="eastAsia" w:ascii="宋体" w:hAnsi="宋体" w:eastAsia="宋体" w:cs="宋体"/>
          <w:color w:val="auto"/>
          <w:sz w:val="21"/>
          <w:szCs w:val="21"/>
          <w:u w:val="single"/>
        </w:rPr>
        <w:t>（应填写“其中一方的全称”，如：联合体确定以成员一的条件参与商务部分的评标，则填写“成员一的全称”…；否则填写“无”）</w:t>
      </w:r>
      <w:r>
        <w:rPr>
          <w:rFonts w:hint="eastAsia" w:ascii="宋体" w:hAnsi="宋体" w:eastAsia="宋体" w:cs="宋体"/>
          <w:color w:val="auto"/>
          <w:sz w:val="21"/>
          <w:szCs w:val="21"/>
        </w:rPr>
        <w:t>的条件参与商务部分的评标。</w:t>
      </w:r>
    </w:p>
    <w:p w14:paraId="7A12FC16">
      <w:pPr>
        <w:pStyle w:val="27"/>
        <w:widowControl/>
        <w:ind w:firstLine="420"/>
        <w:rPr>
          <w:color w:val="auto"/>
        </w:rPr>
      </w:pPr>
      <w:r>
        <w:rPr>
          <w:rFonts w:hint="eastAsia" w:ascii="宋体" w:hAnsi="宋体" w:eastAsia="宋体" w:cs="宋体"/>
          <w:color w:val="auto"/>
          <w:sz w:val="21"/>
          <w:szCs w:val="21"/>
        </w:rPr>
        <w:t>三、若中标，牵头方将代表联合体与采购人就合同签订事宜进行协商；若协商一致，则联合体各方将共同与采购人签订政府采购合同，并就政府采购合同约定的事项对采购人承担连带责任。</w:t>
      </w:r>
    </w:p>
    <w:p w14:paraId="094327E6">
      <w:pPr>
        <w:pStyle w:val="27"/>
        <w:widowControl/>
        <w:ind w:firstLine="420"/>
        <w:rPr>
          <w:color w:val="auto"/>
        </w:rPr>
      </w:pPr>
      <w:r>
        <w:rPr>
          <w:rFonts w:hint="eastAsia" w:ascii="宋体" w:hAnsi="宋体" w:eastAsia="宋体" w:cs="宋体"/>
          <w:color w:val="auto"/>
          <w:sz w:val="21"/>
          <w:szCs w:val="21"/>
        </w:rPr>
        <w:t>四、本协议自签署之日起生效，政府采购合同履行完毕后自动失效。</w:t>
      </w:r>
    </w:p>
    <w:p w14:paraId="3290AA3B">
      <w:pPr>
        <w:pStyle w:val="27"/>
        <w:widowControl/>
        <w:ind w:firstLine="420"/>
        <w:rPr>
          <w:color w:val="auto"/>
        </w:rPr>
      </w:pPr>
      <w:r>
        <w:rPr>
          <w:rFonts w:hint="eastAsia" w:ascii="宋体" w:hAnsi="宋体" w:eastAsia="宋体" w:cs="宋体"/>
          <w:color w:val="auto"/>
          <w:sz w:val="21"/>
          <w:szCs w:val="21"/>
        </w:rPr>
        <w:t>五、本协议一式</w:t>
      </w:r>
      <w:r>
        <w:rPr>
          <w:rFonts w:hint="eastAsia" w:ascii="宋体" w:hAnsi="宋体" w:eastAsia="宋体" w:cs="宋体"/>
          <w:color w:val="auto"/>
          <w:sz w:val="21"/>
          <w:szCs w:val="21"/>
          <w:u w:val="single"/>
        </w:rPr>
        <w:t>（填写具体份数）</w:t>
      </w:r>
      <w:r>
        <w:rPr>
          <w:rFonts w:hint="eastAsia" w:ascii="宋体" w:hAnsi="宋体" w:eastAsia="宋体" w:cs="宋体"/>
          <w:color w:val="auto"/>
          <w:sz w:val="21"/>
          <w:szCs w:val="21"/>
        </w:rPr>
        <w:t>份，联合体各方各执一份，投标文件中提交一份。</w:t>
      </w:r>
    </w:p>
    <w:p w14:paraId="088230DE">
      <w:pPr>
        <w:pStyle w:val="27"/>
        <w:widowControl/>
        <w:jc w:val="center"/>
        <w:rPr>
          <w:color w:val="auto"/>
        </w:rPr>
      </w:pPr>
      <w:r>
        <w:rPr>
          <w:rFonts w:hint="eastAsia" w:ascii="宋体" w:hAnsi="宋体" w:eastAsia="宋体" w:cs="宋体"/>
          <w:color w:val="auto"/>
          <w:sz w:val="21"/>
          <w:szCs w:val="21"/>
        </w:rPr>
        <w:t>（以下无正文）</w:t>
      </w:r>
    </w:p>
    <w:p w14:paraId="178B796E">
      <w:pPr>
        <w:pStyle w:val="27"/>
        <w:widowControl/>
        <w:rPr>
          <w:color w:val="auto"/>
        </w:rPr>
      </w:pPr>
      <w:r>
        <w:rPr>
          <w:rFonts w:hint="eastAsia" w:ascii="宋体" w:hAnsi="宋体" w:eastAsia="宋体" w:cs="宋体"/>
          <w:color w:val="auto"/>
          <w:sz w:val="21"/>
          <w:szCs w:val="21"/>
        </w:rPr>
        <w:t> </w:t>
      </w:r>
    </w:p>
    <w:p w14:paraId="77744A24">
      <w:pPr>
        <w:pStyle w:val="27"/>
        <w:widowControl/>
        <w:rPr>
          <w:color w:val="auto"/>
        </w:rPr>
      </w:pPr>
      <w:r>
        <w:rPr>
          <w:rFonts w:hint="eastAsia" w:ascii="宋体" w:hAnsi="宋体" w:eastAsia="宋体" w:cs="宋体"/>
          <w:color w:val="auto"/>
          <w:sz w:val="21"/>
          <w:szCs w:val="21"/>
        </w:rPr>
        <w:t>牵头方：</w:t>
      </w:r>
      <w:r>
        <w:rPr>
          <w:rFonts w:hint="eastAsia" w:ascii="宋体" w:hAnsi="宋体" w:eastAsia="宋体" w:cs="宋体"/>
          <w:color w:val="auto"/>
          <w:sz w:val="21"/>
          <w:szCs w:val="21"/>
          <w:u w:val="single"/>
        </w:rPr>
        <w:t>（全称并加盖单位公章）</w:t>
      </w:r>
    </w:p>
    <w:p w14:paraId="38598B59">
      <w:pPr>
        <w:pStyle w:val="27"/>
        <w:widowControl/>
        <w:rPr>
          <w:color w:val="auto"/>
        </w:rPr>
      </w:pPr>
      <w:r>
        <w:rPr>
          <w:rFonts w:hint="eastAsia" w:ascii="宋体" w:hAnsi="宋体" w:eastAsia="宋体" w:cs="宋体"/>
          <w:color w:val="auto"/>
          <w:sz w:val="21"/>
          <w:szCs w:val="21"/>
        </w:rPr>
        <w:t>法定代表人或其委托代理人：</w:t>
      </w:r>
      <w:r>
        <w:rPr>
          <w:rFonts w:hint="eastAsia" w:ascii="宋体" w:hAnsi="宋体" w:eastAsia="宋体" w:cs="宋体"/>
          <w:color w:val="auto"/>
          <w:sz w:val="21"/>
          <w:szCs w:val="21"/>
          <w:u w:val="single"/>
        </w:rPr>
        <w:t>  （签字或盖章）  </w:t>
      </w:r>
    </w:p>
    <w:p w14:paraId="3EAB86FE">
      <w:pPr>
        <w:pStyle w:val="27"/>
        <w:widowControl/>
        <w:rPr>
          <w:color w:val="auto"/>
        </w:rPr>
      </w:pPr>
      <w:r>
        <w:rPr>
          <w:rFonts w:hint="eastAsia" w:ascii="宋体" w:hAnsi="宋体" w:eastAsia="宋体" w:cs="宋体"/>
          <w:color w:val="auto"/>
          <w:sz w:val="21"/>
          <w:szCs w:val="21"/>
        </w:rPr>
        <w:t> </w:t>
      </w:r>
    </w:p>
    <w:p w14:paraId="56467C9B">
      <w:pPr>
        <w:pStyle w:val="27"/>
        <w:widowControl/>
        <w:rPr>
          <w:color w:val="auto"/>
        </w:rPr>
      </w:pPr>
      <w:r>
        <w:rPr>
          <w:rFonts w:hint="eastAsia" w:ascii="宋体" w:hAnsi="宋体" w:eastAsia="宋体" w:cs="宋体"/>
          <w:color w:val="auto"/>
          <w:sz w:val="21"/>
          <w:szCs w:val="21"/>
        </w:rPr>
        <w:t>成员一：</w:t>
      </w:r>
      <w:r>
        <w:rPr>
          <w:rFonts w:hint="eastAsia" w:ascii="宋体" w:hAnsi="宋体" w:eastAsia="宋体" w:cs="宋体"/>
          <w:color w:val="auto"/>
          <w:sz w:val="21"/>
          <w:szCs w:val="21"/>
          <w:u w:val="single"/>
        </w:rPr>
        <w:t>（全称并加盖成员一的单位公章）</w:t>
      </w:r>
    </w:p>
    <w:p w14:paraId="65FA9A1C">
      <w:pPr>
        <w:pStyle w:val="27"/>
        <w:widowControl/>
        <w:rPr>
          <w:color w:val="auto"/>
        </w:rPr>
      </w:pPr>
      <w:r>
        <w:rPr>
          <w:rFonts w:hint="eastAsia" w:ascii="宋体" w:hAnsi="宋体" w:eastAsia="宋体" w:cs="宋体"/>
          <w:color w:val="auto"/>
          <w:sz w:val="21"/>
          <w:szCs w:val="21"/>
        </w:rPr>
        <w:t>法定代表人或其委托代理人：</w:t>
      </w:r>
      <w:r>
        <w:rPr>
          <w:rFonts w:hint="eastAsia" w:ascii="宋体" w:hAnsi="宋体" w:eastAsia="宋体" w:cs="宋体"/>
          <w:color w:val="auto"/>
          <w:sz w:val="21"/>
          <w:szCs w:val="21"/>
          <w:u w:val="single"/>
        </w:rPr>
        <w:t>  （签字或盖章）  </w:t>
      </w:r>
    </w:p>
    <w:p w14:paraId="256A0288">
      <w:pPr>
        <w:pStyle w:val="27"/>
        <w:widowControl/>
        <w:rPr>
          <w:color w:val="auto"/>
        </w:rPr>
      </w:pPr>
      <w:r>
        <w:rPr>
          <w:rFonts w:hint="eastAsia" w:ascii="宋体" w:hAnsi="宋体" w:eastAsia="宋体" w:cs="宋体"/>
          <w:color w:val="auto"/>
          <w:sz w:val="21"/>
          <w:szCs w:val="21"/>
        </w:rPr>
        <w:t>……</w:t>
      </w:r>
    </w:p>
    <w:p w14:paraId="064AF117">
      <w:pPr>
        <w:pStyle w:val="27"/>
        <w:widowControl/>
        <w:rPr>
          <w:color w:val="auto"/>
        </w:rPr>
      </w:pPr>
      <w:r>
        <w:rPr>
          <w:rFonts w:hint="eastAsia" w:ascii="宋体" w:hAnsi="宋体" w:eastAsia="宋体" w:cs="宋体"/>
          <w:color w:val="auto"/>
          <w:sz w:val="21"/>
          <w:szCs w:val="21"/>
        </w:rPr>
        <w:t> </w:t>
      </w:r>
    </w:p>
    <w:p w14:paraId="36499BBE">
      <w:pPr>
        <w:pStyle w:val="27"/>
        <w:widowControl/>
        <w:rPr>
          <w:color w:val="auto"/>
        </w:rPr>
      </w:pPr>
      <w:r>
        <w:rPr>
          <w:rFonts w:hint="eastAsia" w:ascii="宋体" w:hAnsi="宋体" w:eastAsia="宋体" w:cs="宋体"/>
          <w:color w:val="auto"/>
          <w:sz w:val="21"/>
          <w:szCs w:val="21"/>
        </w:rPr>
        <w:t>成员**：</w:t>
      </w:r>
      <w:r>
        <w:rPr>
          <w:rFonts w:hint="eastAsia" w:ascii="宋体" w:hAnsi="宋体" w:eastAsia="宋体" w:cs="宋体"/>
          <w:color w:val="auto"/>
          <w:sz w:val="21"/>
          <w:szCs w:val="21"/>
          <w:u w:val="single"/>
        </w:rPr>
        <w:t>（全称并加盖成员**的单位公章）</w:t>
      </w:r>
    </w:p>
    <w:p w14:paraId="32E34A5D">
      <w:pPr>
        <w:pStyle w:val="27"/>
        <w:widowControl/>
        <w:rPr>
          <w:color w:val="auto"/>
        </w:rPr>
      </w:pPr>
      <w:r>
        <w:rPr>
          <w:rFonts w:hint="eastAsia" w:ascii="宋体" w:hAnsi="宋体" w:eastAsia="宋体" w:cs="宋体"/>
          <w:color w:val="auto"/>
          <w:sz w:val="21"/>
          <w:szCs w:val="21"/>
        </w:rPr>
        <w:t>法定代表人或其委托代理人：</w:t>
      </w:r>
      <w:r>
        <w:rPr>
          <w:rFonts w:hint="eastAsia" w:ascii="宋体" w:hAnsi="宋体" w:eastAsia="宋体" w:cs="宋体"/>
          <w:color w:val="auto"/>
          <w:sz w:val="21"/>
          <w:szCs w:val="21"/>
          <w:u w:val="single"/>
        </w:rPr>
        <w:t>  （签字或盖章）  </w:t>
      </w:r>
    </w:p>
    <w:p w14:paraId="0134E151">
      <w:pPr>
        <w:pStyle w:val="27"/>
        <w:widowControl/>
        <w:rPr>
          <w:color w:val="auto"/>
        </w:rPr>
      </w:pPr>
      <w:r>
        <w:rPr>
          <w:rFonts w:hint="eastAsia" w:ascii="宋体" w:hAnsi="宋体" w:eastAsia="宋体" w:cs="宋体"/>
          <w:color w:val="auto"/>
          <w:sz w:val="21"/>
          <w:szCs w:val="21"/>
        </w:rPr>
        <w:t> </w:t>
      </w:r>
    </w:p>
    <w:p w14:paraId="5DCA7679">
      <w:pPr>
        <w:pStyle w:val="27"/>
        <w:widowControl/>
        <w:rPr>
          <w:color w:val="auto"/>
        </w:rPr>
      </w:pPr>
      <w:r>
        <w:rPr>
          <w:rFonts w:hint="eastAsia" w:ascii="宋体" w:hAnsi="宋体" w:eastAsia="宋体" w:cs="宋体"/>
          <w:color w:val="auto"/>
          <w:sz w:val="21"/>
          <w:szCs w:val="21"/>
        </w:rPr>
        <w:t> </w:t>
      </w:r>
    </w:p>
    <w:p w14:paraId="3E0D5DF2">
      <w:pPr>
        <w:pStyle w:val="27"/>
        <w:widowControl/>
        <w:jc w:val="right"/>
        <w:rPr>
          <w:color w:val="auto"/>
        </w:rPr>
      </w:pPr>
      <w:r>
        <w:rPr>
          <w:rFonts w:hint="eastAsia" w:ascii="宋体" w:hAnsi="宋体" w:eastAsia="宋体" w:cs="宋体"/>
          <w:color w:val="auto"/>
          <w:sz w:val="21"/>
          <w:szCs w:val="21"/>
        </w:rPr>
        <w:t>签署日期：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754B1B2B">
      <w:pPr>
        <w:pStyle w:val="27"/>
        <w:widowControl/>
        <w:rPr>
          <w:color w:val="auto"/>
        </w:rPr>
      </w:pPr>
      <w:r>
        <w:rPr>
          <w:rFonts w:hint="eastAsia" w:ascii="宋体" w:hAnsi="宋体" w:eastAsia="宋体" w:cs="宋体"/>
          <w:color w:val="auto"/>
          <w:sz w:val="21"/>
          <w:szCs w:val="21"/>
        </w:rPr>
        <w:t> </w:t>
      </w:r>
    </w:p>
    <w:p w14:paraId="5C2D2EAA">
      <w:pPr>
        <w:pStyle w:val="27"/>
        <w:widowControl/>
        <w:rPr>
          <w:color w:val="auto"/>
        </w:rPr>
      </w:pPr>
      <w:r>
        <w:rPr>
          <w:rFonts w:hint="eastAsia" w:ascii="宋体" w:hAnsi="宋体" w:eastAsia="宋体" w:cs="宋体"/>
          <w:color w:val="auto"/>
          <w:sz w:val="21"/>
          <w:szCs w:val="21"/>
        </w:rPr>
        <w:t>★注意：</w:t>
      </w:r>
    </w:p>
    <w:p w14:paraId="61C390F5">
      <w:pPr>
        <w:pStyle w:val="27"/>
        <w:widowControl/>
        <w:rPr>
          <w:color w:val="auto"/>
        </w:rPr>
      </w:pPr>
      <w:r>
        <w:rPr>
          <w:rFonts w:hint="eastAsia" w:ascii="宋体" w:hAnsi="宋体" w:eastAsia="宋体" w:cs="宋体"/>
          <w:color w:val="auto"/>
          <w:sz w:val="21"/>
          <w:szCs w:val="21"/>
        </w:rPr>
        <w:t>1、招标文件接受联合体投标且投标人为联合体的，投标人应提供本协议；否则无须提供。</w:t>
      </w:r>
    </w:p>
    <w:p w14:paraId="5013E505">
      <w:pPr>
        <w:pStyle w:val="27"/>
        <w:widowControl/>
        <w:rPr>
          <w:color w:val="auto"/>
        </w:rPr>
      </w:pPr>
      <w:r>
        <w:rPr>
          <w:rFonts w:hint="eastAsia" w:ascii="宋体" w:hAnsi="宋体" w:eastAsia="宋体" w:cs="宋体"/>
          <w:color w:val="auto"/>
          <w:sz w:val="21"/>
          <w:szCs w:val="21"/>
        </w:rPr>
        <w:t>2、本协议由委托代理人签字或盖章的，应按照本章载明的格式提供“单位负责人授权书”。</w:t>
      </w:r>
    </w:p>
    <w:p w14:paraId="64C88780">
      <w:pPr>
        <w:pStyle w:val="27"/>
        <w:widowControl/>
        <w:rPr>
          <w:color w:val="auto"/>
        </w:rPr>
      </w:pPr>
      <w:r>
        <w:rPr>
          <w:rFonts w:hint="eastAsia" w:ascii="宋体" w:hAnsi="宋体" w:eastAsia="宋体" w:cs="宋体"/>
          <w:color w:val="auto"/>
          <w:sz w:val="21"/>
          <w:szCs w:val="21"/>
        </w:rPr>
        <w:t>3、纸质投标文件正本中的本协议（若有）应为原件。</w:t>
      </w:r>
    </w:p>
    <w:p w14:paraId="41EC6E21">
      <w:pPr>
        <w:pStyle w:val="27"/>
        <w:widowControl/>
        <w:rPr>
          <w:color w:val="auto"/>
        </w:rPr>
      </w:pPr>
      <w:r>
        <w:rPr>
          <w:rFonts w:hint="eastAsia" w:ascii="宋体" w:hAnsi="宋体" w:eastAsia="宋体" w:cs="宋体"/>
          <w:color w:val="auto"/>
          <w:sz w:val="21"/>
          <w:szCs w:val="21"/>
        </w:rPr>
        <w:t> </w:t>
      </w:r>
    </w:p>
    <w:p w14:paraId="0D969712">
      <w:pPr>
        <w:pStyle w:val="27"/>
        <w:widowControl/>
        <w:rPr>
          <w:color w:val="auto"/>
        </w:rPr>
      </w:pPr>
      <w:r>
        <w:rPr>
          <w:rFonts w:hint="eastAsia" w:ascii="宋体" w:hAnsi="宋体" w:eastAsia="宋体" w:cs="宋体"/>
          <w:color w:val="auto"/>
          <w:sz w:val="21"/>
          <w:szCs w:val="21"/>
        </w:rPr>
        <w:t> </w:t>
      </w:r>
    </w:p>
    <w:p w14:paraId="435EC6F5">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508A9175">
      <w:pPr>
        <w:pStyle w:val="27"/>
        <w:widowControl/>
        <w:jc w:val="center"/>
        <w:outlineLvl w:val="2"/>
        <w:rPr>
          <w:color w:val="auto"/>
        </w:rPr>
      </w:pPr>
      <w:r>
        <w:rPr>
          <w:rStyle w:val="32"/>
          <w:rFonts w:hint="eastAsia" w:ascii="宋体" w:hAnsi="宋体" w:eastAsia="宋体" w:cs="宋体"/>
          <w:color w:val="auto"/>
          <w:sz w:val="21"/>
          <w:szCs w:val="21"/>
        </w:rPr>
        <w:t>二-11中小企业声明函</w:t>
      </w:r>
    </w:p>
    <w:p w14:paraId="340826FF">
      <w:pPr>
        <w:pStyle w:val="27"/>
        <w:widowControl/>
        <w:jc w:val="center"/>
        <w:rPr>
          <w:color w:val="auto"/>
        </w:rPr>
      </w:pPr>
      <w:r>
        <w:rPr>
          <w:rStyle w:val="32"/>
          <w:rFonts w:hint="eastAsia" w:ascii="宋体" w:hAnsi="宋体" w:eastAsia="宋体" w:cs="宋体"/>
          <w:color w:val="auto"/>
          <w:sz w:val="21"/>
          <w:szCs w:val="21"/>
        </w:rPr>
        <w:t>（专门面向中小企业或小型、微型企业适用，若有）</w:t>
      </w:r>
    </w:p>
    <w:p w14:paraId="451B4636">
      <w:pPr>
        <w:widowControl/>
        <w:spacing w:before="165"/>
        <w:rPr>
          <w:color w:val="auto"/>
        </w:rPr>
      </w:pPr>
      <w:r>
        <w:rPr>
          <w:rFonts w:hint="eastAsia" w:ascii="宋体" w:hAnsi="宋体" w:eastAsia="宋体" w:cs="宋体"/>
          <w:color w:val="auto"/>
          <w:szCs w:val="21"/>
        </w:rPr>
        <w:t> </w:t>
      </w:r>
    </w:p>
    <w:p w14:paraId="7453883E">
      <w:pPr>
        <w:pStyle w:val="27"/>
        <w:widowControl/>
        <w:spacing w:before="75" w:beforeAutospacing="0" w:after="75" w:afterAutospacing="0"/>
        <w:ind w:firstLine="420"/>
        <w:rPr>
          <w:color w:val="auto"/>
        </w:rPr>
      </w:pPr>
      <w:r>
        <w:rPr>
          <w:rFonts w:hint="eastAsia" w:ascii="宋体" w:hAnsi="宋体" w:eastAsia="宋体" w:cs="宋体"/>
          <w:color w:val="auto"/>
        </w:rPr>
        <w:t>                      </w:t>
      </w:r>
      <w:r>
        <w:rPr>
          <w:color w:val="auto"/>
        </w:rPr>
        <w:t>中小企业声明函（货物）</w:t>
      </w:r>
      <w:r>
        <w:rPr>
          <w:color w:val="auto"/>
        </w:rPr>
        <w:br w:type="textWrapping"/>
      </w:r>
      <w:r>
        <w:rPr>
          <w:color w:val="auto"/>
        </w:rPr>
        <w:t>     </w:t>
      </w:r>
      <w:r>
        <w:rPr>
          <w:rFonts w:hint="eastAsia" w:ascii="宋体" w:hAnsi="宋体" w:eastAsia="宋体" w:cs="宋体"/>
          <w:color w:val="auto"/>
          <w:sz w:val="21"/>
          <w:szCs w:val="21"/>
        </w:rPr>
        <w:t>  本公司（联合体）郑重声明，根据《政府采购促进中小企业发展管理办法》（财库﹝2020﹞46 号）的规定，本公司（联合体）参加</w:t>
      </w:r>
      <w:r>
        <w:rPr>
          <w:rFonts w:hint="eastAsia" w:ascii="宋体" w:hAnsi="宋体" w:eastAsia="宋体" w:cs="宋体"/>
          <w:color w:val="auto"/>
          <w:sz w:val="21"/>
          <w:szCs w:val="21"/>
          <w:u w:val="single"/>
        </w:rPr>
        <w:t>（单位名称）</w:t>
      </w:r>
      <w:r>
        <w:rPr>
          <w:rFonts w:hint="eastAsia" w:ascii="宋体" w:hAnsi="宋体" w:eastAsia="宋体" w:cs="宋体"/>
          <w:color w:val="auto"/>
          <w:sz w:val="21"/>
          <w:szCs w:val="21"/>
        </w:rPr>
        <w:t>的</w:t>
      </w:r>
      <w:r>
        <w:rPr>
          <w:rFonts w:hint="eastAsia" w:ascii="宋体" w:hAnsi="宋体" w:eastAsia="宋体" w:cs="宋体"/>
          <w:color w:val="auto"/>
          <w:sz w:val="21"/>
          <w:szCs w:val="21"/>
          <w:u w:val="single"/>
        </w:rPr>
        <w:t>（项目名称）</w:t>
      </w:r>
      <w:r>
        <w:rPr>
          <w:rFonts w:hint="eastAsia" w:ascii="宋体" w:hAnsi="宋体" w:eastAsia="宋体" w:cs="宋体"/>
          <w:color w:val="auto"/>
          <w:sz w:val="21"/>
          <w:szCs w:val="21"/>
        </w:rPr>
        <w:t>采购活动，提供的货物全部由符合政策要求的中小企业制造。相关企业（含联合体中的中小企业、签订分包意向协议的中小企业）的具体情况如下：</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1. </w:t>
      </w:r>
      <w:r>
        <w:rPr>
          <w:rFonts w:hint="eastAsia" w:ascii="宋体" w:hAnsi="宋体" w:eastAsia="宋体" w:cs="宋体"/>
          <w:color w:val="auto"/>
          <w:sz w:val="21"/>
          <w:szCs w:val="21"/>
          <w:u w:val="single"/>
        </w:rPr>
        <w:t> （标的名称） </w:t>
      </w:r>
      <w:r>
        <w:rPr>
          <w:rFonts w:hint="eastAsia" w:ascii="宋体" w:hAnsi="宋体" w:eastAsia="宋体" w:cs="宋体"/>
          <w:color w:val="auto"/>
          <w:sz w:val="21"/>
          <w:szCs w:val="21"/>
        </w:rPr>
        <w:t>，属于</w:t>
      </w:r>
      <w:r>
        <w:rPr>
          <w:rFonts w:hint="eastAsia" w:ascii="宋体" w:hAnsi="宋体" w:eastAsia="宋体" w:cs="宋体"/>
          <w:color w:val="auto"/>
          <w:sz w:val="21"/>
          <w:szCs w:val="21"/>
          <w:u w:val="single"/>
        </w:rPr>
        <w:t>（采购文件中明确的所属行业）行业</w:t>
      </w:r>
      <w:r>
        <w:rPr>
          <w:rFonts w:hint="eastAsia" w:ascii="宋体" w:hAnsi="宋体" w:eastAsia="宋体" w:cs="宋体"/>
          <w:color w:val="auto"/>
          <w:sz w:val="21"/>
          <w:szCs w:val="21"/>
        </w:rPr>
        <w:t>；制造商为</w:t>
      </w:r>
      <w:r>
        <w:rPr>
          <w:rFonts w:hint="eastAsia" w:ascii="宋体" w:hAnsi="宋体" w:eastAsia="宋体" w:cs="宋体"/>
          <w:color w:val="auto"/>
          <w:sz w:val="21"/>
          <w:szCs w:val="21"/>
          <w:u w:val="single"/>
        </w:rPr>
        <w:t>（企业名称）</w:t>
      </w:r>
      <w:r>
        <w:rPr>
          <w:rFonts w:hint="eastAsia" w:ascii="宋体" w:hAnsi="宋体" w:eastAsia="宋体" w:cs="宋体"/>
          <w:color w:val="auto"/>
          <w:sz w:val="21"/>
          <w:szCs w:val="21"/>
        </w:rPr>
        <w:t>，从业人员</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人，营业收入为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万元，资产总额为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万元</w:t>
      </w:r>
      <w:r>
        <w:rPr>
          <w:rFonts w:hint="eastAsia" w:ascii="宋体" w:hAnsi="宋体" w:eastAsia="宋体" w:cs="宋体"/>
          <w:color w:val="auto"/>
          <w:sz w:val="21"/>
          <w:szCs w:val="21"/>
          <w:vertAlign w:val="superscript"/>
        </w:rPr>
        <w:t>1</w:t>
      </w:r>
      <w:r>
        <w:rPr>
          <w:rFonts w:hint="eastAsia" w:ascii="宋体" w:hAnsi="宋体" w:eastAsia="宋体" w:cs="宋体"/>
          <w:color w:val="auto"/>
          <w:sz w:val="21"/>
          <w:szCs w:val="21"/>
        </w:rPr>
        <w:t>，属于</w:t>
      </w:r>
      <w:r>
        <w:rPr>
          <w:rFonts w:hint="eastAsia" w:ascii="宋体" w:hAnsi="宋体" w:eastAsia="宋体" w:cs="宋体"/>
          <w:color w:val="auto"/>
          <w:sz w:val="21"/>
          <w:szCs w:val="21"/>
          <w:u w:val="single"/>
        </w:rPr>
        <w:t>（中型企业、小型企业、微型企业）；</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2. </w:t>
      </w:r>
      <w:r>
        <w:rPr>
          <w:rFonts w:hint="eastAsia" w:ascii="宋体" w:hAnsi="宋体" w:eastAsia="宋体" w:cs="宋体"/>
          <w:color w:val="auto"/>
          <w:sz w:val="21"/>
          <w:szCs w:val="21"/>
          <w:u w:val="single"/>
        </w:rPr>
        <w:t> （标的名称） </w:t>
      </w:r>
      <w:r>
        <w:rPr>
          <w:rFonts w:hint="eastAsia" w:ascii="宋体" w:hAnsi="宋体" w:eastAsia="宋体" w:cs="宋体"/>
          <w:color w:val="auto"/>
          <w:sz w:val="21"/>
          <w:szCs w:val="21"/>
        </w:rPr>
        <w:t>，属于</w:t>
      </w:r>
      <w:r>
        <w:rPr>
          <w:rFonts w:hint="eastAsia" w:ascii="宋体" w:hAnsi="宋体" w:eastAsia="宋体" w:cs="宋体"/>
          <w:color w:val="auto"/>
          <w:sz w:val="21"/>
          <w:szCs w:val="21"/>
          <w:u w:val="single"/>
        </w:rPr>
        <w:t> （采购文件中明确的所属行业 ）行业；</w:t>
      </w:r>
      <w:r>
        <w:rPr>
          <w:rFonts w:hint="eastAsia" w:ascii="宋体" w:hAnsi="宋体" w:eastAsia="宋体" w:cs="宋体"/>
          <w:color w:val="auto"/>
          <w:sz w:val="21"/>
          <w:szCs w:val="21"/>
        </w:rPr>
        <w:t>制造商为</w:t>
      </w:r>
      <w:r>
        <w:rPr>
          <w:rFonts w:hint="eastAsia" w:ascii="宋体" w:hAnsi="宋体" w:eastAsia="宋体" w:cs="宋体"/>
          <w:color w:val="auto"/>
          <w:sz w:val="21"/>
          <w:szCs w:val="21"/>
          <w:u w:val="single"/>
        </w:rPr>
        <w:t>（企业名称），</w:t>
      </w:r>
      <w:r>
        <w:rPr>
          <w:rFonts w:hint="eastAsia" w:ascii="宋体" w:hAnsi="宋体" w:eastAsia="宋体" w:cs="宋体"/>
          <w:color w:val="auto"/>
          <w:sz w:val="21"/>
          <w:szCs w:val="21"/>
        </w:rPr>
        <w:t>从业人员</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人，营业收入为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万元，资产总额为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万元，属于</w:t>
      </w:r>
      <w:r>
        <w:rPr>
          <w:rFonts w:hint="eastAsia" w:ascii="宋体" w:hAnsi="宋体" w:eastAsia="宋体" w:cs="宋体"/>
          <w:color w:val="auto"/>
          <w:sz w:val="21"/>
          <w:szCs w:val="21"/>
          <w:u w:val="single"/>
        </w:rPr>
        <w:t>（中型企业、小型企业、微型企业）；</w:t>
      </w:r>
      <w:r>
        <w:rPr>
          <w:color w:val="auto"/>
        </w:rPr>
        <w:br w:type="textWrapping"/>
      </w:r>
      <w:r>
        <w:rPr>
          <w:color w:val="auto"/>
        </w:rPr>
        <w:t>  </w:t>
      </w:r>
      <w:r>
        <w:rPr>
          <w:color w:val="auto"/>
        </w:rPr>
        <w:br w:type="textWrapping"/>
      </w:r>
      <w:r>
        <w:rPr>
          <w:rFonts w:hint="eastAsia" w:ascii="宋体" w:hAnsi="宋体" w:eastAsia="宋体" w:cs="宋体"/>
          <w:color w:val="auto"/>
          <w:sz w:val="21"/>
          <w:szCs w:val="21"/>
        </w:rPr>
        <w:t>……</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以上企业，不属于大企业的分支机构，不存在控股股东为大企业的情形，也不存在与大企业的负责人为同一人的情形。</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本企业对上述声明内容的真实性负责。如有虚假，将依法承担相应责任。</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企业名称（盖章）：        </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日期：</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1从业人员、营业收入、资产总额填报上一年度数据，无上一年度数据的新成立企业可不填报。</w:t>
      </w:r>
      <w:r>
        <w:rPr>
          <w:color w:val="auto"/>
        </w:rPr>
        <w:br w:type="textWrapping"/>
      </w:r>
    </w:p>
    <w:p w14:paraId="172C0179">
      <w:pPr>
        <w:pStyle w:val="27"/>
        <w:widowControl/>
        <w:spacing w:before="75" w:beforeAutospacing="0" w:after="75" w:afterAutospacing="0"/>
        <w:ind w:firstLine="420"/>
        <w:rPr>
          <w:color w:val="auto"/>
        </w:rPr>
      </w:pPr>
      <w:r>
        <w:rPr>
          <w:color w:val="auto"/>
        </w:rPr>
        <w:br w:type="page"/>
      </w:r>
    </w:p>
    <w:p w14:paraId="15654AE2">
      <w:pPr>
        <w:pStyle w:val="27"/>
        <w:widowControl/>
        <w:spacing w:before="75" w:beforeAutospacing="0" w:after="75" w:afterAutospacing="0"/>
        <w:ind w:firstLine="420"/>
        <w:jc w:val="center"/>
        <w:rPr>
          <w:rFonts w:ascii="宋体" w:hAnsi="宋体" w:eastAsia="宋体" w:cs="宋体"/>
          <w:color w:val="auto"/>
        </w:rPr>
      </w:pPr>
      <w:r>
        <w:rPr>
          <w:rFonts w:hint="eastAsia" w:ascii="宋体" w:hAnsi="宋体" w:eastAsia="宋体" w:cs="宋体"/>
          <w:color w:val="auto"/>
        </w:rPr>
        <w:t>中小企业声明函（工程、服务）</w:t>
      </w:r>
    </w:p>
    <w:p w14:paraId="51B0EAB6">
      <w:pPr>
        <w:pStyle w:val="27"/>
        <w:widowControl/>
        <w:spacing w:before="75" w:beforeAutospacing="0" w:after="75" w:afterAutospacing="0"/>
        <w:ind w:firstLine="420"/>
        <w:jc w:val="center"/>
        <w:rPr>
          <w:color w:val="auto"/>
        </w:rPr>
      </w:pPr>
      <w:r>
        <w:rPr>
          <w:rFonts w:hint="eastAsia" w:ascii="宋体" w:hAnsi="宋体" w:eastAsia="宋体" w:cs="宋体"/>
          <w:color w:val="auto"/>
          <w:sz w:val="21"/>
          <w:szCs w:val="21"/>
        </w:rPr>
        <w:t>本公司（联合体）郑重声明，根据《政府采购促进中小企业发展管理办法》（财库﹝2020﹞46 号）的规定，本公司（联合体）参加</w:t>
      </w:r>
      <w:r>
        <w:rPr>
          <w:rFonts w:hint="eastAsia" w:ascii="宋体" w:hAnsi="宋体" w:eastAsia="宋体" w:cs="宋体"/>
          <w:color w:val="auto"/>
          <w:sz w:val="21"/>
          <w:szCs w:val="21"/>
          <w:u w:val="single"/>
        </w:rPr>
        <w:t>（单位名称）</w:t>
      </w:r>
      <w:r>
        <w:rPr>
          <w:rFonts w:hint="eastAsia" w:ascii="宋体" w:hAnsi="宋体" w:eastAsia="宋体" w:cs="宋体"/>
          <w:color w:val="auto"/>
          <w:sz w:val="21"/>
          <w:szCs w:val="21"/>
        </w:rPr>
        <w:t>的</w:t>
      </w:r>
      <w:r>
        <w:rPr>
          <w:rFonts w:hint="eastAsia" w:ascii="宋体" w:hAnsi="宋体" w:eastAsia="宋体" w:cs="宋体"/>
          <w:color w:val="auto"/>
          <w:sz w:val="21"/>
          <w:szCs w:val="21"/>
          <w:u w:val="single"/>
        </w:rPr>
        <w:t>（项目名称）</w:t>
      </w:r>
      <w:r>
        <w:rPr>
          <w:rFonts w:hint="eastAsia" w:ascii="宋体" w:hAnsi="宋体" w:eastAsia="宋体" w:cs="宋体"/>
          <w:color w:val="auto"/>
          <w:sz w:val="21"/>
          <w:szCs w:val="21"/>
        </w:rPr>
        <w:t>采购活动，工程的施工单位全部为符合政策要求的中小企业（或者：服务全部由符合政策要求的中小企业承接）。相关企业（含联合体中的中小企业、签订分包意向协议的中小企业）的具体情况如下：</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1. </w:t>
      </w:r>
      <w:r>
        <w:rPr>
          <w:rFonts w:hint="eastAsia" w:ascii="宋体" w:hAnsi="宋体" w:eastAsia="宋体" w:cs="宋体"/>
          <w:color w:val="auto"/>
          <w:sz w:val="21"/>
          <w:szCs w:val="21"/>
          <w:u w:val="single"/>
        </w:rPr>
        <w:t>（标的名称）</w:t>
      </w:r>
      <w:r>
        <w:rPr>
          <w:rFonts w:hint="eastAsia" w:ascii="宋体" w:hAnsi="宋体" w:eastAsia="宋体" w:cs="宋体"/>
          <w:color w:val="auto"/>
          <w:sz w:val="21"/>
          <w:szCs w:val="21"/>
        </w:rPr>
        <w:t>，属于</w:t>
      </w:r>
      <w:r>
        <w:rPr>
          <w:rFonts w:hint="eastAsia" w:ascii="宋体" w:hAnsi="宋体" w:eastAsia="宋体" w:cs="宋体"/>
          <w:color w:val="auto"/>
          <w:sz w:val="21"/>
          <w:szCs w:val="21"/>
          <w:u w:val="single"/>
        </w:rPr>
        <w:t>（采购文件中明确的所属行业）</w:t>
      </w:r>
      <w:r>
        <w:rPr>
          <w:rFonts w:hint="eastAsia" w:ascii="宋体" w:hAnsi="宋体" w:eastAsia="宋体" w:cs="宋体"/>
          <w:color w:val="auto"/>
          <w:sz w:val="21"/>
          <w:szCs w:val="21"/>
        </w:rPr>
        <w:t>；承建（承接）企业为</w:t>
      </w:r>
      <w:r>
        <w:rPr>
          <w:rFonts w:hint="eastAsia" w:ascii="宋体" w:hAnsi="宋体" w:eastAsia="宋体" w:cs="宋体"/>
          <w:color w:val="auto"/>
          <w:sz w:val="21"/>
          <w:szCs w:val="21"/>
          <w:u w:val="single"/>
        </w:rPr>
        <w:t>（企业名称）</w:t>
      </w:r>
      <w:r>
        <w:rPr>
          <w:rFonts w:hint="eastAsia" w:ascii="宋体" w:hAnsi="宋体" w:eastAsia="宋体" w:cs="宋体"/>
          <w:color w:val="auto"/>
          <w:sz w:val="21"/>
          <w:szCs w:val="21"/>
        </w:rPr>
        <w:t>，从业人员</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 </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人，营业收入为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万元，资产总额为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万元</w:t>
      </w:r>
      <w:r>
        <w:rPr>
          <w:rFonts w:hint="eastAsia" w:ascii="宋体" w:hAnsi="宋体" w:eastAsia="宋体" w:cs="宋体"/>
          <w:color w:val="auto"/>
          <w:sz w:val="21"/>
          <w:szCs w:val="21"/>
          <w:vertAlign w:val="superscript"/>
        </w:rPr>
        <w:t>1</w:t>
      </w:r>
      <w:r>
        <w:rPr>
          <w:rFonts w:hint="eastAsia" w:ascii="宋体" w:hAnsi="宋体" w:eastAsia="宋体" w:cs="宋体"/>
          <w:color w:val="auto"/>
          <w:sz w:val="21"/>
          <w:szCs w:val="21"/>
        </w:rPr>
        <w:t>，属于</w:t>
      </w:r>
      <w:r>
        <w:rPr>
          <w:rFonts w:hint="eastAsia" w:ascii="宋体" w:hAnsi="宋体" w:eastAsia="宋体" w:cs="宋体"/>
          <w:color w:val="auto"/>
          <w:sz w:val="21"/>
          <w:szCs w:val="21"/>
          <w:u w:val="single"/>
        </w:rPr>
        <w:t>（中型企业、小型企业、微型企业）；</w:t>
      </w:r>
    </w:p>
    <w:p w14:paraId="42DB0FCD">
      <w:pPr>
        <w:pStyle w:val="27"/>
        <w:widowControl/>
        <w:rPr>
          <w:rFonts w:ascii="宋体" w:hAnsi="宋体" w:eastAsia="宋体" w:cs="宋体"/>
          <w:color w:val="auto"/>
          <w:sz w:val="21"/>
          <w:szCs w:val="21"/>
        </w:rPr>
      </w:pPr>
      <w:r>
        <w:rPr>
          <w:rFonts w:hint="eastAsia" w:ascii="宋体" w:hAnsi="宋体" w:eastAsia="宋体" w:cs="宋体"/>
          <w:color w:val="auto"/>
          <w:sz w:val="21"/>
          <w:szCs w:val="21"/>
        </w:rPr>
        <w:t>        2. </w:t>
      </w:r>
      <w:r>
        <w:rPr>
          <w:rFonts w:hint="eastAsia" w:ascii="宋体" w:hAnsi="宋体" w:eastAsia="宋体" w:cs="宋体"/>
          <w:color w:val="auto"/>
          <w:sz w:val="21"/>
          <w:szCs w:val="21"/>
          <w:u w:val="single"/>
        </w:rPr>
        <w:t>（标的名称）</w:t>
      </w:r>
      <w:r>
        <w:rPr>
          <w:rFonts w:hint="eastAsia" w:ascii="宋体" w:hAnsi="宋体" w:eastAsia="宋体" w:cs="宋体"/>
          <w:color w:val="auto"/>
          <w:sz w:val="21"/>
          <w:szCs w:val="21"/>
        </w:rPr>
        <w:t>，属于</w:t>
      </w:r>
      <w:r>
        <w:rPr>
          <w:rFonts w:hint="eastAsia" w:ascii="宋体" w:hAnsi="宋体" w:eastAsia="宋体" w:cs="宋体"/>
          <w:color w:val="auto"/>
          <w:sz w:val="21"/>
          <w:szCs w:val="21"/>
          <w:u w:val="single"/>
        </w:rPr>
        <w:t>（采购文件中明确的所属行业）；</w:t>
      </w:r>
      <w:r>
        <w:rPr>
          <w:rFonts w:hint="eastAsia" w:ascii="宋体" w:hAnsi="宋体" w:eastAsia="宋体" w:cs="宋体"/>
          <w:color w:val="auto"/>
          <w:sz w:val="21"/>
          <w:szCs w:val="21"/>
        </w:rPr>
        <w:t>承建（承接）企业为</w:t>
      </w:r>
      <w:r>
        <w:rPr>
          <w:rFonts w:hint="eastAsia" w:ascii="宋体" w:hAnsi="宋体" w:eastAsia="宋体" w:cs="宋体"/>
          <w:color w:val="auto"/>
          <w:sz w:val="21"/>
          <w:szCs w:val="21"/>
          <w:u w:val="single"/>
        </w:rPr>
        <w:t>（企业名称）</w:t>
      </w:r>
      <w:r>
        <w:rPr>
          <w:rFonts w:hint="eastAsia" w:ascii="宋体" w:hAnsi="宋体" w:eastAsia="宋体" w:cs="宋体"/>
          <w:color w:val="auto"/>
          <w:sz w:val="21"/>
          <w:szCs w:val="21"/>
        </w:rPr>
        <w:t>，从业人员</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人，营业收入为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万元，资产总额为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万元，属于</w:t>
      </w:r>
      <w:r>
        <w:rPr>
          <w:rFonts w:hint="eastAsia" w:ascii="宋体" w:hAnsi="宋体" w:eastAsia="宋体" w:cs="宋体"/>
          <w:color w:val="auto"/>
          <w:sz w:val="21"/>
          <w:szCs w:val="21"/>
          <w:u w:val="single"/>
        </w:rPr>
        <w:t>（中型企业、小型企业、微型企业）；</w:t>
      </w:r>
      <w:r>
        <w:rPr>
          <w:rFonts w:hint="eastAsia" w:ascii="宋体" w:hAnsi="宋体" w:eastAsia="宋体" w:cs="宋体"/>
          <w:color w:val="auto"/>
          <w:sz w:val="21"/>
          <w:szCs w:val="21"/>
          <w:u w:val="single"/>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以上企业，不属于大企业的分支机构，不存在控股股东为大企业的情形，也不存在与大企业的负责人为同一人的情形。</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本企业对上述声明内容的真实性负责。如有虚假，将依法承担相应责任。</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企业名称（盖章）：         </w:t>
      </w:r>
    </w:p>
    <w:p w14:paraId="10A56C85">
      <w:pPr>
        <w:pStyle w:val="27"/>
        <w:widowControl/>
        <w:rPr>
          <w:color w:val="auto"/>
        </w:rPr>
      </w:pPr>
      <w:r>
        <w:rPr>
          <w:rFonts w:hint="eastAsia" w:ascii="宋体" w:hAnsi="宋体" w:eastAsia="宋体" w:cs="宋体"/>
          <w:color w:val="auto"/>
          <w:sz w:val="21"/>
          <w:szCs w:val="21"/>
        </w:rPr>
        <w:t>                            日期：</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1从业人员、营业收入、资产总额填报上一年度数据，无上一年度数据的新成立企业可不填报。</w:t>
      </w:r>
    </w:p>
    <w:p w14:paraId="38CB0859">
      <w:pPr>
        <w:widowControl/>
        <w:spacing w:before="165"/>
        <w:rPr>
          <w:color w:val="auto"/>
        </w:rPr>
      </w:pPr>
      <w:r>
        <w:rPr>
          <w:rFonts w:hint="eastAsia" w:ascii="宋体" w:hAnsi="宋体" w:eastAsia="宋体" w:cs="宋体"/>
          <w:color w:val="auto"/>
          <w:szCs w:val="21"/>
        </w:rPr>
        <w:t>               </w:t>
      </w:r>
    </w:p>
    <w:p w14:paraId="523581C5">
      <w:pPr>
        <w:pStyle w:val="27"/>
        <w:widowControl/>
        <w:ind w:firstLine="420"/>
        <w:rPr>
          <w:color w:val="auto"/>
        </w:rPr>
      </w:pPr>
      <w:r>
        <w:rPr>
          <w:color w:val="auto"/>
        </w:rPr>
        <w:br w:type="page"/>
      </w:r>
    </w:p>
    <w:p w14:paraId="049F18E5">
      <w:pPr>
        <w:pStyle w:val="27"/>
        <w:widowControl/>
        <w:rPr>
          <w:color w:val="auto"/>
        </w:rPr>
      </w:pPr>
      <w:r>
        <w:rPr>
          <w:rFonts w:hint="eastAsia" w:ascii="宋体" w:hAnsi="宋体" w:eastAsia="宋体" w:cs="宋体"/>
          <w:color w:val="auto"/>
          <w:sz w:val="21"/>
          <w:szCs w:val="21"/>
        </w:rPr>
        <w:t>附：</w:t>
      </w:r>
    </w:p>
    <w:p w14:paraId="3CCDA0D3">
      <w:pPr>
        <w:pStyle w:val="27"/>
        <w:widowControl/>
        <w:jc w:val="center"/>
        <w:rPr>
          <w:color w:val="auto"/>
        </w:rPr>
      </w:pPr>
      <w:r>
        <w:rPr>
          <w:rStyle w:val="32"/>
          <w:rFonts w:hint="eastAsia" w:ascii="宋体" w:hAnsi="宋体" w:eastAsia="宋体" w:cs="宋体"/>
          <w:color w:val="auto"/>
          <w:sz w:val="21"/>
          <w:szCs w:val="21"/>
        </w:rPr>
        <w:t>残疾人福利性单位声明函</w:t>
      </w:r>
    </w:p>
    <w:p w14:paraId="54881CAB">
      <w:pPr>
        <w:pStyle w:val="27"/>
        <w:widowControl/>
        <w:jc w:val="center"/>
        <w:rPr>
          <w:color w:val="auto"/>
        </w:rPr>
      </w:pPr>
      <w:r>
        <w:rPr>
          <w:rStyle w:val="32"/>
          <w:rFonts w:hint="eastAsia" w:ascii="宋体" w:hAnsi="宋体" w:eastAsia="宋体" w:cs="宋体"/>
          <w:color w:val="auto"/>
          <w:sz w:val="21"/>
          <w:szCs w:val="21"/>
        </w:rPr>
        <w:t>（专门面向中小企业或小型、微型企业适用，若有）</w:t>
      </w:r>
    </w:p>
    <w:p w14:paraId="1257356B">
      <w:pPr>
        <w:pStyle w:val="27"/>
        <w:widowControl/>
        <w:rPr>
          <w:color w:val="auto"/>
        </w:rPr>
      </w:pPr>
      <w:r>
        <w:rPr>
          <w:rStyle w:val="32"/>
          <w:rFonts w:hint="eastAsia" w:ascii="宋体" w:hAnsi="宋体" w:eastAsia="宋体" w:cs="宋体"/>
          <w:color w:val="auto"/>
          <w:sz w:val="21"/>
          <w:szCs w:val="21"/>
        </w:rPr>
        <w:t> </w:t>
      </w:r>
    </w:p>
    <w:p w14:paraId="0511D98F">
      <w:pPr>
        <w:pStyle w:val="27"/>
        <w:widowControl/>
        <w:spacing w:before="75" w:beforeAutospacing="0" w:after="75" w:afterAutospacing="0"/>
        <w:ind w:firstLine="420"/>
        <w:rPr>
          <w:color w:val="auto"/>
        </w:rPr>
      </w:pPr>
      <w:r>
        <w:rPr>
          <w:rFonts w:hint="eastAsia" w:ascii="宋体" w:hAnsi="宋体" w:eastAsia="宋体" w:cs="宋体"/>
          <w:color w:val="auto"/>
          <w:sz w:val="21"/>
          <w:szCs w:val="21"/>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eastAsia="宋体" w:cs="宋体"/>
          <w:color w:val="auto"/>
          <w:sz w:val="21"/>
          <w:szCs w:val="21"/>
          <w:u w:val="single"/>
        </w:rPr>
        <w:t>（填写“项目名称”）</w:t>
      </w:r>
      <w:r>
        <w:rPr>
          <w:rFonts w:hint="eastAsia" w:ascii="宋体" w:hAnsi="宋体" w:eastAsia="宋体" w:cs="宋体"/>
          <w:color w:val="auto"/>
          <w:sz w:val="21"/>
          <w:szCs w:val="21"/>
        </w:rPr>
        <w:t>项目采购活动：</w:t>
      </w:r>
    </w:p>
    <w:p w14:paraId="688EB120">
      <w:pPr>
        <w:pStyle w:val="27"/>
        <w:widowControl/>
        <w:spacing w:before="75" w:beforeAutospacing="0" w:after="75" w:afterAutospacing="0"/>
        <w:ind w:firstLine="420"/>
        <w:rPr>
          <w:color w:val="auto"/>
        </w:rPr>
      </w:pPr>
      <w:r>
        <w:rPr>
          <w:rFonts w:hint="eastAsia" w:ascii="宋体" w:hAnsi="宋体" w:eastAsia="宋体" w:cs="宋体"/>
          <w:color w:val="auto"/>
          <w:sz w:val="21"/>
          <w:szCs w:val="21"/>
        </w:rPr>
        <w:t>（ ）提供本投标人制造的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货物，或提供其他残疾人福利性单位制造的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货物（不包括使用非残疾人福利性单位注册商标的货物）。（说明：只有部分货物由残疾人福利企业制造的，在该货物后标</w:t>
      </w:r>
      <w:r>
        <w:rPr>
          <w:rFonts w:ascii="Segoe UI Symbol" w:hAnsi="Segoe UI Symbol" w:eastAsia="Segoe UI Symbol" w:cs="Segoe UI Symbol"/>
          <w:color w:val="auto"/>
          <w:sz w:val="19"/>
          <w:szCs w:val="19"/>
          <w:shd w:val="clear" w:color="auto" w:fill="FFFFFF"/>
        </w:rPr>
        <w:t>★</w:t>
      </w:r>
      <w:r>
        <w:rPr>
          <w:rFonts w:hint="eastAsia" w:ascii="宋体" w:hAnsi="宋体" w:eastAsia="宋体" w:cs="宋体"/>
          <w:color w:val="auto"/>
          <w:sz w:val="21"/>
          <w:szCs w:val="21"/>
        </w:rPr>
        <w:t>）</w:t>
      </w:r>
    </w:p>
    <w:p w14:paraId="604DE1CC">
      <w:pPr>
        <w:pStyle w:val="27"/>
        <w:widowControl/>
        <w:spacing w:before="75" w:beforeAutospacing="0" w:after="75" w:afterAutospacing="0"/>
        <w:ind w:firstLine="420"/>
        <w:rPr>
          <w:color w:val="auto"/>
        </w:rPr>
      </w:pPr>
      <w:r>
        <w:rPr>
          <w:rFonts w:hint="eastAsia" w:ascii="宋体" w:hAnsi="宋体" w:eastAsia="宋体" w:cs="宋体"/>
          <w:color w:val="auto"/>
          <w:sz w:val="21"/>
          <w:szCs w:val="21"/>
        </w:rPr>
        <w:t>（ ）由本投标人承建的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工程</w:t>
      </w:r>
    </w:p>
    <w:p w14:paraId="01B84B12">
      <w:pPr>
        <w:pStyle w:val="27"/>
        <w:widowControl/>
        <w:spacing w:before="75" w:beforeAutospacing="0" w:after="75" w:afterAutospacing="0"/>
        <w:ind w:firstLine="420"/>
        <w:rPr>
          <w:color w:val="auto"/>
        </w:rPr>
      </w:pPr>
      <w:r>
        <w:rPr>
          <w:rFonts w:hint="eastAsia" w:ascii="宋体" w:hAnsi="宋体" w:eastAsia="宋体" w:cs="宋体"/>
          <w:color w:val="auto"/>
          <w:sz w:val="21"/>
          <w:szCs w:val="21"/>
        </w:rPr>
        <w:t>（ ）由本投标人承接的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服务；</w:t>
      </w:r>
    </w:p>
    <w:p w14:paraId="2F1C5A5B">
      <w:pPr>
        <w:pStyle w:val="27"/>
        <w:widowControl/>
        <w:spacing w:before="75" w:beforeAutospacing="0" w:after="75" w:afterAutospacing="0"/>
        <w:ind w:firstLine="420"/>
        <w:rPr>
          <w:color w:val="auto"/>
        </w:rPr>
      </w:pPr>
      <w:r>
        <w:rPr>
          <w:rFonts w:hint="eastAsia" w:ascii="宋体" w:hAnsi="宋体" w:eastAsia="宋体" w:cs="宋体"/>
          <w:color w:val="auto"/>
          <w:sz w:val="21"/>
          <w:szCs w:val="21"/>
        </w:rPr>
        <w:t>本投标人对上述声明的真实性负责。如有虚假，将依法承担相应责任。</w:t>
      </w:r>
    </w:p>
    <w:p w14:paraId="71CA86EE">
      <w:pPr>
        <w:pStyle w:val="27"/>
        <w:widowControl/>
        <w:spacing w:before="75" w:beforeAutospacing="0" w:after="75" w:afterAutospacing="0"/>
        <w:ind w:firstLine="420"/>
        <w:rPr>
          <w:color w:val="auto"/>
        </w:rPr>
      </w:pPr>
      <w:r>
        <w:rPr>
          <w:rFonts w:ascii="Calibri" w:hAnsi="Calibri" w:cs="Calibri"/>
          <w:color w:val="auto"/>
          <w:sz w:val="21"/>
          <w:szCs w:val="21"/>
        </w:rPr>
        <w:t> </w:t>
      </w:r>
    </w:p>
    <w:p w14:paraId="02630A3B">
      <w:pPr>
        <w:pStyle w:val="27"/>
        <w:widowControl/>
        <w:spacing w:before="75" w:beforeAutospacing="0" w:after="75" w:afterAutospacing="0"/>
        <w:rPr>
          <w:color w:val="auto"/>
        </w:rPr>
      </w:pPr>
      <w:r>
        <w:rPr>
          <w:rFonts w:hint="eastAsia" w:ascii="宋体" w:hAnsi="宋体" w:eastAsia="宋体" w:cs="宋体"/>
          <w:color w:val="auto"/>
          <w:sz w:val="21"/>
          <w:szCs w:val="21"/>
        </w:rPr>
        <w:t>备注：</w:t>
      </w:r>
    </w:p>
    <w:p w14:paraId="37564642">
      <w:pPr>
        <w:pStyle w:val="27"/>
        <w:widowControl/>
        <w:spacing w:before="75" w:beforeAutospacing="0" w:after="75" w:afterAutospacing="0"/>
        <w:rPr>
          <w:color w:val="auto"/>
        </w:rPr>
      </w:pPr>
      <w:r>
        <w:rPr>
          <w:rFonts w:hint="eastAsia" w:ascii="宋体" w:hAnsi="宋体" w:eastAsia="宋体" w:cs="宋体"/>
          <w:color w:val="auto"/>
          <w:sz w:val="21"/>
          <w:szCs w:val="21"/>
        </w:rPr>
        <w:t>1、请投标人按照实际情况编制填写本声明函，并在相应的（）中打“√”。</w:t>
      </w:r>
    </w:p>
    <w:p w14:paraId="611EFBEA">
      <w:pPr>
        <w:pStyle w:val="27"/>
        <w:widowControl/>
        <w:spacing w:before="75" w:beforeAutospacing="0" w:after="75" w:afterAutospacing="0"/>
        <w:rPr>
          <w:color w:val="auto"/>
        </w:rPr>
      </w:pPr>
      <w:r>
        <w:rPr>
          <w:rFonts w:hint="eastAsia" w:ascii="宋体" w:hAnsi="宋体" w:eastAsia="宋体" w:cs="宋体"/>
          <w:color w:val="auto"/>
          <w:sz w:val="21"/>
          <w:szCs w:val="21"/>
        </w:rPr>
        <w:t>2、纸质投标文件正本中的本声明函（若有）应为原件。</w:t>
      </w:r>
    </w:p>
    <w:p w14:paraId="79B037D7">
      <w:pPr>
        <w:pStyle w:val="27"/>
        <w:widowControl/>
        <w:spacing w:before="75" w:beforeAutospacing="0" w:after="75" w:afterAutospacing="0"/>
        <w:rPr>
          <w:color w:val="auto"/>
        </w:rPr>
      </w:pPr>
      <w:r>
        <w:rPr>
          <w:rFonts w:hint="eastAsia" w:ascii="宋体" w:hAnsi="宋体" w:eastAsia="宋体" w:cs="宋体"/>
          <w:color w:val="auto"/>
          <w:sz w:val="21"/>
          <w:szCs w:val="21"/>
        </w:rPr>
        <w:t>3、若《残疾人福利性单位声明函》内容不真实，</w:t>
      </w:r>
      <w:r>
        <w:rPr>
          <w:rStyle w:val="32"/>
          <w:rFonts w:hint="eastAsia" w:ascii="宋体" w:hAnsi="宋体" w:eastAsia="宋体" w:cs="宋体"/>
          <w:color w:val="auto"/>
          <w:sz w:val="21"/>
          <w:szCs w:val="21"/>
        </w:rPr>
        <w:t>视为提供虚假材料。</w:t>
      </w:r>
    </w:p>
    <w:p w14:paraId="7607E952">
      <w:pPr>
        <w:pStyle w:val="27"/>
        <w:widowControl/>
        <w:spacing w:before="75" w:beforeAutospacing="0" w:after="75" w:afterAutospacing="0"/>
        <w:rPr>
          <w:color w:val="auto"/>
        </w:rPr>
      </w:pPr>
      <w:r>
        <w:rPr>
          <w:rFonts w:hint="eastAsia" w:ascii="宋体" w:hAnsi="宋体" w:eastAsia="宋体" w:cs="宋体"/>
          <w:color w:val="auto"/>
          <w:sz w:val="21"/>
          <w:szCs w:val="21"/>
        </w:rPr>
        <w:t> </w:t>
      </w:r>
    </w:p>
    <w:p w14:paraId="35CCB296">
      <w:pPr>
        <w:pStyle w:val="27"/>
        <w:widowControl/>
        <w:spacing w:before="75" w:beforeAutospacing="0" w:after="75" w:afterAutospacing="0"/>
        <w:rPr>
          <w:color w:val="auto"/>
        </w:rPr>
      </w:pPr>
      <w:r>
        <w:rPr>
          <w:rFonts w:ascii="Calibri" w:hAnsi="Calibri" w:cs="Calibri"/>
          <w:color w:val="auto"/>
          <w:sz w:val="21"/>
          <w:szCs w:val="21"/>
        </w:rPr>
        <w:t> </w:t>
      </w:r>
    </w:p>
    <w:p w14:paraId="6E2CE599">
      <w:pPr>
        <w:pStyle w:val="27"/>
        <w:widowControl/>
        <w:spacing w:before="75" w:beforeAutospacing="0" w:after="75" w:afterAutospacing="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376D0A8C">
      <w:pPr>
        <w:pStyle w:val="27"/>
        <w:widowControl/>
        <w:spacing w:before="75" w:beforeAutospacing="0" w:after="75" w:afterAutospacing="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7CDAF1DD">
      <w:pPr>
        <w:pStyle w:val="27"/>
        <w:widowControl/>
        <w:spacing w:before="75" w:beforeAutospacing="0" w:after="75" w:afterAutospacing="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2559E096">
      <w:pPr>
        <w:pStyle w:val="27"/>
        <w:widowControl/>
        <w:ind w:firstLine="420"/>
        <w:rPr>
          <w:color w:val="auto"/>
        </w:rPr>
      </w:pPr>
    </w:p>
    <w:p w14:paraId="3E4A94D5">
      <w:pPr>
        <w:pStyle w:val="27"/>
        <w:widowControl/>
        <w:rPr>
          <w:color w:val="auto"/>
        </w:rPr>
      </w:pPr>
      <w:r>
        <w:rPr>
          <w:rFonts w:hint="eastAsia" w:ascii="宋体" w:hAnsi="宋体" w:eastAsia="宋体" w:cs="宋体"/>
          <w:color w:val="auto"/>
          <w:sz w:val="21"/>
          <w:szCs w:val="21"/>
        </w:rPr>
        <w:t> </w:t>
      </w:r>
    </w:p>
    <w:p w14:paraId="5E53112C">
      <w:pPr>
        <w:pStyle w:val="27"/>
        <w:widowControl/>
        <w:rPr>
          <w:color w:val="auto"/>
        </w:rPr>
      </w:pPr>
      <w:r>
        <w:rPr>
          <w:rFonts w:hint="eastAsia" w:ascii="宋体" w:hAnsi="宋体" w:eastAsia="宋体" w:cs="宋体"/>
          <w:color w:val="auto"/>
          <w:sz w:val="21"/>
          <w:szCs w:val="21"/>
        </w:rPr>
        <w:t> </w:t>
      </w:r>
    </w:p>
    <w:p w14:paraId="3977FC58">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17F48E9E">
      <w:pPr>
        <w:pStyle w:val="27"/>
        <w:widowControl/>
        <w:jc w:val="center"/>
        <w:outlineLvl w:val="2"/>
        <w:rPr>
          <w:color w:val="auto"/>
        </w:rPr>
      </w:pPr>
      <w:r>
        <w:rPr>
          <w:rStyle w:val="32"/>
          <w:rFonts w:hint="eastAsia" w:ascii="宋体" w:hAnsi="宋体" w:eastAsia="宋体" w:cs="宋体"/>
          <w:color w:val="auto"/>
          <w:sz w:val="21"/>
          <w:szCs w:val="21"/>
        </w:rPr>
        <w:t>二-12其他资格证明文件（若有）</w:t>
      </w:r>
    </w:p>
    <w:p w14:paraId="4F0E93BB">
      <w:pPr>
        <w:pStyle w:val="27"/>
        <w:widowControl/>
        <w:jc w:val="center"/>
        <w:rPr>
          <w:color w:val="auto"/>
        </w:rPr>
      </w:pPr>
      <w:r>
        <w:rPr>
          <w:rFonts w:hint="eastAsia" w:ascii="宋体" w:hAnsi="宋体" w:eastAsia="宋体" w:cs="宋体"/>
          <w:color w:val="auto"/>
          <w:sz w:val="21"/>
          <w:szCs w:val="21"/>
        </w:rPr>
        <w:t> </w:t>
      </w:r>
    </w:p>
    <w:p w14:paraId="117767A1">
      <w:pPr>
        <w:pStyle w:val="27"/>
        <w:widowControl/>
        <w:jc w:val="center"/>
        <w:rPr>
          <w:color w:val="auto"/>
        </w:rPr>
      </w:pPr>
      <w:r>
        <w:rPr>
          <w:rFonts w:hint="eastAsia" w:ascii="宋体" w:hAnsi="宋体" w:eastAsia="宋体" w:cs="宋体"/>
          <w:color w:val="auto"/>
          <w:sz w:val="21"/>
          <w:szCs w:val="21"/>
        </w:rPr>
        <w:t>二</w:t>
      </w:r>
      <w:r>
        <w:rPr>
          <w:rStyle w:val="32"/>
          <w:rFonts w:hint="eastAsia" w:ascii="宋体" w:hAnsi="宋体" w:eastAsia="宋体" w:cs="宋体"/>
          <w:color w:val="auto"/>
          <w:sz w:val="21"/>
          <w:szCs w:val="21"/>
        </w:rPr>
        <w:t>-12-①具备履行合同所必需设备和专业技术能力专项证明材料（若有）</w:t>
      </w:r>
    </w:p>
    <w:p w14:paraId="2922F8E5">
      <w:pPr>
        <w:pStyle w:val="27"/>
        <w:widowControl/>
        <w:rPr>
          <w:color w:val="auto"/>
        </w:rPr>
      </w:pPr>
      <w:r>
        <w:rPr>
          <w:rFonts w:hint="eastAsia" w:ascii="宋体" w:hAnsi="宋体" w:eastAsia="宋体" w:cs="宋体"/>
          <w:color w:val="auto"/>
          <w:sz w:val="21"/>
          <w:szCs w:val="21"/>
        </w:rPr>
        <w:t> </w:t>
      </w:r>
    </w:p>
    <w:p w14:paraId="4F2EC6B5">
      <w:pPr>
        <w:pStyle w:val="27"/>
        <w:widowControl/>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14:paraId="04F3A919">
      <w:pPr>
        <w:pStyle w:val="27"/>
        <w:widowControl/>
        <w:ind w:firstLine="420"/>
        <w:rPr>
          <w:color w:val="auto"/>
        </w:rPr>
      </w:pPr>
      <w:r>
        <w:rPr>
          <w:rFonts w:hint="eastAsia" w:ascii="宋体" w:hAnsi="宋体" w:eastAsia="宋体" w:cs="宋体"/>
          <w:color w:val="auto"/>
          <w:sz w:val="21"/>
          <w:szCs w:val="21"/>
        </w:rPr>
        <w:t>现附上我方具备履行合同所必需的设备和专业技术能力的专项证明材料复印件（具体附后），上述证明材料真实有效，否则我方负全部责任。</w:t>
      </w:r>
    </w:p>
    <w:p w14:paraId="08CCD376">
      <w:pPr>
        <w:pStyle w:val="27"/>
        <w:widowControl/>
        <w:rPr>
          <w:color w:val="auto"/>
        </w:rPr>
      </w:pPr>
      <w:r>
        <w:rPr>
          <w:rFonts w:ascii="Calibri" w:hAnsi="Calibri" w:cs="Calibri"/>
          <w:color w:val="auto"/>
          <w:sz w:val="21"/>
          <w:szCs w:val="21"/>
        </w:rPr>
        <w:t> </w:t>
      </w:r>
    </w:p>
    <w:p w14:paraId="370AC8CC">
      <w:pPr>
        <w:pStyle w:val="27"/>
        <w:widowControl/>
        <w:rPr>
          <w:color w:val="auto"/>
        </w:rPr>
      </w:pPr>
      <w:r>
        <w:rPr>
          <w:rFonts w:hint="eastAsia" w:ascii="宋体" w:hAnsi="宋体" w:eastAsia="宋体" w:cs="宋体"/>
          <w:color w:val="auto"/>
          <w:sz w:val="21"/>
          <w:szCs w:val="21"/>
        </w:rPr>
        <w:t>★注意：</w:t>
      </w:r>
    </w:p>
    <w:p w14:paraId="42E02094">
      <w:pPr>
        <w:pStyle w:val="27"/>
        <w:widowControl/>
        <w:rPr>
          <w:color w:val="auto"/>
        </w:rPr>
      </w:pPr>
      <w:r>
        <w:rPr>
          <w:rFonts w:hint="eastAsia" w:ascii="宋体" w:hAnsi="宋体" w:eastAsia="宋体" w:cs="宋体"/>
          <w:color w:val="auto"/>
          <w:sz w:val="21"/>
          <w:szCs w:val="21"/>
        </w:rPr>
        <w:t>1、招标文件要求投标人提供“具备履行合同所必需的设备和专业技术能力专项证明材料”的，投标人应按照招标文件规定在此项下提供相应证明材料复印件。</w:t>
      </w:r>
    </w:p>
    <w:p w14:paraId="6E83E9DD">
      <w:pPr>
        <w:pStyle w:val="27"/>
        <w:widowControl/>
        <w:rPr>
          <w:color w:val="auto"/>
        </w:rPr>
      </w:pPr>
      <w:r>
        <w:rPr>
          <w:rFonts w:hint="eastAsia" w:ascii="宋体" w:hAnsi="宋体" w:eastAsia="宋体" w:cs="宋体"/>
          <w:color w:val="auto"/>
          <w:sz w:val="21"/>
          <w:szCs w:val="21"/>
        </w:rPr>
        <w:t>2、投标人提供的相应证明材料复印件均应符合：内容完整、清晰、整洁，并由投标人加盖其单位公章。</w:t>
      </w:r>
    </w:p>
    <w:p w14:paraId="28F4154B">
      <w:pPr>
        <w:pStyle w:val="27"/>
        <w:widowControl/>
        <w:rPr>
          <w:color w:val="auto"/>
        </w:rPr>
      </w:pPr>
      <w:r>
        <w:rPr>
          <w:rFonts w:ascii="Calibri" w:hAnsi="Calibri" w:cs="Calibri"/>
          <w:color w:val="auto"/>
          <w:sz w:val="21"/>
          <w:szCs w:val="21"/>
        </w:rPr>
        <w:t> </w:t>
      </w:r>
    </w:p>
    <w:p w14:paraId="51034BC7">
      <w:pPr>
        <w:pStyle w:val="27"/>
        <w:widowControl/>
        <w:rPr>
          <w:color w:val="auto"/>
        </w:rPr>
      </w:pPr>
      <w:r>
        <w:rPr>
          <w:rFonts w:ascii="Calibri" w:hAnsi="Calibri" w:cs="Calibri"/>
          <w:color w:val="auto"/>
          <w:sz w:val="21"/>
          <w:szCs w:val="21"/>
        </w:rPr>
        <w:t> </w:t>
      </w:r>
    </w:p>
    <w:p w14:paraId="3D28E64A">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787AD3D5">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357FB3DB">
      <w:pPr>
        <w:pStyle w:val="27"/>
        <w:widowControl/>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4AF0A139">
      <w:pPr>
        <w:pStyle w:val="27"/>
        <w:widowControl/>
        <w:rPr>
          <w:color w:val="auto"/>
        </w:rPr>
      </w:pPr>
      <w:r>
        <w:rPr>
          <w:rFonts w:hint="eastAsia" w:ascii="宋体" w:hAnsi="宋体" w:eastAsia="宋体" w:cs="宋体"/>
          <w:color w:val="auto"/>
          <w:sz w:val="21"/>
          <w:szCs w:val="21"/>
        </w:rPr>
        <w:t> </w:t>
      </w:r>
    </w:p>
    <w:p w14:paraId="23A4FA13">
      <w:pPr>
        <w:pStyle w:val="27"/>
        <w:widowControl/>
        <w:rPr>
          <w:color w:val="auto"/>
        </w:rPr>
      </w:pPr>
      <w:r>
        <w:rPr>
          <w:rFonts w:hint="eastAsia" w:ascii="宋体" w:hAnsi="宋体" w:eastAsia="宋体" w:cs="宋体"/>
          <w:color w:val="auto"/>
          <w:sz w:val="21"/>
          <w:szCs w:val="21"/>
        </w:rPr>
        <w:t> </w:t>
      </w:r>
    </w:p>
    <w:p w14:paraId="4BEDA17E">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5560A3B4">
      <w:pPr>
        <w:pStyle w:val="27"/>
        <w:widowControl/>
        <w:jc w:val="center"/>
        <w:rPr>
          <w:color w:val="auto"/>
        </w:rPr>
      </w:pPr>
      <w:r>
        <w:rPr>
          <w:rStyle w:val="32"/>
          <w:rFonts w:hint="eastAsia" w:ascii="宋体" w:hAnsi="宋体" w:eastAsia="宋体" w:cs="宋体"/>
          <w:color w:val="auto"/>
          <w:sz w:val="21"/>
          <w:szCs w:val="21"/>
        </w:rPr>
        <w:t>二-12-②招标文件规定的其他资格证明文件（若有）</w:t>
      </w:r>
    </w:p>
    <w:p w14:paraId="1BA7B3C1">
      <w:pPr>
        <w:pStyle w:val="27"/>
        <w:widowControl/>
        <w:rPr>
          <w:color w:val="auto"/>
        </w:rPr>
      </w:pPr>
      <w:r>
        <w:rPr>
          <w:rStyle w:val="32"/>
          <w:rFonts w:hint="eastAsia" w:ascii="宋体" w:hAnsi="宋体" w:eastAsia="宋体" w:cs="宋体"/>
          <w:color w:val="auto"/>
          <w:sz w:val="21"/>
          <w:szCs w:val="21"/>
        </w:rPr>
        <w:t> </w:t>
      </w:r>
    </w:p>
    <w:p w14:paraId="538B2DDD">
      <w:pPr>
        <w:pStyle w:val="27"/>
        <w:widowControl/>
        <w:rPr>
          <w:color w:val="auto"/>
        </w:rPr>
      </w:pPr>
      <w:r>
        <w:rPr>
          <w:rStyle w:val="32"/>
          <w:rFonts w:hint="eastAsia" w:ascii="宋体" w:hAnsi="宋体" w:eastAsia="宋体" w:cs="宋体"/>
          <w:color w:val="auto"/>
          <w:sz w:val="21"/>
          <w:szCs w:val="21"/>
        </w:rPr>
        <w:t> </w:t>
      </w:r>
    </w:p>
    <w:p w14:paraId="4D9AEF81">
      <w:pPr>
        <w:pStyle w:val="27"/>
        <w:widowControl/>
        <w:jc w:val="center"/>
        <w:rPr>
          <w:color w:val="auto"/>
        </w:rPr>
      </w:pPr>
      <w:r>
        <w:rPr>
          <w:rFonts w:hint="eastAsia" w:ascii="宋体" w:hAnsi="宋体" w:eastAsia="宋体" w:cs="宋体"/>
          <w:color w:val="auto"/>
          <w:sz w:val="21"/>
          <w:szCs w:val="21"/>
        </w:rPr>
        <w:t>编制说明</w:t>
      </w:r>
    </w:p>
    <w:p w14:paraId="321AAD03">
      <w:pPr>
        <w:pStyle w:val="27"/>
        <w:widowControl/>
        <w:jc w:val="center"/>
        <w:rPr>
          <w:color w:val="auto"/>
        </w:rPr>
      </w:pPr>
      <w:r>
        <w:rPr>
          <w:rFonts w:hint="eastAsia" w:ascii="宋体" w:hAnsi="宋体" w:eastAsia="宋体" w:cs="宋体"/>
          <w:color w:val="auto"/>
          <w:sz w:val="21"/>
          <w:szCs w:val="21"/>
        </w:rPr>
        <w:t> </w:t>
      </w:r>
    </w:p>
    <w:p w14:paraId="4AD0D61F">
      <w:pPr>
        <w:pStyle w:val="27"/>
        <w:widowControl/>
        <w:ind w:firstLine="420"/>
        <w:rPr>
          <w:color w:val="auto"/>
        </w:rPr>
      </w:pPr>
      <w:r>
        <w:rPr>
          <w:rFonts w:hint="eastAsia" w:ascii="宋体" w:hAnsi="宋体" w:eastAsia="宋体" w:cs="宋体"/>
          <w:color w:val="auto"/>
          <w:sz w:val="21"/>
          <w:szCs w:val="21"/>
        </w:rPr>
        <w:t>除招标文件另有规定外，招标文件要求提交的除前述资格证明文件外的其他资格证明文件（若有）加盖投标人的单位公章后应在此项下提交。</w:t>
      </w:r>
    </w:p>
    <w:p w14:paraId="094EFD38">
      <w:pPr>
        <w:pStyle w:val="27"/>
        <w:widowControl/>
        <w:rPr>
          <w:color w:val="auto"/>
        </w:rPr>
      </w:pPr>
      <w:r>
        <w:rPr>
          <w:rStyle w:val="32"/>
          <w:rFonts w:hint="eastAsia" w:ascii="宋体" w:hAnsi="宋体" w:eastAsia="宋体" w:cs="宋体"/>
          <w:color w:val="auto"/>
          <w:sz w:val="21"/>
          <w:szCs w:val="21"/>
        </w:rPr>
        <w:t> </w:t>
      </w:r>
    </w:p>
    <w:p w14:paraId="7CC54277">
      <w:pPr>
        <w:pStyle w:val="27"/>
        <w:widowControl/>
        <w:rPr>
          <w:color w:val="auto"/>
        </w:rPr>
      </w:pPr>
      <w:r>
        <w:rPr>
          <w:rStyle w:val="32"/>
          <w:rFonts w:hint="eastAsia" w:ascii="宋体" w:hAnsi="宋体" w:eastAsia="宋体" w:cs="宋体"/>
          <w:color w:val="auto"/>
          <w:sz w:val="21"/>
          <w:szCs w:val="21"/>
        </w:rPr>
        <w:t> </w:t>
      </w:r>
    </w:p>
    <w:p w14:paraId="6A5C96FF">
      <w:pPr>
        <w:pStyle w:val="27"/>
        <w:widowControl/>
        <w:jc w:val="center"/>
        <w:rPr>
          <w:color w:val="auto"/>
        </w:rPr>
      </w:pPr>
      <w:r>
        <w:rPr>
          <w:rFonts w:ascii="Calibri" w:hAnsi="Calibri" w:cs="Calibri"/>
          <w:color w:val="auto"/>
          <w:sz w:val="21"/>
          <w:szCs w:val="21"/>
        </w:rPr>
        <w:br w:type="textWrapping"/>
      </w:r>
      <w:r>
        <w:rPr>
          <w:rFonts w:hint="eastAsia" w:ascii="宋体" w:hAnsi="宋体" w:eastAsia="宋体" w:cs="宋体"/>
          <w:color w:val="auto"/>
          <w:sz w:val="21"/>
          <w:szCs w:val="21"/>
        </w:rPr>
        <w:t>三</w:t>
      </w:r>
      <w:r>
        <w:rPr>
          <w:rStyle w:val="32"/>
          <w:rFonts w:hint="eastAsia" w:ascii="宋体" w:hAnsi="宋体" w:eastAsia="宋体" w:cs="宋体"/>
          <w:color w:val="auto"/>
          <w:sz w:val="21"/>
          <w:szCs w:val="21"/>
        </w:rPr>
        <w:t>、投标保证金</w:t>
      </w:r>
    </w:p>
    <w:p w14:paraId="46E7C04B">
      <w:pPr>
        <w:pStyle w:val="27"/>
        <w:widowControl/>
        <w:rPr>
          <w:color w:val="auto"/>
        </w:rPr>
      </w:pPr>
      <w:r>
        <w:rPr>
          <w:rFonts w:hint="eastAsia" w:ascii="宋体" w:hAnsi="宋体" w:eastAsia="宋体" w:cs="宋体"/>
          <w:color w:val="auto"/>
          <w:sz w:val="21"/>
          <w:szCs w:val="21"/>
        </w:rPr>
        <w:t> </w:t>
      </w:r>
    </w:p>
    <w:p w14:paraId="1954D07D">
      <w:pPr>
        <w:pStyle w:val="27"/>
        <w:widowControl/>
        <w:rPr>
          <w:color w:val="auto"/>
        </w:rPr>
      </w:pPr>
      <w:r>
        <w:rPr>
          <w:rFonts w:hint="eastAsia" w:ascii="宋体" w:hAnsi="宋体" w:eastAsia="宋体" w:cs="宋体"/>
          <w:color w:val="auto"/>
          <w:sz w:val="21"/>
          <w:szCs w:val="21"/>
        </w:rPr>
        <w:t> </w:t>
      </w:r>
    </w:p>
    <w:p w14:paraId="2A276106">
      <w:pPr>
        <w:pStyle w:val="27"/>
        <w:widowControl/>
        <w:jc w:val="center"/>
        <w:rPr>
          <w:color w:val="auto"/>
        </w:rPr>
      </w:pPr>
      <w:r>
        <w:rPr>
          <w:rFonts w:hint="eastAsia" w:ascii="宋体" w:hAnsi="宋体" w:eastAsia="宋体" w:cs="宋体"/>
          <w:color w:val="auto"/>
          <w:sz w:val="21"/>
          <w:szCs w:val="21"/>
        </w:rPr>
        <w:t>编制说明</w:t>
      </w:r>
    </w:p>
    <w:p w14:paraId="66136A49">
      <w:pPr>
        <w:pStyle w:val="27"/>
        <w:widowControl/>
        <w:rPr>
          <w:color w:val="auto"/>
        </w:rPr>
      </w:pPr>
      <w:r>
        <w:rPr>
          <w:rFonts w:hint="eastAsia" w:ascii="宋体" w:hAnsi="宋体" w:eastAsia="宋体" w:cs="宋体"/>
          <w:color w:val="auto"/>
          <w:sz w:val="21"/>
          <w:szCs w:val="21"/>
        </w:rPr>
        <w:t> </w:t>
      </w:r>
    </w:p>
    <w:p w14:paraId="58F8CBFF">
      <w:pPr>
        <w:pStyle w:val="27"/>
        <w:widowControl/>
        <w:rPr>
          <w:color w:val="auto"/>
        </w:rPr>
      </w:pPr>
      <w:r>
        <w:rPr>
          <w:rFonts w:hint="eastAsia" w:ascii="宋体" w:hAnsi="宋体" w:eastAsia="宋体" w:cs="宋体"/>
          <w:color w:val="auto"/>
          <w:sz w:val="21"/>
          <w:szCs w:val="21"/>
        </w:rPr>
        <w:t>1、在此项下提交的</w:t>
      </w:r>
      <w:r>
        <w:rPr>
          <w:rStyle w:val="32"/>
          <w:rFonts w:hint="eastAsia" w:ascii="宋体" w:hAnsi="宋体" w:eastAsia="宋体" w:cs="宋体"/>
          <w:color w:val="auto"/>
          <w:sz w:val="21"/>
          <w:szCs w:val="21"/>
        </w:rPr>
        <w:t>“投标保证金”</w:t>
      </w:r>
      <w:r>
        <w:rPr>
          <w:rFonts w:hint="eastAsia" w:ascii="宋体" w:hAnsi="宋体" w:eastAsia="宋体" w:cs="宋体"/>
          <w:color w:val="auto"/>
          <w:sz w:val="21"/>
          <w:szCs w:val="21"/>
        </w:rPr>
        <w:t>材料可使用转账凭证复印件或从福建省政府采购网上公开信息系统中下载的有关原始页面的打印件。</w:t>
      </w:r>
    </w:p>
    <w:p w14:paraId="24380BD2">
      <w:pPr>
        <w:pStyle w:val="27"/>
        <w:widowControl/>
        <w:rPr>
          <w:color w:val="auto"/>
        </w:rPr>
      </w:pPr>
      <w:r>
        <w:rPr>
          <w:rFonts w:hint="eastAsia" w:ascii="宋体" w:hAnsi="宋体" w:eastAsia="宋体" w:cs="宋体"/>
          <w:color w:val="auto"/>
          <w:sz w:val="21"/>
          <w:szCs w:val="21"/>
        </w:rPr>
        <w:t>2、投标保证金是否已提交的认定按照招标文件第三章规定执行。</w:t>
      </w:r>
    </w:p>
    <w:p w14:paraId="001F7EC5">
      <w:pPr>
        <w:pStyle w:val="27"/>
        <w:widowControl/>
        <w:rPr>
          <w:color w:val="auto"/>
        </w:rPr>
      </w:pPr>
      <w:r>
        <w:rPr>
          <w:rFonts w:hint="eastAsia" w:ascii="宋体" w:hAnsi="宋体" w:eastAsia="宋体" w:cs="宋体"/>
          <w:color w:val="auto"/>
          <w:sz w:val="21"/>
          <w:szCs w:val="21"/>
        </w:rPr>
        <w:t> </w:t>
      </w:r>
    </w:p>
    <w:p w14:paraId="4F49BC25">
      <w:pPr>
        <w:pStyle w:val="27"/>
        <w:widowControl/>
        <w:rPr>
          <w:color w:val="auto"/>
        </w:rPr>
      </w:pPr>
      <w:r>
        <w:rPr>
          <w:rFonts w:hint="eastAsia" w:ascii="宋体" w:hAnsi="宋体" w:eastAsia="宋体" w:cs="宋体"/>
          <w:color w:val="auto"/>
          <w:sz w:val="21"/>
          <w:szCs w:val="21"/>
        </w:rPr>
        <w:t> </w:t>
      </w:r>
    </w:p>
    <w:p w14:paraId="5618516B">
      <w:pPr>
        <w:pStyle w:val="27"/>
        <w:widowControl/>
        <w:rPr>
          <w:color w:val="auto"/>
        </w:rPr>
      </w:pPr>
    </w:p>
    <w:p w14:paraId="491DA481">
      <w:pPr>
        <w:pStyle w:val="27"/>
        <w:widowControl/>
        <w:rPr>
          <w:color w:val="auto"/>
        </w:rPr>
      </w:pPr>
      <w:r>
        <w:rPr>
          <w:rFonts w:hint="eastAsia" w:ascii="宋体" w:hAnsi="宋体" w:eastAsia="宋体" w:cs="宋体"/>
          <w:color w:val="auto"/>
          <w:sz w:val="21"/>
          <w:szCs w:val="21"/>
        </w:rPr>
        <w:t> </w:t>
      </w:r>
    </w:p>
    <w:p w14:paraId="46EA188E">
      <w:pPr>
        <w:pStyle w:val="27"/>
        <w:widowControl/>
        <w:rPr>
          <w:color w:val="auto"/>
        </w:rPr>
      </w:pPr>
      <w:r>
        <w:rPr>
          <w:rFonts w:hint="eastAsia" w:ascii="宋体" w:hAnsi="宋体" w:eastAsia="宋体" w:cs="宋体"/>
          <w:color w:val="auto"/>
          <w:sz w:val="21"/>
          <w:szCs w:val="21"/>
        </w:rPr>
        <w:t> </w:t>
      </w:r>
    </w:p>
    <w:p w14:paraId="44CFD9E6">
      <w:pPr>
        <w:pStyle w:val="27"/>
        <w:widowControl/>
        <w:jc w:val="center"/>
        <w:rPr>
          <w:rStyle w:val="32"/>
          <w:rFonts w:ascii="宋体" w:hAnsi="宋体" w:eastAsia="宋体" w:cs="宋体"/>
          <w:color w:val="auto"/>
          <w:sz w:val="28"/>
          <w:szCs w:val="28"/>
        </w:rPr>
      </w:pPr>
      <w:r>
        <w:rPr>
          <w:rStyle w:val="32"/>
          <w:rFonts w:hint="eastAsia" w:ascii="宋体" w:hAnsi="宋体" w:eastAsia="宋体" w:cs="宋体"/>
          <w:color w:val="auto"/>
          <w:sz w:val="28"/>
          <w:szCs w:val="28"/>
        </w:rPr>
        <w:br w:type="page"/>
      </w:r>
    </w:p>
    <w:p w14:paraId="57FAAA76">
      <w:pPr>
        <w:pStyle w:val="27"/>
        <w:widowControl/>
        <w:jc w:val="center"/>
        <w:rPr>
          <w:color w:val="auto"/>
        </w:rPr>
      </w:pPr>
      <w:r>
        <w:rPr>
          <w:rStyle w:val="32"/>
          <w:rFonts w:hint="eastAsia" w:ascii="宋体" w:hAnsi="宋体" w:eastAsia="宋体" w:cs="宋体"/>
          <w:color w:val="auto"/>
          <w:sz w:val="28"/>
          <w:szCs w:val="28"/>
        </w:rPr>
        <w:t>封面格式</w:t>
      </w:r>
    </w:p>
    <w:p w14:paraId="71A3303E">
      <w:pPr>
        <w:pStyle w:val="27"/>
        <w:widowControl/>
        <w:rPr>
          <w:color w:val="auto"/>
        </w:rPr>
      </w:pPr>
      <w:r>
        <w:rPr>
          <w:rFonts w:hint="eastAsia" w:ascii="宋体" w:hAnsi="宋体" w:eastAsia="宋体" w:cs="宋体"/>
          <w:color w:val="auto"/>
          <w:sz w:val="36"/>
          <w:szCs w:val="36"/>
        </w:rPr>
        <w:t> </w:t>
      </w:r>
    </w:p>
    <w:p w14:paraId="75EB34B3">
      <w:pPr>
        <w:pStyle w:val="27"/>
        <w:widowControl/>
        <w:jc w:val="center"/>
        <w:rPr>
          <w:color w:val="auto"/>
        </w:rPr>
      </w:pPr>
      <w:r>
        <w:rPr>
          <w:rStyle w:val="32"/>
          <w:rFonts w:hint="eastAsia" w:ascii="宋体" w:hAnsi="宋体" w:eastAsia="宋体" w:cs="宋体"/>
          <w:color w:val="auto"/>
          <w:sz w:val="48"/>
          <w:szCs w:val="48"/>
        </w:rPr>
        <w:t>福建省政府采购投标文件</w:t>
      </w:r>
    </w:p>
    <w:p w14:paraId="337DB34B">
      <w:pPr>
        <w:pStyle w:val="27"/>
        <w:widowControl/>
        <w:jc w:val="center"/>
        <w:outlineLvl w:val="0"/>
        <w:rPr>
          <w:color w:val="auto"/>
        </w:rPr>
      </w:pPr>
      <w:bookmarkStart w:id="236" w:name="_Toc1749"/>
      <w:bookmarkStart w:id="237" w:name="_Toc942"/>
      <w:r>
        <w:rPr>
          <w:rStyle w:val="32"/>
          <w:rFonts w:hint="eastAsia" w:ascii="宋体" w:hAnsi="宋体" w:eastAsia="宋体" w:cs="宋体"/>
          <w:color w:val="auto"/>
          <w:sz w:val="48"/>
          <w:szCs w:val="48"/>
        </w:rPr>
        <w:t>（报价部分）</w:t>
      </w:r>
      <w:bookmarkEnd w:id="236"/>
      <w:bookmarkEnd w:id="237"/>
    </w:p>
    <w:p w14:paraId="6FD5296F">
      <w:pPr>
        <w:pStyle w:val="27"/>
        <w:widowControl/>
        <w:rPr>
          <w:color w:val="auto"/>
        </w:rPr>
      </w:pPr>
      <w:r>
        <w:rPr>
          <w:rFonts w:hint="eastAsia" w:ascii="宋体" w:hAnsi="宋体" w:eastAsia="宋体" w:cs="宋体"/>
          <w:color w:val="auto"/>
          <w:sz w:val="36"/>
          <w:szCs w:val="36"/>
        </w:rPr>
        <w:t> </w:t>
      </w:r>
    </w:p>
    <w:p w14:paraId="2D3D215C">
      <w:pPr>
        <w:pStyle w:val="27"/>
        <w:widowControl/>
        <w:jc w:val="center"/>
        <w:rPr>
          <w:color w:val="auto"/>
        </w:rPr>
      </w:pPr>
      <w:r>
        <w:rPr>
          <w:rStyle w:val="32"/>
          <w:rFonts w:hint="eastAsia" w:ascii="宋体" w:hAnsi="宋体" w:eastAsia="宋体" w:cs="宋体"/>
          <w:color w:val="auto"/>
          <w:sz w:val="36"/>
          <w:szCs w:val="36"/>
          <w:u w:val="single"/>
        </w:rPr>
        <w:t>（填写正本或副本）</w:t>
      </w:r>
    </w:p>
    <w:p w14:paraId="5652FCDD">
      <w:pPr>
        <w:pStyle w:val="27"/>
        <w:widowControl/>
        <w:rPr>
          <w:color w:val="auto"/>
        </w:rPr>
      </w:pPr>
      <w:r>
        <w:rPr>
          <w:rFonts w:hint="eastAsia" w:ascii="宋体" w:hAnsi="宋体" w:eastAsia="宋体" w:cs="宋体"/>
          <w:color w:val="auto"/>
          <w:sz w:val="36"/>
          <w:szCs w:val="36"/>
        </w:rPr>
        <w:t> </w:t>
      </w:r>
    </w:p>
    <w:p w14:paraId="3C6151F3">
      <w:pPr>
        <w:pStyle w:val="27"/>
        <w:widowControl/>
        <w:ind w:firstLine="1920"/>
        <w:rPr>
          <w:color w:val="auto"/>
        </w:rPr>
      </w:pPr>
      <w:r>
        <w:rPr>
          <w:rStyle w:val="32"/>
          <w:rFonts w:hint="eastAsia" w:ascii="宋体" w:hAnsi="宋体" w:eastAsia="宋体" w:cs="宋体"/>
          <w:color w:val="auto"/>
          <w:sz w:val="31"/>
          <w:szCs w:val="31"/>
        </w:rPr>
        <w:t>项目名称：</w:t>
      </w:r>
      <w:r>
        <w:rPr>
          <w:rStyle w:val="32"/>
          <w:rFonts w:hint="eastAsia" w:ascii="宋体" w:hAnsi="宋体" w:eastAsia="宋体" w:cs="宋体"/>
          <w:color w:val="auto"/>
          <w:sz w:val="31"/>
          <w:szCs w:val="31"/>
          <w:u w:val="single"/>
        </w:rPr>
        <w:t>（由投标人填写）</w:t>
      </w:r>
    </w:p>
    <w:p w14:paraId="7B8281C1">
      <w:pPr>
        <w:pStyle w:val="27"/>
        <w:widowControl/>
        <w:ind w:firstLine="1920"/>
        <w:rPr>
          <w:color w:val="auto"/>
        </w:rPr>
      </w:pPr>
      <w:r>
        <w:rPr>
          <w:rStyle w:val="32"/>
          <w:rFonts w:hint="eastAsia" w:ascii="宋体" w:hAnsi="宋体" w:eastAsia="宋体" w:cs="宋体"/>
          <w:color w:val="auto"/>
          <w:sz w:val="31"/>
          <w:szCs w:val="31"/>
        </w:rPr>
        <w:t>备案编号：</w:t>
      </w:r>
      <w:r>
        <w:rPr>
          <w:rStyle w:val="32"/>
          <w:rFonts w:hint="eastAsia" w:ascii="宋体" w:hAnsi="宋体" w:eastAsia="宋体" w:cs="宋体"/>
          <w:color w:val="auto"/>
          <w:sz w:val="31"/>
          <w:szCs w:val="31"/>
          <w:u w:val="single"/>
        </w:rPr>
        <w:t>（由投标人填写）</w:t>
      </w:r>
    </w:p>
    <w:p w14:paraId="667B12E7">
      <w:pPr>
        <w:pStyle w:val="27"/>
        <w:widowControl/>
        <w:ind w:firstLine="1920"/>
        <w:rPr>
          <w:color w:val="auto"/>
        </w:rPr>
      </w:pPr>
      <w:r>
        <w:rPr>
          <w:rStyle w:val="32"/>
          <w:rFonts w:hint="eastAsia" w:ascii="宋体" w:hAnsi="宋体" w:eastAsia="宋体" w:cs="宋体"/>
          <w:color w:val="auto"/>
          <w:sz w:val="31"/>
          <w:szCs w:val="31"/>
        </w:rPr>
        <w:t>招标编号：</w:t>
      </w:r>
      <w:r>
        <w:rPr>
          <w:rStyle w:val="32"/>
          <w:rFonts w:hint="eastAsia" w:ascii="宋体" w:hAnsi="宋体" w:eastAsia="宋体" w:cs="宋体"/>
          <w:color w:val="auto"/>
          <w:sz w:val="31"/>
          <w:szCs w:val="31"/>
          <w:u w:val="single"/>
        </w:rPr>
        <w:t>（由投标人填写）</w:t>
      </w:r>
    </w:p>
    <w:p w14:paraId="48580153">
      <w:pPr>
        <w:pStyle w:val="27"/>
        <w:widowControl/>
        <w:ind w:firstLine="1920"/>
        <w:rPr>
          <w:color w:val="auto"/>
        </w:rPr>
      </w:pPr>
      <w:r>
        <w:rPr>
          <w:rStyle w:val="32"/>
          <w:rFonts w:hint="eastAsia" w:ascii="宋体" w:hAnsi="宋体" w:eastAsia="宋体" w:cs="宋体"/>
          <w:color w:val="auto"/>
          <w:sz w:val="31"/>
          <w:szCs w:val="31"/>
        </w:rPr>
        <w:t>所投合同包：</w:t>
      </w:r>
      <w:r>
        <w:rPr>
          <w:rStyle w:val="32"/>
          <w:rFonts w:hint="eastAsia" w:ascii="宋体" w:hAnsi="宋体" w:eastAsia="宋体" w:cs="宋体"/>
          <w:color w:val="auto"/>
          <w:sz w:val="31"/>
          <w:szCs w:val="31"/>
          <w:u w:val="single"/>
        </w:rPr>
        <w:t>（由投标人填写）</w:t>
      </w:r>
    </w:p>
    <w:p w14:paraId="24A1EF00">
      <w:pPr>
        <w:pStyle w:val="27"/>
        <w:widowControl/>
        <w:rPr>
          <w:color w:val="auto"/>
        </w:rPr>
      </w:pPr>
      <w:r>
        <w:rPr>
          <w:rFonts w:hint="eastAsia" w:ascii="宋体" w:hAnsi="宋体" w:eastAsia="宋体" w:cs="宋体"/>
          <w:color w:val="auto"/>
          <w:sz w:val="36"/>
          <w:szCs w:val="36"/>
        </w:rPr>
        <w:t> </w:t>
      </w:r>
    </w:p>
    <w:p w14:paraId="2B92913D">
      <w:pPr>
        <w:pStyle w:val="27"/>
        <w:widowControl/>
        <w:jc w:val="center"/>
        <w:rPr>
          <w:color w:val="auto"/>
        </w:rPr>
      </w:pPr>
      <w:r>
        <w:rPr>
          <w:rStyle w:val="32"/>
          <w:rFonts w:hint="eastAsia" w:ascii="宋体" w:hAnsi="宋体" w:eastAsia="宋体" w:cs="宋体"/>
          <w:color w:val="auto"/>
          <w:sz w:val="31"/>
          <w:szCs w:val="31"/>
        </w:rPr>
        <w:t>投标人：</w:t>
      </w:r>
      <w:r>
        <w:rPr>
          <w:rStyle w:val="32"/>
          <w:rFonts w:hint="eastAsia" w:ascii="宋体" w:hAnsi="宋体" w:eastAsia="宋体" w:cs="宋体"/>
          <w:color w:val="auto"/>
          <w:sz w:val="31"/>
          <w:szCs w:val="31"/>
          <w:u w:val="single"/>
        </w:rPr>
        <w:t>（填写“全称”）</w:t>
      </w:r>
    </w:p>
    <w:p w14:paraId="5A46843A">
      <w:pPr>
        <w:pStyle w:val="27"/>
        <w:widowControl/>
        <w:jc w:val="center"/>
        <w:rPr>
          <w:rStyle w:val="32"/>
          <w:rFonts w:ascii="宋体" w:hAnsi="宋体" w:eastAsia="宋体" w:cs="宋体"/>
          <w:color w:val="auto"/>
          <w:sz w:val="31"/>
          <w:szCs w:val="31"/>
        </w:rPr>
      </w:pPr>
      <w:r>
        <w:rPr>
          <w:rStyle w:val="32"/>
          <w:rFonts w:hint="eastAsia" w:ascii="宋体" w:hAnsi="宋体" w:eastAsia="宋体" w:cs="宋体"/>
          <w:color w:val="auto"/>
          <w:sz w:val="31"/>
          <w:szCs w:val="31"/>
          <w:u w:val="single"/>
        </w:rPr>
        <w:t>（由投标人填写）</w:t>
      </w:r>
      <w:r>
        <w:rPr>
          <w:rStyle w:val="32"/>
          <w:rFonts w:hint="eastAsia" w:ascii="宋体" w:hAnsi="宋体" w:eastAsia="宋体" w:cs="宋体"/>
          <w:color w:val="auto"/>
          <w:sz w:val="31"/>
          <w:szCs w:val="31"/>
        </w:rPr>
        <w:t>年</w:t>
      </w:r>
      <w:r>
        <w:rPr>
          <w:rStyle w:val="32"/>
          <w:rFonts w:hint="eastAsia" w:ascii="宋体" w:hAnsi="宋体" w:eastAsia="宋体" w:cs="宋体"/>
          <w:color w:val="auto"/>
          <w:sz w:val="31"/>
          <w:szCs w:val="31"/>
          <w:u w:val="single"/>
        </w:rPr>
        <w:t>（由投标人填写）</w:t>
      </w:r>
      <w:r>
        <w:rPr>
          <w:rStyle w:val="32"/>
          <w:rFonts w:hint="eastAsia" w:ascii="宋体" w:hAnsi="宋体" w:eastAsia="宋体" w:cs="宋体"/>
          <w:color w:val="auto"/>
          <w:sz w:val="31"/>
          <w:szCs w:val="31"/>
        </w:rPr>
        <w:t>月</w:t>
      </w:r>
    </w:p>
    <w:p w14:paraId="2BD771F6">
      <w:pPr>
        <w:pStyle w:val="27"/>
        <w:widowControl/>
        <w:jc w:val="center"/>
        <w:rPr>
          <w:rStyle w:val="32"/>
          <w:rFonts w:ascii="宋体" w:hAnsi="宋体" w:eastAsia="宋体" w:cs="宋体"/>
          <w:color w:val="auto"/>
          <w:sz w:val="31"/>
          <w:szCs w:val="31"/>
        </w:rPr>
      </w:pPr>
      <w:r>
        <w:rPr>
          <w:rStyle w:val="32"/>
          <w:rFonts w:hint="eastAsia" w:ascii="宋体" w:hAnsi="宋体" w:eastAsia="宋体" w:cs="宋体"/>
          <w:color w:val="auto"/>
          <w:sz w:val="31"/>
          <w:szCs w:val="31"/>
        </w:rPr>
        <w:br w:type="page"/>
      </w:r>
    </w:p>
    <w:p w14:paraId="45186E64">
      <w:pPr>
        <w:pStyle w:val="27"/>
        <w:widowControl/>
        <w:jc w:val="center"/>
        <w:rPr>
          <w:color w:val="auto"/>
        </w:rPr>
      </w:pPr>
      <w:r>
        <w:rPr>
          <w:rStyle w:val="32"/>
          <w:rFonts w:hint="eastAsia" w:ascii="宋体" w:hAnsi="宋体" w:eastAsia="宋体" w:cs="宋体"/>
          <w:color w:val="auto"/>
          <w:sz w:val="28"/>
          <w:szCs w:val="28"/>
        </w:rPr>
        <w:t>索引</w:t>
      </w:r>
    </w:p>
    <w:p w14:paraId="03FC2A79">
      <w:pPr>
        <w:pStyle w:val="27"/>
        <w:widowControl/>
        <w:rPr>
          <w:color w:val="auto"/>
        </w:rPr>
      </w:pPr>
      <w:r>
        <w:rPr>
          <w:rFonts w:hint="eastAsia" w:ascii="宋体" w:hAnsi="宋体" w:eastAsia="宋体" w:cs="宋体"/>
          <w:color w:val="auto"/>
          <w:sz w:val="28"/>
          <w:szCs w:val="28"/>
        </w:rPr>
        <w:t>一、开标一览表</w:t>
      </w:r>
    </w:p>
    <w:p w14:paraId="6B618E10">
      <w:pPr>
        <w:pStyle w:val="27"/>
        <w:widowControl/>
        <w:rPr>
          <w:color w:val="auto"/>
        </w:rPr>
      </w:pPr>
      <w:r>
        <w:rPr>
          <w:rFonts w:hint="eastAsia" w:ascii="宋体" w:hAnsi="宋体" w:eastAsia="宋体" w:cs="宋体"/>
          <w:color w:val="auto"/>
          <w:sz w:val="28"/>
          <w:szCs w:val="28"/>
        </w:rPr>
        <w:t>二、投标分项报价表</w:t>
      </w:r>
    </w:p>
    <w:p w14:paraId="4C4D5FE2">
      <w:pPr>
        <w:pStyle w:val="27"/>
        <w:widowControl/>
        <w:rPr>
          <w:color w:val="auto"/>
        </w:rPr>
      </w:pPr>
      <w:r>
        <w:rPr>
          <w:rFonts w:hint="eastAsia" w:ascii="宋体" w:hAnsi="宋体" w:eastAsia="宋体" w:cs="宋体"/>
          <w:color w:val="auto"/>
          <w:sz w:val="28"/>
          <w:szCs w:val="28"/>
        </w:rPr>
        <w:t>三、招标文件规定的价格扣除证明材料（若有）</w:t>
      </w:r>
    </w:p>
    <w:p w14:paraId="685657ED">
      <w:pPr>
        <w:pStyle w:val="27"/>
        <w:widowControl/>
        <w:rPr>
          <w:color w:val="auto"/>
        </w:rPr>
      </w:pPr>
      <w:r>
        <w:rPr>
          <w:rFonts w:hint="eastAsia" w:ascii="宋体" w:hAnsi="宋体" w:eastAsia="宋体" w:cs="宋体"/>
          <w:color w:val="auto"/>
          <w:sz w:val="28"/>
          <w:szCs w:val="28"/>
        </w:rPr>
        <w:t>四、招标文件规定的加分证明材料（若有）</w:t>
      </w:r>
    </w:p>
    <w:p w14:paraId="79DF19E6">
      <w:pPr>
        <w:pStyle w:val="27"/>
        <w:widowControl/>
        <w:rPr>
          <w:color w:val="auto"/>
        </w:rPr>
      </w:pPr>
      <w:r>
        <w:rPr>
          <w:rFonts w:hint="eastAsia" w:ascii="宋体" w:hAnsi="宋体" w:eastAsia="宋体" w:cs="宋体"/>
          <w:color w:val="auto"/>
          <w:sz w:val="21"/>
          <w:szCs w:val="21"/>
        </w:rPr>
        <w:t> </w:t>
      </w:r>
    </w:p>
    <w:p w14:paraId="1871B906">
      <w:pPr>
        <w:pStyle w:val="27"/>
        <w:widowControl/>
        <w:rPr>
          <w:color w:val="auto"/>
        </w:rPr>
      </w:pPr>
      <w:r>
        <w:rPr>
          <w:rFonts w:hint="eastAsia" w:ascii="宋体" w:hAnsi="宋体" w:eastAsia="宋体" w:cs="宋体"/>
          <w:color w:val="auto"/>
          <w:sz w:val="21"/>
          <w:szCs w:val="21"/>
        </w:rPr>
        <w:t> </w:t>
      </w:r>
    </w:p>
    <w:p w14:paraId="0DB12A28">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6C464D4D">
      <w:pPr>
        <w:pStyle w:val="27"/>
        <w:widowControl/>
        <w:jc w:val="center"/>
        <w:outlineLvl w:val="1"/>
        <w:rPr>
          <w:color w:val="auto"/>
        </w:rPr>
      </w:pPr>
      <w:r>
        <w:rPr>
          <w:rStyle w:val="32"/>
          <w:rFonts w:hint="eastAsia" w:ascii="宋体" w:hAnsi="宋体" w:eastAsia="宋体" w:cs="宋体"/>
          <w:color w:val="auto"/>
          <w:sz w:val="21"/>
          <w:szCs w:val="21"/>
        </w:rPr>
        <w:t>一、开标一览表</w:t>
      </w:r>
    </w:p>
    <w:p w14:paraId="6E053577">
      <w:pPr>
        <w:pStyle w:val="27"/>
        <w:widowControl/>
        <w:rPr>
          <w:color w:val="auto"/>
        </w:rPr>
      </w:pPr>
      <w:r>
        <w:rPr>
          <w:rFonts w:hint="eastAsia" w:ascii="宋体" w:hAnsi="宋体" w:eastAsia="宋体" w:cs="宋体"/>
          <w:color w:val="auto"/>
          <w:sz w:val="21"/>
          <w:szCs w:val="21"/>
        </w:rPr>
        <w:t> </w:t>
      </w:r>
    </w:p>
    <w:p w14:paraId="7CC0CC9F">
      <w:pPr>
        <w:pStyle w:val="27"/>
        <w:widowControl/>
        <w:rPr>
          <w:color w:val="auto"/>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w:t>
      </w:r>
    </w:p>
    <w:p w14:paraId="66B9584A">
      <w:pPr>
        <w:pStyle w:val="27"/>
        <w:widowControl/>
        <w:jc w:val="right"/>
        <w:rPr>
          <w:color w:val="auto"/>
        </w:rPr>
      </w:pPr>
      <w:r>
        <w:rPr>
          <w:rFonts w:hint="eastAsia" w:ascii="宋体" w:hAnsi="宋体" w:eastAsia="宋体" w:cs="宋体"/>
          <w:color w:val="auto"/>
          <w:sz w:val="21"/>
          <w:szCs w:val="21"/>
        </w:rPr>
        <w:t>货币及单位：人民币元</w:t>
      </w:r>
    </w:p>
    <w:tbl>
      <w:tblPr>
        <w:tblStyle w:val="30"/>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31"/>
        <w:gridCol w:w="3329"/>
        <w:gridCol w:w="1512"/>
        <w:gridCol w:w="2648"/>
      </w:tblGrid>
      <w:tr w14:paraId="7A98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86" w:type="dxa"/>
            <w:shd w:val="clear" w:color="auto" w:fill="auto"/>
            <w:tcMar>
              <w:top w:w="0" w:type="dxa"/>
              <w:left w:w="105" w:type="dxa"/>
              <w:bottom w:w="0" w:type="dxa"/>
              <w:right w:w="105" w:type="dxa"/>
            </w:tcMar>
            <w:vAlign w:val="center"/>
          </w:tcPr>
          <w:p w14:paraId="2FB17B69">
            <w:pPr>
              <w:pStyle w:val="27"/>
              <w:widowControl/>
              <w:jc w:val="center"/>
              <w:rPr>
                <w:color w:val="auto"/>
              </w:rPr>
            </w:pPr>
            <w:r>
              <w:rPr>
                <w:rFonts w:hint="eastAsia" w:ascii="宋体" w:hAnsi="宋体" w:eastAsia="宋体" w:cs="宋体"/>
                <w:color w:val="auto"/>
                <w:sz w:val="21"/>
                <w:szCs w:val="21"/>
              </w:rPr>
              <w:t>合同包</w:t>
            </w:r>
          </w:p>
        </w:tc>
        <w:tc>
          <w:tcPr>
            <w:tcW w:w="3299" w:type="dxa"/>
            <w:shd w:val="clear" w:color="auto" w:fill="auto"/>
            <w:tcMar>
              <w:top w:w="0" w:type="dxa"/>
              <w:left w:w="105" w:type="dxa"/>
              <w:bottom w:w="0" w:type="dxa"/>
              <w:right w:w="105" w:type="dxa"/>
            </w:tcMar>
            <w:vAlign w:val="center"/>
          </w:tcPr>
          <w:p w14:paraId="520A83F4">
            <w:pPr>
              <w:pStyle w:val="27"/>
              <w:widowControl/>
              <w:jc w:val="center"/>
              <w:rPr>
                <w:color w:val="auto"/>
              </w:rPr>
            </w:pPr>
            <w:r>
              <w:rPr>
                <w:rFonts w:hint="eastAsia" w:ascii="宋体" w:hAnsi="宋体" w:eastAsia="宋体" w:cs="宋体"/>
                <w:color w:val="auto"/>
                <w:sz w:val="21"/>
                <w:szCs w:val="21"/>
              </w:rPr>
              <w:t>投标报价</w:t>
            </w:r>
          </w:p>
        </w:tc>
        <w:tc>
          <w:tcPr>
            <w:tcW w:w="1482" w:type="dxa"/>
            <w:shd w:val="clear" w:color="auto" w:fill="auto"/>
            <w:tcMar>
              <w:top w:w="0" w:type="dxa"/>
              <w:left w:w="105" w:type="dxa"/>
              <w:bottom w:w="0" w:type="dxa"/>
              <w:right w:w="105" w:type="dxa"/>
            </w:tcMar>
            <w:vAlign w:val="center"/>
          </w:tcPr>
          <w:p w14:paraId="093ED50D">
            <w:pPr>
              <w:pStyle w:val="27"/>
              <w:widowControl/>
              <w:jc w:val="center"/>
              <w:rPr>
                <w:color w:val="auto"/>
              </w:rPr>
            </w:pPr>
            <w:r>
              <w:rPr>
                <w:rFonts w:hint="eastAsia" w:ascii="宋体" w:hAnsi="宋体" w:eastAsia="宋体" w:cs="宋体"/>
                <w:color w:val="auto"/>
                <w:sz w:val="21"/>
                <w:szCs w:val="21"/>
              </w:rPr>
              <w:t>投标</w:t>
            </w:r>
          </w:p>
          <w:p w14:paraId="19285941">
            <w:pPr>
              <w:pStyle w:val="27"/>
              <w:widowControl/>
              <w:jc w:val="center"/>
              <w:rPr>
                <w:color w:val="auto"/>
              </w:rPr>
            </w:pPr>
            <w:r>
              <w:rPr>
                <w:rFonts w:hint="eastAsia" w:ascii="宋体" w:hAnsi="宋体" w:eastAsia="宋体" w:cs="宋体"/>
                <w:color w:val="auto"/>
                <w:sz w:val="21"/>
                <w:szCs w:val="21"/>
              </w:rPr>
              <w:t>保证金</w:t>
            </w:r>
          </w:p>
        </w:tc>
        <w:tc>
          <w:tcPr>
            <w:tcW w:w="2603" w:type="dxa"/>
            <w:shd w:val="clear" w:color="auto" w:fill="auto"/>
            <w:tcMar>
              <w:top w:w="0" w:type="dxa"/>
              <w:left w:w="105" w:type="dxa"/>
              <w:bottom w:w="0" w:type="dxa"/>
              <w:right w:w="105" w:type="dxa"/>
            </w:tcMar>
            <w:vAlign w:val="center"/>
          </w:tcPr>
          <w:p w14:paraId="42621999">
            <w:pPr>
              <w:pStyle w:val="27"/>
              <w:widowControl/>
              <w:jc w:val="center"/>
              <w:rPr>
                <w:color w:val="auto"/>
              </w:rPr>
            </w:pPr>
            <w:r>
              <w:rPr>
                <w:rFonts w:hint="eastAsia" w:ascii="宋体" w:hAnsi="宋体" w:eastAsia="宋体" w:cs="宋体"/>
                <w:color w:val="auto"/>
                <w:sz w:val="21"/>
                <w:szCs w:val="21"/>
              </w:rPr>
              <w:t>备注</w:t>
            </w:r>
          </w:p>
        </w:tc>
      </w:tr>
      <w:tr w14:paraId="3250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00" w:hRule="atLeast"/>
          <w:tblCellSpacing w:w="15" w:type="dxa"/>
        </w:trPr>
        <w:tc>
          <w:tcPr>
            <w:tcW w:w="986" w:type="dxa"/>
            <w:shd w:val="clear" w:color="auto" w:fill="auto"/>
            <w:tcMar>
              <w:top w:w="0" w:type="dxa"/>
              <w:left w:w="105" w:type="dxa"/>
              <w:bottom w:w="0" w:type="dxa"/>
              <w:right w:w="105" w:type="dxa"/>
            </w:tcMar>
            <w:vAlign w:val="center"/>
          </w:tcPr>
          <w:p w14:paraId="02466918">
            <w:pPr>
              <w:pStyle w:val="27"/>
              <w:widowControl/>
              <w:jc w:val="center"/>
              <w:rPr>
                <w:color w:val="auto"/>
              </w:rPr>
            </w:pPr>
            <w:r>
              <w:rPr>
                <w:rFonts w:hint="eastAsia" w:ascii="宋体" w:hAnsi="宋体" w:eastAsia="宋体" w:cs="宋体"/>
                <w:color w:val="auto"/>
                <w:sz w:val="21"/>
                <w:szCs w:val="21"/>
              </w:rPr>
              <w:t>*</w:t>
            </w:r>
          </w:p>
        </w:tc>
        <w:tc>
          <w:tcPr>
            <w:tcW w:w="3299" w:type="dxa"/>
            <w:shd w:val="clear" w:color="auto" w:fill="auto"/>
            <w:tcMar>
              <w:top w:w="0" w:type="dxa"/>
              <w:left w:w="105" w:type="dxa"/>
              <w:bottom w:w="0" w:type="dxa"/>
              <w:right w:w="105" w:type="dxa"/>
            </w:tcMar>
            <w:vAlign w:val="center"/>
          </w:tcPr>
          <w:p w14:paraId="7D2579EA">
            <w:pPr>
              <w:pStyle w:val="27"/>
              <w:widowControl/>
              <w:rPr>
                <w:color w:val="auto"/>
              </w:rPr>
            </w:pPr>
            <w:r>
              <w:rPr>
                <w:rFonts w:hint="eastAsia" w:ascii="宋体" w:hAnsi="宋体" w:eastAsia="宋体" w:cs="宋体"/>
                <w:color w:val="auto"/>
                <w:sz w:val="21"/>
                <w:szCs w:val="21"/>
              </w:rPr>
              <w:t>投标总价（大写金额）：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tc>
        <w:tc>
          <w:tcPr>
            <w:tcW w:w="1482" w:type="dxa"/>
            <w:shd w:val="clear" w:color="auto" w:fill="auto"/>
            <w:tcMar>
              <w:top w:w="0" w:type="dxa"/>
              <w:left w:w="105" w:type="dxa"/>
              <w:bottom w:w="0" w:type="dxa"/>
              <w:right w:w="105" w:type="dxa"/>
            </w:tcMar>
            <w:vAlign w:val="center"/>
          </w:tcPr>
          <w:p w14:paraId="0CD0C077">
            <w:pPr>
              <w:widowControl/>
              <w:jc w:val="left"/>
              <w:rPr>
                <w:color w:val="auto"/>
              </w:rPr>
            </w:pPr>
          </w:p>
        </w:tc>
        <w:tc>
          <w:tcPr>
            <w:tcW w:w="2603" w:type="dxa"/>
            <w:vMerge w:val="restart"/>
            <w:shd w:val="clear" w:color="auto" w:fill="auto"/>
            <w:tcMar>
              <w:top w:w="0" w:type="dxa"/>
              <w:left w:w="105" w:type="dxa"/>
              <w:bottom w:w="0" w:type="dxa"/>
              <w:right w:w="105" w:type="dxa"/>
            </w:tcMar>
            <w:vAlign w:val="center"/>
          </w:tcPr>
          <w:p w14:paraId="58F6FA4C">
            <w:pPr>
              <w:pStyle w:val="27"/>
              <w:widowControl/>
              <w:rPr>
                <w:color w:val="auto"/>
              </w:rPr>
            </w:pPr>
            <w:r>
              <w:rPr>
                <w:rFonts w:hint="eastAsia" w:ascii="宋体" w:hAnsi="宋体" w:eastAsia="宋体" w:cs="宋体"/>
                <w:color w:val="auto"/>
                <w:sz w:val="21"/>
                <w:szCs w:val="21"/>
              </w:rPr>
              <w:t>a.投标报价的明细：详见《投标分项报价表》。</w:t>
            </w:r>
          </w:p>
          <w:p w14:paraId="3868E2AD">
            <w:pPr>
              <w:pStyle w:val="27"/>
              <w:widowControl/>
              <w:rPr>
                <w:color w:val="auto"/>
              </w:rPr>
            </w:pPr>
            <w:r>
              <w:rPr>
                <w:rFonts w:hint="eastAsia" w:ascii="宋体" w:hAnsi="宋体" w:eastAsia="宋体" w:cs="宋体"/>
                <w:color w:val="auto"/>
                <w:sz w:val="21"/>
                <w:szCs w:val="21"/>
              </w:rPr>
              <w:t>b.招标文件规定的价格扣除证明材料（若有）：详见报价部分。</w:t>
            </w:r>
          </w:p>
        </w:tc>
      </w:tr>
      <w:tr w14:paraId="3671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86" w:type="dxa"/>
            <w:shd w:val="clear" w:color="auto" w:fill="auto"/>
            <w:tcMar>
              <w:top w:w="0" w:type="dxa"/>
              <w:left w:w="105" w:type="dxa"/>
              <w:bottom w:w="0" w:type="dxa"/>
              <w:right w:w="105" w:type="dxa"/>
            </w:tcMar>
            <w:vAlign w:val="center"/>
          </w:tcPr>
          <w:p w14:paraId="496FD23A">
            <w:pPr>
              <w:pStyle w:val="27"/>
              <w:widowControl/>
              <w:jc w:val="center"/>
              <w:rPr>
                <w:color w:val="auto"/>
              </w:rPr>
            </w:pPr>
            <w:r>
              <w:rPr>
                <w:rFonts w:ascii="Calibri" w:hAnsi="Calibri" w:cs="Calibri"/>
                <w:color w:val="auto"/>
                <w:sz w:val="21"/>
                <w:szCs w:val="21"/>
              </w:rPr>
              <w:t>…</w:t>
            </w:r>
          </w:p>
        </w:tc>
        <w:tc>
          <w:tcPr>
            <w:tcW w:w="3299" w:type="dxa"/>
            <w:shd w:val="clear" w:color="auto" w:fill="auto"/>
            <w:tcMar>
              <w:top w:w="0" w:type="dxa"/>
              <w:left w:w="105" w:type="dxa"/>
              <w:bottom w:w="0" w:type="dxa"/>
              <w:right w:w="105" w:type="dxa"/>
            </w:tcMar>
            <w:vAlign w:val="center"/>
          </w:tcPr>
          <w:p w14:paraId="6F0B8814">
            <w:pPr>
              <w:pStyle w:val="27"/>
              <w:widowControl/>
              <w:rPr>
                <w:color w:val="auto"/>
              </w:rPr>
            </w:pPr>
            <w:r>
              <w:rPr>
                <w:rFonts w:hint="eastAsia" w:ascii="宋体" w:hAnsi="宋体" w:eastAsia="宋体" w:cs="宋体"/>
                <w:color w:val="auto"/>
                <w:sz w:val="21"/>
                <w:szCs w:val="21"/>
              </w:rPr>
              <w:t>投标总价（大写金额）：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tc>
        <w:tc>
          <w:tcPr>
            <w:tcW w:w="1482" w:type="dxa"/>
            <w:shd w:val="clear" w:color="auto" w:fill="auto"/>
            <w:tcMar>
              <w:top w:w="0" w:type="dxa"/>
              <w:left w:w="105" w:type="dxa"/>
              <w:bottom w:w="0" w:type="dxa"/>
              <w:right w:w="105" w:type="dxa"/>
            </w:tcMar>
            <w:vAlign w:val="center"/>
          </w:tcPr>
          <w:p w14:paraId="267118D3">
            <w:pPr>
              <w:widowControl/>
              <w:jc w:val="left"/>
              <w:rPr>
                <w:color w:val="auto"/>
              </w:rPr>
            </w:pPr>
          </w:p>
        </w:tc>
        <w:tc>
          <w:tcPr>
            <w:tcW w:w="2603" w:type="dxa"/>
            <w:vMerge w:val="continue"/>
            <w:shd w:val="clear" w:color="auto" w:fill="auto"/>
            <w:tcMar>
              <w:top w:w="0" w:type="dxa"/>
              <w:left w:w="105" w:type="dxa"/>
              <w:bottom w:w="0" w:type="dxa"/>
              <w:right w:w="105" w:type="dxa"/>
            </w:tcMar>
            <w:vAlign w:val="center"/>
          </w:tcPr>
          <w:p w14:paraId="42425BAB">
            <w:pPr>
              <w:rPr>
                <w:rFonts w:ascii="宋体"/>
                <w:color w:val="auto"/>
                <w:sz w:val="24"/>
              </w:rPr>
            </w:pPr>
          </w:p>
        </w:tc>
      </w:tr>
    </w:tbl>
    <w:p w14:paraId="6AEDE0A0">
      <w:pPr>
        <w:pStyle w:val="27"/>
        <w:widowControl/>
        <w:rPr>
          <w:color w:val="auto"/>
        </w:rPr>
      </w:pPr>
      <w:r>
        <w:rPr>
          <w:rFonts w:hint="eastAsia" w:ascii="宋体" w:hAnsi="宋体" w:eastAsia="宋体" w:cs="宋体"/>
          <w:color w:val="auto"/>
          <w:sz w:val="21"/>
          <w:szCs w:val="21"/>
        </w:rPr>
        <w:t>★注意：</w:t>
      </w:r>
    </w:p>
    <w:p w14:paraId="096300B8">
      <w:pPr>
        <w:pStyle w:val="27"/>
        <w:widowControl/>
        <w:rPr>
          <w:color w:val="auto"/>
        </w:rPr>
      </w:pPr>
      <w:r>
        <w:rPr>
          <w:rFonts w:hint="eastAsia" w:ascii="宋体" w:hAnsi="宋体" w:eastAsia="宋体" w:cs="宋体"/>
          <w:color w:val="auto"/>
          <w:sz w:val="21"/>
          <w:szCs w:val="21"/>
        </w:rPr>
        <w:t>1、本表应按照下列规定填写：</w:t>
      </w:r>
    </w:p>
    <w:p w14:paraId="49F3ACEC">
      <w:pPr>
        <w:pStyle w:val="27"/>
        <w:widowControl/>
        <w:rPr>
          <w:color w:val="auto"/>
        </w:rPr>
      </w:pPr>
      <w:r>
        <w:rPr>
          <w:rFonts w:hint="eastAsia" w:ascii="宋体" w:hAnsi="宋体" w:eastAsia="宋体" w:cs="宋体"/>
          <w:color w:val="auto"/>
          <w:sz w:val="21"/>
          <w:szCs w:val="21"/>
        </w:rPr>
        <w:t>1.1投标人应按照本表格式填写所投的合同包的“投标报价”。</w:t>
      </w:r>
    </w:p>
    <w:p w14:paraId="10BE13BC">
      <w:pPr>
        <w:pStyle w:val="27"/>
        <w:widowControl/>
        <w:rPr>
          <w:color w:val="auto"/>
        </w:rPr>
      </w:pPr>
      <w:r>
        <w:rPr>
          <w:rFonts w:hint="eastAsia" w:ascii="宋体" w:hAnsi="宋体" w:eastAsia="宋体" w:cs="宋体"/>
          <w:color w:val="auto"/>
          <w:sz w:val="21"/>
          <w:szCs w:val="21"/>
        </w:rPr>
        <w:t>1.2本表中列示的“合同包”应与《投标分项报价表》中列示的“合同包”保持一致，即：若本表中列示的“合同包”为“</w:t>
      </w:r>
      <w:r>
        <w:rPr>
          <w:rFonts w:ascii="Calibri" w:hAnsi="Calibri" w:eastAsia="宋体" w:cs="Calibri"/>
          <w:color w:val="auto"/>
          <w:sz w:val="21"/>
          <w:szCs w:val="21"/>
        </w:rPr>
        <w:t>1</w:t>
      </w:r>
      <w:r>
        <w:rPr>
          <w:rFonts w:hint="eastAsia" w:ascii="宋体" w:hAnsi="宋体" w:eastAsia="宋体" w:cs="宋体"/>
          <w:color w:val="auto"/>
          <w:sz w:val="21"/>
          <w:szCs w:val="21"/>
        </w:rPr>
        <w:t>”时，《投标分项报价表》中列示的“合同包”亦应为“</w:t>
      </w:r>
      <w:r>
        <w:rPr>
          <w:rFonts w:ascii="Calibri" w:hAnsi="Calibri" w:eastAsia="宋体" w:cs="Calibri"/>
          <w:color w:val="auto"/>
          <w:sz w:val="21"/>
          <w:szCs w:val="21"/>
        </w:rPr>
        <w:t>1</w:t>
      </w:r>
      <w:r>
        <w:rPr>
          <w:rFonts w:hint="eastAsia" w:ascii="宋体" w:hAnsi="宋体" w:eastAsia="宋体" w:cs="宋体"/>
          <w:color w:val="auto"/>
          <w:sz w:val="21"/>
          <w:szCs w:val="21"/>
        </w:rPr>
        <w:t>”，以此类推。</w:t>
      </w:r>
    </w:p>
    <w:p w14:paraId="64491109">
      <w:pPr>
        <w:pStyle w:val="27"/>
        <w:widowControl/>
        <w:rPr>
          <w:color w:val="auto"/>
        </w:rPr>
      </w:pPr>
      <w:r>
        <w:rPr>
          <w:rFonts w:hint="eastAsia" w:ascii="宋体" w:hAnsi="宋体" w:eastAsia="宋体" w:cs="宋体"/>
          <w:color w:val="auto"/>
          <w:sz w:val="21"/>
          <w:szCs w:val="21"/>
        </w:rPr>
        <w:t>1.3“大写金额”指“投标报价”应用“壹、贰、叁、肆、伍、陆、柒、捌、玖、拾、佰、仟、万、亿、元、角、分、零”等进行填写。</w:t>
      </w:r>
    </w:p>
    <w:p w14:paraId="643627B4">
      <w:pPr>
        <w:pStyle w:val="27"/>
        <w:widowControl/>
        <w:rPr>
          <w:color w:val="auto"/>
        </w:rPr>
      </w:pPr>
      <w:r>
        <w:rPr>
          <w:rFonts w:hint="eastAsia" w:ascii="宋体" w:hAnsi="宋体" w:eastAsia="宋体" w:cs="宋体"/>
          <w:color w:val="auto"/>
          <w:sz w:val="21"/>
          <w:szCs w:val="21"/>
        </w:rPr>
        <w:t>2、纸质投标文件正本中的本表应为原件。</w:t>
      </w:r>
    </w:p>
    <w:p w14:paraId="312095BC">
      <w:pPr>
        <w:pStyle w:val="27"/>
        <w:widowControl/>
        <w:rPr>
          <w:color w:val="auto"/>
        </w:rPr>
      </w:pPr>
      <w:r>
        <w:rPr>
          <w:rFonts w:hint="eastAsia" w:ascii="宋体" w:hAnsi="宋体" w:eastAsia="宋体" w:cs="宋体"/>
          <w:color w:val="auto"/>
          <w:sz w:val="21"/>
          <w:szCs w:val="21"/>
        </w:rPr>
        <w:t> </w:t>
      </w:r>
    </w:p>
    <w:p w14:paraId="32AFFBA3">
      <w:pPr>
        <w:pStyle w:val="27"/>
        <w:widowControl/>
        <w:rPr>
          <w:color w:val="auto"/>
        </w:rPr>
      </w:pPr>
      <w:r>
        <w:rPr>
          <w:rFonts w:hint="eastAsia" w:ascii="宋体" w:hAnsi="宋体" w:eastAsia="宋体" w:cs="宋体"/>
          <w:color w:val="auto"/>
          <w:sz w:val="21"/>
          <w:szCs w:val="21"/>
        </w:rPr>
        <w:t> </w:t>
      </w:r>
    </w:p>
    <w:p w14:paraId="7697B391">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11035ADF">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063A42DB">
      <w:pPr>
        <w:pStyle w:val="27"/>
        <w:widowControl/>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3B003305">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444C18E6">
      <w:pPr>
        <w:pStyle w:val="27"/>
        <w:widowControl/>
        <w:jc w:val="center"/>
        <w:outlineLvl w:val="1"/>
        <w:rPr>
          <w:color w:val="auto"/>
        </w:rPr>
      </w:pPr>
      <w:r>
        <w:rPr>
          <w:rStyle w:val="32"/>
          <w:rFonts w:hint="eastAsia" w:ascii="宋体" w:hAnsi="宋体" w:eastAsia="宋体" w:cs="宋体"/>
          <w:color w:val="auto"/>
          <w:sz w:val="21"/>
          <w:szCs w:val="21"/>
        </w:rPr>
        <w:t>二、投标分项报价表</w:t>
      </w:r>
    </w:p>
    <w:p w14:paraId="0EB2C878">
      <w:pPr>
        <w:pStyle w:val="27"/>
        <w:widowControl/>
        <w:rPr>
          <w:color w:val="auto"/>
        </w:rPr>
      </w:pPr>
      <w:r>
        <w:rPr>
          <w:rFonts w:hint="eastAsia" w:ascii="宋体" w:hAnsi="宋体" w:eastAsia="宋体" w:cs="宋体"/>
          <w:color w:val="auto"/>
          <w:sz w:val="21"/>
          <w:szCs w:val="21"/>
        </w:rPr>
        <w:t> 招标编号：</w:t>
      </w:r>
      <w:r>
        <w:rPr>
          <w:rFonts w:hint="eastAsia" w:ascii="宋体" w:hAnsi="宋体" w:eastAsia="宋体" w:cs="宋体"/>
          <w:color w:val="auto"/>
          <w:sz w:val="21"/>
          <w:szCs w:val="21"/>
          <w:u w:val="single"/>
        </w:rPr>
        <w:t>                   </w:t>
      </w:r>
    </w:p>
    <w:p w14:paraId="3188B5AE">
      <w:pPr>
        <w:pStyle w:val="27"/>
        <w:widowControl/>
        <w:jc w:val="right"/>
        <w:rPr>
          <w:color w:val="auto"/>
        </w:rPr>
      </w:pPr>
      <w:r>
        <w:rPr>
          <w:rFonts w:hint="eastAsia" w:ascii="宋体" w:hAnsi="宋体" w:eastAsia="宋体" w:cs="宋体"/>
          <w:color w:val="auto"/>
          <w:sz w:val="21"/>
          <w:szCs w:val="21"/>
        </w:rPr>
        <w:t>货币及单位：人民币元</w:t>
      </w:r>
    </w:p>
    <w:tbl>
      <w:tblPr>
        <w:tblStyle w:val="30"/>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67"/>
        <w:gridCol w:w="953"/>
        <w:gridCol w:w="1522"/>
        <w:gridCol w:w="1252"/>
        <w:gridCol w:w="853"/>
        <w:gridCol w:w="984"/>
        <w:gridCol w:w="584"/>
        <w:gridCol w:w="1082"/>
        <w:gridCol w:w="823"/>
      </w:tblGrid>
      <w:tr w14:paraId="75EF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22" w:type="dxa"/>
            <w:shd w:val="clear" w:color="auto" w:fill="auto"/>
            <w:tcMar>
              <w:top w:w="0" w:type="dxa"/>
              <w:left w:w="105" w:type="dxa"/>
              <w:bottom w:w="0" w:type="dxa"/>
              <w:right w:w="105" w:type="dxa"/>
            </w:tcMar>
            <w:vAlign w:val="center"/>
          </w:tcPr>
          <w:p w14:paraId="15836725">
            <w:pPr>
              <w:pStyle w:val="27"/>
              <w:widowControl/>
              <w:jc w:val="center"/>
              <w:rPr>
                <w:color w:val="auto"/>
              </w:rPr>
            </w:pPr>
            <w:r>
              <w:rPr>
                <w:rFonts w:hint="eastAsia" w:ascii="宋体" w:hAnsi="宋体" w:eastAsia="宋体" w:cs="宋体"/>
                <w:color w:val="auto"/>
                <w:sz w:val="21"/>
                <w:szCs w:val="21"/>
              </w:rPr>
              <w:t>合同包</w:t>
            </w:r>
          </w:p>
        </w:tc>
        <w:tc>
          <w:tcPr>
            <w:tcW w:w="923" w:type="dxa"/>
            <w:shd w:val="clear" w:color="auto" w:fill="auto"/>
            <w:tcMar>
              <w:top w:w="0" w:type="dxa"/>
              <w:left w:w="105" w:type="dxa"/>
              <w:bottom w:w="0" w:type="dxa"/>
              <w:right w:w="105" w:type="dxa"/>
            </w:tcMar>
            <w:vAlign w:val="center"/>
          </w:tcPr>
          <w:p w14:paraId="469A887B">
            <w:pPr>
              <w:pStyle w:val="27"/>
              <w:widowControl/>
              <w:jc w:val="center"/>
              <w:rPr>
                <w:color w:val="auto"/>
              </w:rPr>
            </w:pPr>
            <w:r>
              <w:rPr>
                <w:rFonts w:hint="eastAsia" w:ascii="宋体" w:hAnsi="宋体" w:eastAsia="宋体" w:cs="宋体"/>
                <w:color w:val="auto"/>
                <w:sz w:val="21"/>
                <w:szCs w:val="21"/>
              </w:rPr>
              <w:t>品目号</w:t>
            </w:r>
          </w:p>
        </w:tc>
        <w:tc>
          <w:tcPr>
            <w:tcW w:w="1492" w:type="dxa"/>
            <w:shd w:val="clear" w:color="auto" w:fill="auto"/>
            <w:tcMar>
              <w:top w:w="0" w:type="dxa"/>
              <w:left w:w="105" w:type="dxa"/>
              <w:bottom w:w="0" w:type="dxa"/>
              <w:right w:w="105" w:type="dxa"/>
            </w:tcMar>
            <w:vAlign w:val="center"/>
          </w:tcPr>
          <w:p w14:paraId="2537074F">
            <w:pPr>
              <w:pStyle w:val="27"/>
              <w:widowControl/>
              <w:jc w:val="center"/>
              <w:rPr>
                <w:color w:val="auto"/>
              </w:rPr>
            </w:pPr>
            <w:r>
              <w:rPr>
                <w:rFonts w:hint="eastAsia" w:ascii="宋体" w:hAnsi="宋体" w:eastAsia="宋体" w:cs="宋体"/>
                <w:color w:val="auto"/>
                <w:sz w:val="21"/>
                <w:szCs w:val="21"/>
              </w:rPr>
              <w:t>投标标的</w:t>
            </w:r>
          </w:p>
        </w:tc>
        <w:tc>
          <w:tcPr>
            <w:tcW w:w="1222" w:type="dxa"/>
            <w:shd w:val="clear" w:color="auto" w:fill="auto"/>
            <w:tcMar>
              <w:top w:w="0" w:type="dxa"/>
              <w:left w:w="105" w:type="dxa"/>
              <w:bottom w:w="0" w:type="dxa"/>
              <w:right w:w="105" w:type="dxa"/>
            </w:tcMar>
            <w:vAlign w:val="center"/>
          </w:tcPr>
          <w:p w14:paraId="1218E67A">
            <w:pPr>
              <w:pStyle w:val="27"/>
              <w:widowControl/>
              <w:jc w:val="center"/>
              <w:rPr>
                <w:color w:val="auto"/>
              </w:rPr>
            </w:pPr>
            <w:r>
              <w:rPr>
                <w:rFonts w:hint="eastAsia" w:ascii="宋体" w:hAnsi="宋体" w:eastAsia="宋体" w:cs="宋体"/>
                <w:color w:val="auto"/>
                <w:sz w:val="21"/>
                <w:szCs w:val="21"/>
              </w:rPr>
              <w:t>规格</w:t>
            </w:r>
          </w:p>
        </w:tc>
        <w:tc>
          <w:tcPr>
            <w:tcW w:w="823" w:type="dxa"/>
            <w:shd w:val="clear" w:color="auto" w:fill="auto"/>
            <w:tcMar>
              <w:top w:w="0" w:type="dxa"/>
              <w:left w:w="105" w:type="dxa"/>
              <w:bottom w:w="0" w:type="dxa"/>
              <w:right w:w="105" w:type="dxa"/>
            </w:tcMar>
            <w:vAlign w:val="center"/>
          </w:tcPr>
          <w:p w14:paraId="002B6582">
            <w:pPr>
              <w:pStyle w:val="27"/>
              <w:widowControl/>
              <w:jc w:val="center"/>
              <w:rPr>
                <w:color w:val="auto"/>
              </w:rPr>
            </w:pPr>
            <w:r>
              <w:rPr>
                <w:rFonts w:hint="eastAsia" w:ascii="宋体" w:hAnsi="宋体" w:eastAsia="宋体" w:cs="宋体"/>
                <w:color w:val="auto"/>
                <w:sz w:val="21"/>
                <w:szCs w:val="21"/>
              </w:rPr>
              <w:t>来源地</w:t>
            </w:r>
          </w:p>
        </w:tc>
        <w:tc>
          <w:tcPr>
            <w:tcW w:w="954" w:type="dxa"/>
            <w:shd w:val="clear" w:color="auto" w:fill="auto"/>
            <w:tcMar>
              <w:top w:w="0" w:type="dxa"/>
              <w:left w:w="105" w:type="dxa"/>
              <w:bottom w:w="0" w:type="dxa"/>
              <w:right w:w="105" w:type="dxa"/>
            </w:tcMar>
            <w:vAlign w:val="center"/>
          </w:tcPr>
          <w:p w14:paraId="7B5C9173">
            <w:pPr>
              <w:pStyle w:val="27"/>
              <w:widowControl/>
              <w:jc w:val="center"/>
              <w:rPr>
                <w:color w:val="auto"/>
              </w:rPr>
            </w:pPr>
            <w:r>
              <w:rPr>
                <w:rFonts w:hint="eastAsia" w:ascii="宋体" w:hAnsi="宋体" w:eastAsia="宋体" w:cs="宋体"/>
                <w:color w:val="auto"/>
                <w:sz w:val="21"/>
                <w:szCs w:val="21"/>
              </w:rPr>
              <w:t>单价</w:t>
            </w:r>
          </w:p>
          <w:p w14:paraId="117737EA">
            <w:pPr>
              <w:pStyle w:val="27"/>
              <w:widowControl/>
              <w:jc w:val="center"/>
              <w:rPr>
                <w:color w:val="auto"/>
              </w:rPr>
            </w:pPr>
            <w:r>
              <w:rPr>
                <w:rFonts w:hint="eastAsia" w:ascii="宋体" w:hAnsi="宋体" w:eastAsia="宋体" w:cs="宋体"/>
                <w:color w:val="auto"/>
                <w:sz w:val="21"/>
                <w:szCs w:val="21"/>
              </w:rPr>
              <w:t>（现场）</w:t>
            </w:r>
          </w:p>
        </w:tc>
        <w:tc>
          <w:tcPr>
            <w:tcW w:w="554" w:type="dxa"/>
            <w:shd w:val="clear" w:color="auto" w:fill="auto"/>
            <w:tcMar>
              <w:top w:w="0" w:type="dxa"/>
              <w:left w:w="105" w:type="dxa"/>
              <w:bottom w:w="0" w:type="dxa"/>
              <w:right w:w="105" w:type="dxa"/>
            </w:tcMar>
            <w:vAlign w:val="center"/>
          </w:tcPr>
          <w:p w14:paraId="27284145">
            <w:pPr>
              <w:pStyle w:val="27"/>
              <w:widowControl/>
              <w:jc w:val="center"/>
              <w:rPr>
                <w:color w:val="auto"/>
              </w:rPr>
            </w:pPr>
            <w:r>
              <w:rPr>
                <w:rFonts w:hint="eastAsia" w:ascii="宋体" w:hAnsi="宋体" w:eastAsia="宋体" w:cs="宋体"/>
                <w:color w:val="auto"/>
                <w:sz w:val="21"/>
                <w:szCs w:val="21"/>
              </w:rPr>
              <w:t>数量</w:t>
            </w:r>
          </w:p>
        </w:tc>
        <w:tc>
          <w:tcPr>
            <w:tcW w:w="1052" w:type="dxa"/>
            <w:shd w:val="clear" w:color="auto" w:fill="auto"/>
            <w:tcMar>
              <w:top w:w="0" w:type="dxa"/>
              <w:left w:w="105" w:type="dxa"/>
              <w:bottom w:w="0" w:type="dxa"/>
              <w:right w:w="105" w:type="dxa"/>
            </w:tcMar>
            <w:vAlign w:val="center"/>
          </w:tcPr>
          <w:p w14:paraId="637A4E3F">
            <w:pPr>
              <w:pStyle w:val="27"/>
              <w:widowControl/>
              <w:jc w:val="center"/>
              <w:rPr>
                <w:color w:val="auto"/>
              </w:rPr>
            </w:pPr>
            <w:r>
              <w:rPr>
                <w:rFonts w:hint="eastAsia" w:ascii="宋体" w:hAnsi="宋体" w:eastAsia="宋体" w:cs="宋体"/>
                <w:color w:val="auto"/>
                <w:sz w:val="21"/>
                <w:szCs w:val="21"/>
              </w:rPr>
              <w:t>总价</w:t>
            </w:r>
          </w:p>
          <w:p w14:paraId="444E195D">
            <w:pPr>
              <w:pStyle w:val="27"/>
              <w:widowControl/>
              <w:jc w:val="center"/>
              <w:rPr>
                <w:color w:val="auto"/>
              </w:rPr>
            </w:pPr>
            <w:r>
              <w:rPr>
                <w:rFonts w:hint="eastAsia" w:ascii="宋体" w:hAnsi="宋体" w:eastAsia="宋体" w:cs="宋体"/>
                <w:color w:val="auto"/>
                <w:sz w:val="21"/>
                <w:szCs w:val="21"/>
              </w:rPr>
              <w:t>（现场）</w:t>
            </w:r>
          </w:p>
        </w:tc>
        <w:tc>
          <w:tcPr>
            <w:tcW w:w="778" w:type="dxa"/>
            <w:shd w:val="clear" w:color="auto" w:fill="auto"/>
            <w:tcMar>
              <w:top w:w="0" w:type="dxa"/>
              <w:left w:w="105" w:type="dxa"/>
              <w:bottom w:w="0" w:type="dxa"/>
              <w:right w:w="105" w:type="dxa"/>
            </w:tcMar>
            <w:vAlign w:val="center"/>
          </w:tcPr>
          <w:p w14:paraId="1F0796FA">
            <w:pPr>
              <w:pStyle w:val="27"/>
              <w:widowControl/>
              <w:jc w:val="center"/>
              <w:rPr>
                <w:color w:val="auto"/>
              </w:rPr>
            </w:pPr>
            <w:r>
              <w:rPr>
                <w:rFonts w:hint="eastAsia" w:ascii="宋体" w:hAnsi="宋体" w:eastAsia="宋体" w:cs="宋体"/>
                <w:color w:val="auto"/>
                <w:sz w:val="21"/>
                <w:szCs w:val="21"/>
              </w:rPr>
              <w:t>备注</w:t>
            </w:r>
          </w:p>
        </w:tc>
      </w:tr>
      <w:tr w14:paraId="5314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22" w:type="dxa"/>
            <w:vMerge w:val="restart"/>
            <w:shd w:val="clear" w:color="auto" w:fill="auto"/>
            <w:tcMar>
              <w:top w:w="0" w:type="dxa"/>
              <w:left w:w="105" w:type="dxa"/>
              <w:bottom w:w="0" w:type="dxa"/>
              <w:right w:w="105" w:type="dxa"/>
            </w:tcMar>
            <w:vAlign w:val="center"/>
          </w:tcPr>
          <w:p w14:paraId="08D6AE23">
            <w:pPr>
              <w:pStyle w:val="27"/>
              <w:widowControl/>
              <w:jc w:val="center"/>
              <w:rPr>
                <w:color w:val="auto"/>
              </w:rPr>
            </w:pPr>
            <w:r>
              <w:rPr>
                <w:rFonts w:hint="eastAsia" w:ascii="宋体" w:hAnsi="宋体" w:eastAsia="宋体" w:cs="宋体"/>
                <w:color w:val="auto"/>
                <w:sz w:val="21"/>
                <w:szCs w:val="21"/>
              </w:rPr>
              <w:t>*</w:t>
            </w:r>
          </w:p>
        </w:tc>
        <w:tc>
          <w:tcPr>
            <w:tcW w:w="923" w:type="dxa"/>
            <w:shd w:val="clear" w:color="auto" w:fill="auto"/>
            <w:tcMar>
              <w:top w:w="0" w:type="dxa"/>
              <w:left w:w="105" w:type="dxa"/>
              <w:bottom w:w="0" w:type="dxa"/>
              <w:right w:w="105" w:type="dxa"/>
            </w:tcMar>
            <w:vAlign w:val="center"/>
          </w:tcPr>
          <w:p w14:paraId="640466DA">
            <w:pPr>
              <w:pStyle w:val="27"/>
              <w:widowControl/>
              <w:jc w:val="center"/>
              <w:rPr>
                <w:color w:val="auto"/>
              </w:rPr>
            </w:pPr>
            <w:r>
              <w:rPr>
                <w:rFonts w:hint="eastAsia" w:ascii="宋体" w:hAnsi="宋体" w:eastAsia="宋体" w:cs="宋体"/>
                <w:color w:val="auto"/>
                <w:sz w:val="21"/>
                <w:szCs w:val="21"/>
              </w:rPr>
              <w:t>*-1</w:t>
            </w:r>
          </w:p>
        </w:tc>
        <w:tc>
          <w:tcPr>
            <w:tcW w:w="1492" w:type="dxa"/>
            <w:shd w:val="clear" w:color="auto" w:fill="auto"/>
            <w:tcMar>
              <w:top w:w="0" w:type="dxa"/>
              <w:left w:w="105" w:type="dxa"/>
              <w:bottom w:w="0" w:type="dxa"/>
              <w:right w:w="105" w:type="dxa"/>
            </w:tcMar>
          </w:tcPr>
          <w:p w14:paraId="4DA6F3FD">
            <w:pPr>
              <w:widowControl/>
              <w:jc w:val="left"/>
              <w:rPr>
                <w:color w:val="auto"/>
              </w:rPr>
            </w:pPr>
          </w:p>
        </w:tc>
        <w:tc>
          <w:tcPr>
            <w:tcW w:w="1222" w:type="dxa"/>
            <w:shd w:val="clear" w:color="auto" w:fill="auto"/>
            <w:tcMar>
              <w:top w:w="0" w:type="dxa"/>
              <w:left w:w="105" w:type="dxa"/>
              <w:bottom w:w="0" w:type="dxa"/>
              <w:right w:w="105" w:type="dxa"/>
            </w:tcMar>
            <w:vAlign w:val="center"/>
          </w:tcPr>
          <w:p w14:paraId="493F4C68">
            <w:pPr>
              <w:widowControl/>
              <w:jc w:val="left"/>
              <w:rPr>
                <w:color w:val="auto"/>
              </w:rPr>
            </w:pPr>
          </w:p>
        </w:tc>
        <w:tc>
          <w:tcPr>
            <w:tcW w:w="823" w:type="dxa"/>
            <w:shd w:val="clear" w:color="auto" w:fill="auto"/>
            <w:tcMar>
              <w:top w:w="0" w:type="dxa"/>
              <w:left w:w="105" w:type="dxa"/>
              <w:bottom w:w="0" w:type="dxa"/>
              <w:right w:w="105" w:type="dxa"/>
            </w:tcMar>
          </w:tcPr>
          <w:p w14:paraId="498DB54F">
            <w:pPr>
              <w:widowControl/>
              <w:jc w:val="left"/>
              <w:rPr>
                <w:color w:val="auto"/>
              </w:rPr>
            </w:pPr>
          </w:p>
        </w:tc>
        <w:tc>
          <w:tcPr>
            <w:tcW w:w="954" w:type="dxa"/>
            <w:shd w:val="clear" w:color="auto" w:fill="auto"/>
            <w:tcMar>
              <w:top w:w="0" w:type="dxa"/>
              <w:left w:w="105" w:type="dxa"/>
              <w:bottom w:w="0" w:type="dxa"/>
              <w:right w:w="105" w:type="dxa"/>
            </w:tcMar>
          </w:tcPr>
          <w:p w14:paraId="084CBF20">
            <w:pPr>
              <w:widowControl/>
              <w:jc w:val="left"/>
              <w:rPr>
                <w:color w:val="auto"/>
              </w:rPr>
            </w:pPr>
          </w:p>
        </w:tc>
        <w:tc>
          <w:tcPr>
            <w:tcW w:w="554" w:type="dxa"/>
            <w:shd w:val="clear" w:color="auto" w:fill="auto"/>
            <w:tcMar>
              <w:top w:w="0" w:type="dxa"/>
              <w:left w:w="105" w:type="dxa"/>
              <w:bottom w:w="0" w:type="dxa"/>
              <w:right w:w="105" w:type="dxa"/>
            </w:tcMar>
          </w:tcPr>
          <w:p w14:paraId="06966CEA">
            <w:pPr>
              <w:widowControl/>
              <w:jc w:val="left"/>
              <w:rPr>
                <w:color w:val="auto"/>
              </w:rPr>
            </w:pPr>
          </w:p>
        </w:tc>
        <w:tc>
          <w:tcPr>
            <w:tcW w:w="1052" w:type="dxa"/>
            <w:shd w:val="clear" w:color="auto" w:fill="auto"/>
            <w:tcMar>
              <w:top w:w="0" w:type="dxa"/>
              <w:left w:w="105" w:type="dxa"/>
              <w:bottom w:w="0" w:type="dxa"/>
              <w:right w:w="105" w:type="dxa"/>
            </w:tcMar>
          </w:tcPr>
          <w:p w14:paraId="0F50737E">
            <w:pPr>
              <w:widowControl/>
              <w:jc w:val="left"/>
              <w:rPr>
                <w:color w:val="auto"/>
              </w:rPr>
            </w:pPr>
          </w:p>
        </w:tc>
        <w:tc>
          <w:tcPr>
            <w:tcW w:w="778" w:type="dxa"/>
            <w:shd w:val="clear" w:color="auto" w:fill="auto"/>
            <w:tcMar>
              <w:top w:w="0" w:type="dxa"/>
              <w:left w:w="105" w:type="dxa"/>
              <w:bottom w:w="0" w:type="dxa"/>
              <w:right w:w="105" w:type="dxa"/>
            </w:tcMar>
          </w:tcPr>
          <w:p w14:paraId="01A3B27A">
            <w:pPr>
              <w:widowControl/>
              <w:jc w:val="left"/>
              <w:rPr>
                <w:color w:val="auto"/>
              </w:rPr>
            </w:pPr>
          </w:p>
        </w:tc>
      </w:tr>
      <w:tr w14:paraId="22CC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22" w:type="dxa"/>
            <w:vMerge w:val="continue"/>
            <w:shd w:val="clear" w:color="auto" w:fill="auto"/>
            <w:tcMar>
              <w:top w:w="0" w:type="dxa"/>
              <w:left w:w="105" w:type="dxa"/>
              <w:bottom w:w="0" w:type="dxa"/>
              <w:right w:w="105" w:type="dxa"/>
            </w:tcMar>
            <w:vAlign w:val="center"/>
          </w:tcPr>
          <w:p w14:paraId="320C4BC2">
            <w:pPr>
              <w:rPr>
                <w:rFonts w:ascii="宋体"/>
                <w:color w:val="auto"/>
                <w:sz w:val="24"/>
              </w:rPr>
            </w:pPr>
          </w:p>
        </w:tc>
        <w:tc>
          <w:tcPr>
            <w:tcW w:w="923" w:type="dxa"/>
            <w:shd w:val="clear" w:color="auto" w:fill="auto"/>
            <w:tcMar>
              <w:top w:w="0" w:type="dxa"/>
              <w:left w:w="105" w:type="dxa"/>
              <w:bottom w:w="0" w:type="dxa"/>
              <w:right w:w="105" w:type="dxa"/>
            </w:tcMar>
            <w:vAlign w:val="center"/>
          </w:tcPr>
          <w:p w14:paraId="6D23B0CE">
            <w:pPr>
              <w:widowControl/>
              <w:jc w:val="left"/>
              <w:rPr>
                <w:color w:val="auto"/>
              </w:rPr>
            </w:pPr>
          </w:p>
        </w:tc>
        <w:tc>
          <w:tcPr>
            <w:tcW w:w="1492" w:type="dxa"/>
            <w:shd w:val="clear" w:color="auto" w:fill="auto"/>
            <w:tcMar>
              <w:top w:w="0" w:type="dxa"/>
              <w:left w:w="105" w:type="dxa"/>
              <w:bottom w:w="0" w:type="dxa"/>
              <w:right w:w="105" w:type="dxa"/>
            </w:tcMar>
          </w:tcPr>
          <w:p w14:paraId="539A6B8E">
            <w:pPr>
              <w:widowControl/>
              <w:jc w:val="left"/>
              <w:rPr>
                <w:color w:val="auto"/>
              </w:rPr>
            </w:pPr>
          </w:p>
        </w:tc>
        <w:tc>
          <w:tcPr>
            <w:tcW w:w="1222" w:type="dxa"/>
            <w:shd w:val="clear" w:color="auto" w:fill="auto"/>
            <w:tcMar>
              <w:top w:w="0" w:type="dxa"/>
              <w:left w:w="105" w:type="dxa"/>
              <w:bottom w:w="0" w:type="dxa"/>
              <w:right w:w="105" w:type="dxa"/>
            </w:tcMar>
            <w:vAlign w:val="center"/>
          </w:tcPr>
          <w:p w14:paraId="2C1F623B">
            <w:pPr>
              <w:widowControl/>
              <w:jc w:val="left"/>
              <w:rPr>
                <w:color w:val="auto"/>
              </w:rPr>
            </w:pPr>
          </w:p>
        </w:tc>
        <w:tc>
          <w:tcPr>
            <w:tcW w:w="823" w:type="dxa"/>
            <w:shd w:val="clear" w:color="auto" w:fill="auto"/>
            <w:tcMar>
              <w:top w:w="0" w:type="dxa"/>
              <w:left w:w="105" w:type="dxa"/>
              <w:bottom w:w="0" w:type="dxa"/>
              <w:right w:w="105" w:type="dxa"/>
            </w:tcMar>
          </w:tcPr>
          <w:p w14:paraId="3BFE67BE">
            <w:pPr>
              <w:widowControl/>
              <w:jc w:val="left"/>
              <w:rPr>
                <w:color w:val="auto"/>
              </w:rPr>
            </w:pPr>
          </w:p>
        </w:tc>
        <w:tc>
          <w:tcPr>
            <w:tcW w:w="954" w:type="dxa"/>
            <w:shd w:val="clear" w:color="auto" w:fill="auto"/>
            <w:tcMar>
              <w:top w:w="0" w:type="dxa"/>
              <w:left w:w="105" w:type="dxa"/>
              <w:bottom w:w="0" w:type="dxa"/>
              <w:right w:w="105" w:type="dxa"/>
            </w:tcMar>
          </w:tcPr>
          <w:p w14:paraId="2E795770">
            <w:pPr>
              <w:widowControl/>
              <w:jc w:val="left"/>
              <w:rPr>
                <w:color w:val="auto"/>
              </w:rPr>
            </w:pPr>
          </w:p>
        </w:tc>
        <w:tc>
          <w:tcPr>
            <w:tcW w:w="554" w:type="dxa"/>
            <w:shd w:val="clear" w:color="auto" w:fill="auto"/>
            <w:tcMar>
              <w:top w:w="0" w:type="dxa"/>
              <w:left w:w="105" w:type="dxa"/>
              <w:bottom w:w="0" w:type="dxa"/>
              <w:right w:w="105" w:type="dxa"/>
            </w:tcMar>
          </w:tcPr>
          <w:p w14:paraId="1E633224">
            <w:pPr>
              <w:widowControl/>
              <w:jc w:val="left"/>
              <w:rPr>
                <w:color w:val="auto"/>
              </w:rPr>
            </w:pPr>
          </w:p>
        </w:tc>
        <w:tc>
          <w:tcPr>
            <w:tcW w:w="1052" w:type="dxa"/>
            <w:shd w:val="clear" w:color="auto" w:fill="auto"/>
            <w:tcMar>
              <w:top w:w="0" w:type="dxa"/>
              <w:left w:w="105" w:type="dxa"/>
              <w:bottom w:w="0" w:type="dxa"/>
              <w:right w:w="105" w:type="dxa"/>
            </w:tcMar>
          </w:tcPr>
          <w:p w14:paraId="25D4E010">
            <w:pPr>
              <w:widowControl/>
              <w:jc w:val="left"/>
              <w:rPr>
                <w:color w:val="auto"/>
              </w:rPr>
            </w:pPr>
          </w:p>
        </w:tc>
        <w:tc>
          <w:tcPr>
            <w:tcW w:w="778" w:type="dxa"/>
            <w:shd w:val="clear" w:color="auto" w:fill="auto"/>
            <w:tcMar>
              <w:top w:w="0" w:type="dxa"/>
              <w:left w:w="105" w:type="dxa"/>
              <w:bottom w:w="0" w:type="dxa"/>
              <w:right w:w="105" w:type="dxa"/>
            </w:tcMar>
          </w:tcPr>
          <w:p w14:paraId="5D7EFDDA">
            <w:pPr>
              <w:widowControl/>
              <w:jc w:val="left"/>
              <w:rPr>
                <w:color w:val="auto"/>
              </w:rPr>
            </w:pPr>
          </w:p>
        </w:tc>
      </w:tr>
      <w:tr w14:paraId="528B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22" w:type="dxa"/>
            <w:shd w:val="clear" w:color="auto" w:fill="auto"/>
            <w:tcMar>
              <w:top w:w="0" w:type="dxa"/>
              <w:left w:w="105" w:type="dxa"/>
              <w:bottom w:w="0" w:type="dxa"/>
              <w:right w:w="105" w:type="dxa"/>
            </w:tcMar>
            <w:vAlign w:val="center"/>
          </w:tcPr>
          <w:p w14:paraId="762BA075">
            <w:pPr>
              <w:pStyle w:val="27"/>
              <w:widowControl/>
              <w:jc w:val="center"/>
              <w:rPr>
                <w:color w:val="auto"/>
              </w:rPr>
            </w:pPr>
            <w:r>
              <w:rPr>
                <w:rFonts w:ascii="Calibri" w:hAnsi="Calibri" w:cs="Calibri"/>
                <w:color w:val="auto"/>
                <w:sz w:val="21"/>
                <w:szCs w:val="21"/>
              </w:rPr>
              <w:t>…</w:t>
            </w:r>
          </w:p>
        </w:tc>
        <w:tc>
          <w:tcPr>
            <w:tcW w:w="923" w:type="dxa"/>
            <w:shd w:val="clear" w:color="auto" w:fill="auto"/>
            <w:tcMar>
              <w:top w:w="0" w:type="dxa"/>
              <w:left w:w="105" w:type="dxa"/>
              <w:bottom w:w="0" w:type="dxa"/>
              <w:right w:w="105" w:type="dxa"/>
            </w:tcMar>
            <w:vAlign w:val="center"/>
          </w:tcPr>
          <w:p w14:paraId="3660EFE2">
            <w:pPr>
              <w:widowControl/>
              <w:jc w:val="left"/>
              <w:rPr>
                <w:color w:val="auto"/>
              </w:rPr>
            </w:pPr>
          </w:p>
        </w:tc>
        <w:tc>
          <w:tcPr>
            <w:tcW w:w="1492" w:type="dxa"/>
            <w:shd w:val="clear" w:color="auto" w:fill="auto"/>
            <w:tcMar>
              <w:top w:w="0" w:type="dxa"/>
              <w:left w:w="105" w:type="dxa"/>
              <w:bottom w:w="0" w:type="dxa"/>
              <w:right w:w="105" w:type="dxa"/>
            </w:tcMar>
          </w:tcPr>
          <w:p w14:paraId="6DD11590">
            <w:pPr>
              <w:widowControl/>
              <w:jc w:val="left"/>
              <w:rPr>
                <w:color w:val="auto"/>
              </w:rPr>
            </w:pPr>
          </w:p>
        </w:tc>
        <w:tc>
          <w:tcPr>
            <w:tcW w:w="1222" w:type="dxa"/>
            <w:shd w:val="clear" w:color="auto" w:fill="auto"/>
            <w:tcMar>
              <w:top w:w="0" w:type="dxa"/>
              <w:left w:w="105" w:type="dxa"/>
              <w:bottom w:w="0" w:type="dxa"/>
              <w:right w:w="105" w:type="dxa"/>
            </w:tcMar>
            <w:vAlign w:val="center"/>
          </w:tcPr>
          <w:p w14:paraId="041FEA1F">
            <w:pPr>
              <w:widowControl/>
              <w:jc w:val="left"/>
              <w:rPr>
                <w:color w:val="auto"/>
              </w:rPr>
            </w:pPr>
          </w:p>
        </w:tc>
        <w:tc>
          <w:tcPr>
            <w:tcW w:w="823" w:type="dxa"/>
            <w:shd w:val="clear" w:color="auto" w:fill="auto"/>
            <w:tcMar>
              <w:top w:w="0" w:type="dxa"/>
              <w:left w:w="105" w:type="dxa"/>
              <w:bottom w:w="0" w:type="dxa"/>
              <w:right w:w="105" w:type="dxa"/>
            </w:tcMar>
          </w:tcPr>
          <w:p w14:paraId="1DBEA4BA">
            <w:pPr>
              <w:widowControl/>
              <w:jc w:val="left"/>
              <w:rPr>
                <w:color w:val="auto"/>
              </w:rPr>
            </w:pPr>
          </w:p>
        </w:tc>
        <w:tc>
          <w:tcPr>
            <w:tcW w:w="954" w:type="dxa"/>
            <w:shd w:val="clear" w:color="auto" w:fill="auto"/>
            <w:tcMar>
              <w:top w:w="0" w:type="dxa"/>
              <w:left w:w="105" w:type="dxa"/>
              <w:bottom w:w="0" w:type="dxa"/>
              <w:right w:w="105" w:type="dxa"/>
            </w:tcMar>
          </w:tcPr>
          <w:p w14:paraId="0539E652">
            <w:pPr>
              <w:widowControl/>
              <w:jc w:val="left"/>
              <w:rPr>
                <w:color w:val="auto"/>
              </w:rPr>
            </w:pPr>
          </w:p>
        </w:tc>
        <w:tc>
          <w:tcPr>
            <w:tcW w:w="554" w:type="dxa"/>
            <w:shd w:val="clear" w:color="auto" w:fill="auto"/>
            <w:tcMar>
              <w:top w:w="0" w:type="dxa"/>
              <w:left w:w="105" w:type="dxa"/>
              <w:bottom w:w="0" w:type="dxa"/>
              <w:right w:w="105" w:type="dxa"/>
            </w:tcMar>
          </w:tcPr>
          <w:p w14:paraId="7EB995AC">
            <w:pPr>
              <w:widowControl/>
              <w:jc w:val="left"/>
              <w:rPr>
                <w:color w:val="auto"/>
              </w:rPr>
            </w:pPr>
          </w:p>
        </w:tc>
        <w:tc>
          <w:tcPr>
            <w:tcW w:w="1052" w:type="dxa"/>
            <w:shd w:val="clear" w:color="auto" w:fill="auto"/>
            <w:tcMar>
              <w:top w:w="0" w:type="dxa"/>
              <w:left w:w="105" w:type="dxa"/>
              <w:bottom w:w="0" w:type="dxa"/>
              <w:right w:w="105" w:type="dxa"/>
            </w:tcMar>
          </w:tcPr>
          <w:p w14:paraId="0911DDB0">
            <w:pPr>
              <w:widowControl/>
              <w:jc w:val="left"/>
              <w:rPr>
                <w:color w:val="auto"/>
              </w:rPr>
            </w:pPr>
          </w:p>
        </w:tc>
        <w:tc>
          <w:tcPr>
            <w:tcW w:w="778" w:type="dxa"/>
            <w:shd w:val="clear" w:color="auto" w:fill="auto"/>
            <w:tcMar>
              <w:top w:w="0" w:type="dxa"/>
              <w:left w:w="105" w:type="dxa"/>
              <w:bottom w:w="0" w:type="dxa"/>
              <w:right w:w="105" w:type="dxa"/>
            </w:tcMar>
          </w:tcPr>
          <w:p w14:paraId="5AD3AD16">
            <w:pPr>
              <w:widowControl/>
              <w:jc w:val="left"/>
              <w:rPr>
                <w:color w:val="auto"/>
              </w:rPr>
            </w:pPr>
          </w:p>
        </w:tc>
      </w:tr>
    </w:tbl>
    <w:p w14:paraId="400CD5EF">
      <w:pPr>
        <w:pStyle w:val="27"/>
        <w:widowControl/>
        <w:rPr>
          <w:color w:val="auto"/>
        </w:rPr>
      </w:pPr>
      <w:r>
        <w:rPr>
          <w:rFonts w:hint="eastAsia" w:ascii="宋体" w:hAnsi="宋体" w:eastAsia="宋体" w:cs="宋体"/>
          <w:color w:val="auto"/>
          <w:sz w:val="21"/>
          <w:szCs w:val="21"/>
        </w:rPr>
        <w:t>★注意：</w:t>
      </w:r>
    </w:p>
    <w:p w14:paraId="52FBF2CC">
      <w:pPr>
        <w:pStyle w:val="27"/>
        <w:widowControl/>
        <w:rPr>
          <w:color w:val="auto"/>
        </w:rPr>
      </w:pPr>
      <w:r>
        <w:rPr>
          <w:rFonts w:hint="eastAsia" w:ascii="宋体" w:hAnsi="宋体" w:eastAsia="宋体" w:cs="宋体"/>
          <w:color w:val="auto"/>
          <w:sz w:val="21"/>
          <w:szCs w:val="21"/>
        </w:rPr>
        <w:t>1、本表应按照下列规定填写：</w:t>
      </w:r>
    </w:p>
    <w:p w14:paraId="79416909">
      <w:pPr>
        <w:pStyle w:val="27"/>
        <w:widowControl/>
        <w:rPr>
          <w:color w:val="auto"/>
        </w:rPr>
      </w:pPr>
      <w:r>
        <w:rPr>
          <w:rFonts w:hint="eastAsia" w:ascii="宋体" w:hAnsi="宋体" w:eastAsia="宋体" w:cs="宋体"/>
          <w:color w:val="auto"/>
          <w:sz w:val="21"/>
          <w:szCs w:val="21"/>
        </w:rPr>
        <w:t>1.1投标人应按照本表格式填写所投合同包的分项报价，其中：“合同包”、“品目号”、“投标标的”及“数量”应与招标文件《采购标的一览表》中的有关内容（“合同包”、“品目号”、“采购标的”及“数量”）保持一致，“合同包”还应与《开标一览表》中列示的“合同包”保持一致，即：若《开标一览表》中列示的“合同包”为“</w:t>
      </w:r>
      <w:r>
        <w:rPr>
          <w:rFonts w:ascii="Calibri" w:hAnsi="Calibri" w:eastAsia="宋体" w:cs="Calibri"/>
          <w:color w:val="auto"/>
          <w:sz w:val="21"/>
          <w:szCs w:val="21"/>
        </w:rPr>
        <w:t>1</w:t>
      </w:r>
      <w:r>
        <w:rPr>
          <w:rFonts w:hint="eastAsia" w:ascii="宋体" w:hAnsi="宋体" w:eastAsia="宋体" w:cs="宋体"/>
          <w:color w:val="auto"/>
          <w:sz w:val="21"/>
          <w:szCs w:val="21"/>
        </w:rPr>
        <w:t>”时，本表中列示的“合同包”亦应为“</w:t>
      </w:r>
      <w:r>
        <w:rPr>
          <w:rFonts w:ascii="Calibri" w:hAnsi="Calibri" w:eastAsia="宋体" w:cs="Calibri"/>
          <w:color w:val="auto"/>
          <w:sz w:val="21"/>
          <w:szCs w:val="21"/>
        </w:rPr>
        <w:t>1</w:t>
      </w:r>
      <w:r>
        <w:rPr>
          <w:rFonts w:hint="eastAsia" w:ascii="宋体" w:hAnsi="宋体" w:eastAsia="宋体" w:cs="宋体"/>
          <w:color w:val="auto"/>
          <w:sz w:val="21"/>
          <w:szCs w:val="21"/>
        </w:rPr>
        <w:t>”，以此类推。</w:t>
      </w:r>
    </w:p>
    <w:p w14:paraId="1034C076">
      <w:pPr>
        <w:pStyle w:val="27"/>
        <w:widowControl/>
        <w:rPr>
          <w:color w:val="auto"/>
        </w:rPr>
      </w:pPr>
      <w:r>
        <w:rPr>
          <w:rFonts w:hint="eastAsia" w:ascii="宋体" w:hAnsi="宋体" w:eastAsia="宋体" w:cs="宋体"/>
          <w:color w:val="auto"/>
          <w:sz w:val="21"/>
          <w:szCs w:val="21"/>
        </w:rPr>
        <w:t>1.2“投标标的”为货物的：</w:t>
      </w:r>
      <w:r>
        <w:rPr>
          <w:rStyle w:val="32"/>
          <w:rFonts w:hint="eastAsia" w:ascii="宋体" w:hAnsi="宋体" w:eastAsia="宋体" w:cs="宋体"/>
          <w:color w:val="auto"/>
          <w:sz w:val="21"/>
          <w:szCs w:val="21"/>
        </w:rPr>
        <w:t>“规格”</w:t>
      </w:r>
      <w:r>
        <w:rPr>
          <w:rFonts w:hint="eastAsia" w:ascii="宋体" w:hAnsi="宋体" w:eastAsia="宋体" w:cs="宋体"/>
          <w:color w:val="auto"/>
          <w:sz w:val="21"/>
          <w:szCs w:val="21"/>
        </w:rPr>
        <w:t>项下应填写货物制造厂商赋予的品牌（属于节能、环保清单产品的货物，填写的品牌名称应与清单载明的品牌名称保持一致）及具体型号。</w:t>
      </w:r>
      <w:r>
        <w:rPr>
          <w:rStyle w:val="32"/>
          <w:rFonts w:hint="eastAsia" w:ascii="宋体" w:hAnsi="宋体" w:eastAsia="宋体" w:cs="宋体"/>
          <w:color w:val="auto"/>
          <w:sz w:val="21"/>
          <w:szCs w:val="21"/>
        </w:rPr>
        <w:t>“来源地”</w:t>
      </w:r>
      <w:r>
        <w:rPr>
          <w:rFonts w:hint="eastAsia" w:ascii="宋体" w:hAnsi="宋体" w:eastAsia="宋体" w:cs="宋体"/>
          <w:color w:val="auto"/>
          <w:sz w:val="21"/>
          <w:szCs w:val="21"/>
        </w:rPr>
        <w:t>应填写货物的原产地。</w:t>
      </w:r>
    </w:p>
    <w:p w14:paraId="56AB159A">
      <w:pPr>
        <w:pStyle w:val="27"/>
        <w:widowControl/>
        <w:rPr>
          <w:color w:val="auto"/>
        </w:rPr>
      </w:pPr>
      <w:r>
        <w:rPr>
          <w:rFonts w:hint="eastAsia" w:ascii="宋体" w:hAnsi="宋体" w:eastAsia="宋体" w:cs="宋体"/>
          <w:color w:val="auto"/>
          <w:sz w:val="21"/>
          <w:szCs w:val="21"/>
        </w:rPr>
        <w:t>1.3“投标标的”为服务的：</w:t>
      </w:r>
      <w:r>
        <w:rPr>
          <w:rStyle w:val="32"/>
          <w:rFonts w:hint="eastAsia" w:ascii="宋体" w:hAnsi="宋体" w:eastAsia="宋体" w:cs="宋体"/>
          <w:color w:val="auto"/>
          <w:sz w:val="21"/>
          <w:szCs w:val="21"/>
        </w:rPr>
        <w:t>“规格”</w:t>
      </w:r>
      <w:r>
        <w:rPr>
          <w:rFonts w:hint="eastAsia" w:ascii="宋体" w:hAnsi="宋体" w:eastAsia="宋体" w:cs="宋体"/>
          <w:color w:val="auto"/>
          <w:sz w:val="21"/>
          <w:szCs w:val="21"/>
        </w:rPr>
        <w:t>项下应填写服务提供者提供的服务标准及品牌（若有）。</w:t>
      </w:r>
      <w:r>
        <w:rPr>
          <w:rStyle w:val="32"/>
          <w:rFonts w:hint="eastAsia" w:ascii="宋体" w:hAnsi="宋体" w:eastAsia="宋体" w:cs="宋体"/>
          <w:color w:val="auto"/>
          <w:sz w:val="21"/>
          <w:szCs w:val="21"/>
        </w:rPr>
        <w:t>“来源地”</w:t>
      </w:r>
      <w:r>
        <w:rPr>
          <w:rFonts w:hint="eastAsia" w:ascii="宋体" w:hAnsi="宋体" w:eastAsia="宋体" w:cs="宋体"/>
          <w:color w:val="auto"/>
          <w:sz w:val="21"/>
          <w:szCs w:val="21"/>
        </w:rPr>
        <w:t>应填写服务提供者的所在地。</w:t>
      </w:r>
    </w:p>
    <w:p w14:paraId="06AFD736">
      <w:pPr>
        <w:pStyle w:val="27"/>
        <w:widowControl/>
        <w:rPr>
          <w:color w:val="auto"/>
        </w:rPr>
      </w:pPr>
      <w:r>
        <w:rPr>
          <w:rFonts w:hint="eastAsia" w:ascii="宋体" w:hAnsi="宋体" w:eastAsia="宋体" w:cs="宋体"/>
          <w:color w:val="auto"/>
          <w:sz w:val="21"/>
          <w:szCs w:val="21"/>
        </w:rPr>
        <w:t>1.4同一合同包中，</w:t>
      </w:r>
      <w:r>
        <w:rPr>
          <w:rStyle w:val="32"/>
          <w:rFonts w:hint="eastAsia" w:ascii="宋体" w:hAnsi="宋体" w:eastAsia="宋体" w:cs="宋体"/>
          <w:color w:val="auto"/>
          <w:sz w:val="21"/>
          <w:szCs w:val="21"/>
        </w:rPr>
        <w:t>“单价（现场）”</w:t>
      </w:r>
      <w:r>
        <w:rPr>
          <w:rFonts w:hint="eastAsia" w:ascii="宋体" w:hAnsi="宋体" w:eastAsia="宋体" w:cs="宋体"/>
          <w:color w:val="auto"/>
          <w:sz w:val="21"/>
          <w:szCs w:val="21"/>
        </w:rPr>
        <w:t>×</w:t>
      </w:r>
      <w:r>
        <w:rPr>
          <w:rStyle w:val="32"/>
          <w:rFonts w:hint="eastAsia" w:ascii="宋体" w:hAnsi="宋体" w:eastAsia="宋体" w:cs="宋体"/>
          <w:color w:val="auto"/>
          <w:sz w:val="21"/>
          <w:szCs w:val="21"/>
        </w:rPr>
        <w:t>“数量”</w:t>
      </w:r>
      <w:r>
        <w:rPr>
          <w:rFonts w:hint="eastAsia" w:ascii="宋体" w:hAnsi="宋体" w:eastAsia="宋体" w:cs="宋体"/>
          <w:color w:val="auto"/>
          <w:sz w:val="21"/>
          <w:szCs w:val="21"/>
        </w:rPr>
        <w:t>=</w:t>
      </w:r>
      <w:r>
        <w:rPr>
          <w:rStyle w:val="32"/>
          <w:rFonts w:hint="eastAsia" w:ascii="宋体" w:hAnsi="宋体" w:eastAsia="宋体" w:cs="宋体"/>
          <w:color w:val="auto"/>
          <w:sz w:val="21"/>
          <w:szCs w:val="21"/>
        </w:rPr>
        <w:t>“总价（现场）”</w:t>
      </w:r>
      <w:r>
        <w:rPr>
          <w:rFonts w:hint="eastAsia" w:ascii="宋体" w:hAnsi="宋体" w:eastAsia="宋体" w:cs="宋体"/>
          <w:color w:val="auto"/>
          <w:sz w:val="21"/>
          <w:szCs w:val="21"/>
        </w:rPr>
        <w:t>，全部品目号</w:t>
      </w:r>
      <w:r>
        <w:rPr>
          <w:rStyle w:val="32"/>
          <w:rFonts w:hint="eastAsia" w:ascii="宋体" w:hAnsi="宋体" w:eastAsia="宋体" w:cs="宋体"/>
          <w:color w:val="auto"/>
          <w:sz w:val="21"/>
          <w:szCs w:val="21"/>
        </w:rPr>
        <w:t>“总价（现场）”</w:t>
      </w:r>
      <w:r>
        <w:rPr>
          <w:rFonts w:hint="eastAsia" w:ascii="宋体" w:hAnsi="宋体" w:eastAsia="宋体" w:cs="宋体"/>
          <w:color w:val="auto"/>
          <w:sz w:val="21"/>
          <w:szCs w:val="21"/>
        </w:rPr>
        <w:t>的合计金额应与《开标一览表》中相应合同包列示的</w:t>
      </w:r>
      <w:r>
        <w:rPr>
          <w:rStyle w:val="32"/>
          <w:rFonts w:hint="eastAsia" w:ascii="宋体" w:hAnsi="宋体" w:eastAsia="宋体" w:cs="宋体"/>
          <w:color w:val="auto"/>
          <w:sz w:val="21"/>
          <w:szCs w:val="21"/>
        </w:rPr>
        <w:t>“投标总价”</w:t>
      </w:r>
      <w:r>
        <w:rPr>
          <w:rFonts w:hint="eastAsia" w:ascii="宋体" w:hAnsi="宋体" w:eastAsia="宋体" w:cs="宋体"/>
          <w:color w:val="auto"/>
          <w:sz w:val="21"/>
          <w:szCs w:val="21"/>
        </w:rPr>
        <w:t>保持一致。</w:t>
      </w:r>
    </w:p>
    <w:p w14:paraId="64411939">
      <w:pPr>
        <w:pStyle w:val="27"/>
        <w:widowControl/>
        <w:rPr>
          <w:color w:val="auto"/>
        </w:rPr>
      </w:pPr>
      <w:r>
        <w:rPr>
          <w:rFonts w:hint="eastAsia" w:ascii="宋体" w:hAnsi="宋体" w:eastAsia="宋体" w:cs="宋体"/>
          <w:color w:val="auto"/>
          <w:sz w:val="21"/>
          <w:szCs w:val="21"/>
        </w:rPr>
        <w:t>1.5若招标文件要求投标人对“备品备件价格、专用工具价格、技术服务费、安装调试费、检验培训费、运输费、保险费、税收”等进行报价的，请在本表的</w:t>
      </w:r>
      <w:r>
        <w:rPr>
          <w:rStyle w:val="32"/>
          <w:rFonts w:hint="eastAsia" w:ascii="宋体" w:hAnsi="宋体" w:eastAsia="宋体" w:cs="宋体"/>
          <w:color w:val="auto"/>
          <w:sz w:val="21"/>
          <w:szCs w:val="21"/>
        </w:rPr>
        <w:t>“备注”</w:t>
      </w:r>
      <w:r>
        <w:rPr>
          <w:rFonts w:hint="eastAsia" w:ascii="宋体" w:hAnsi="宋体" w:eastAsia="宋体" w:cs="宋体"/>
          <w:color w:val="auto"/>
          <w:sz w:val="21"/>
          <w:szCs w:val="21"/>
        </w:rPr>
        <w:t>项下填写。</w:t>
      </w:r>
    </w:p>
    <w:p w14:paraId="6001B1D3">
      <w:pPr>
        <w:pStyle w:val="27"/>
        <w:widowControl/>
        <w:rPr>
          <w:color w:val="auto"/>
        </w:rPr>
      </w:pPr>
      <w:r>
        <w:rPr>
          <w:rFonts w:hint="eastAsia" w:ascii="宋体" w:hAnsi="宋体" w:eastAsia="宋体" w:cs="宋体"/>
          <w:color w:val="auto"/>
          <w:sz w:val="21"/>
          <w:szCs w:val="21"/>
        </w:rPr>
        <w:t>2、纸质投标文件正本中的本表应为原件。</w:t>
      </w:r>
    </w:p>
    <w:p w14:paraId="6E9AE449">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48FAA84B">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3518B49E">
      <w:pPr>
        <w:pStyle w:val="27"/>
        <w:widowControl/>
        <w:rPr>
          <w:rFonts w:ascii="宋体" w:hAnsi="宋体" w:eastAsia="宋体" w:cs="宋体"/>
          <w:color w:val="auto"/>
          <w:sz w:val="21"/>
          <w:szCs w:val="21"/>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34D31CC3">
      <w:pPr>
        <w:pStyle w:val="27"/>
        <w:widowControl/>
        <w:rPr>
          <w:rFonts w:ascii="宋体" w:hAnsi="宋体" w:eastAsia="宋体" w:cs="宋体"/>
          <w:color w:val="auto"/>
          <w:sz w:val="21"/>
          <w:szCs w:val="21"/>
        </w:rPr>
      </w:pPr>
      <w:r>
        <w:rPr>
          <w:rFonts w:hint="eastAsia" w:ascii="宋体" w:hAnsi="宋体" w:eastAsia="宋体" w:cs="宋体"/>
          <w:color w:val="auto"/>
          <w:sz w:val="21"/>
          <w:szCs w:val="21"/>
        </w:rPr>
        <w:br w:type="page"/>
      </w:r>
    </w:p>
    <w:p w14:paraId="18803275">
      <w:pPr>
        <w:pStyle w:val="27"/>
        <w:widowControl/>
        <w:jc w:val="center"/>
        <w:outlineLvl w:val="1"/>
        <w:rPr>
          <w:color w:val="auto"/>
        </w:rPr>
      </w:pPr>
      <w:r>
        <w:rPr>
          <w:rStyle w:val="32"/>
          <w:rFonts w:hint="eastAsia" w:ascii="宋体" w:hAnsi="宋体" w:eastAsia="宋体" w:cs="宋体"/>
          <w:color w:val="auto"/>
          <w:sz w:val="21"/>
          <w:szCs w:val="21"/>
        </w:rPr>
        <w:t>三、招标文件规定的价格扣除证明材料（若有）</w:t>
      </w:r>
    </w:p>
    <w:p w14:paraId="57C49DC3">
      <w:pPr>
        <w:pStyle w:val="27"/>
        <w:widowControl/>
        <w:jc w:val="center"/>
        <w:rPr>
          <w:color w:val="auto"/>
        </w:rPr>
      </w:pPr>
      <w:r>
        <w:rPr>
          <w:rStyle w:val="32"/>
          <w:rFonts w:hint="eastAsia" w:ascii="宋体" w:hAnsi="宋体" w:eastAsia="宋体" w:cs="宋体"/>
          <w:color w:val="auto"/>
          <w:sz w:val="21"/>
          <w:szCs w:val="21"/>
        </w:rPr>
        <w:t> 三-1优先类节能产品、环境标志产品价格扣除证明材料（若有）</w:t>
      </w:r>
    </w:p>
    <w:p w14:paraId="0868C52B">
      <w:pPr>
        <w:pStyle w:val="27"/>
        <w:widowControl/>
        <w:jc w:val="center"/>
        <w:rPr>
          <w:color w:val="auto"/>
        </w:rPr>
      </w:pPr>
      <w:r>
        <w:rPr>
          <w:rStyle w:val="32"/>
          <w:rFonts w:hint="eastAsia" w:ascii="宋体" w:hAnsi="宋体" w:eastAsia="宋体" w:cs="宋体"/>
          <w:color w:val="auto"/>
          <w:sz w:val="21"/>
          <w:szCs w:val="21"/>
        </w:rPr>
        <w:t> 三-1-①优先类节能产品、环境标志产品统计表（价格扣除适用，若有）</w:t>
      </w:r>
    </w:p>
    <w:p w14:paraId="6249FEA7">
      <w:pPr>
        <w:pStyle w:val="27"/>
        <w:widowControl/>
        <w:rPr>
          <w:color w:val="auto"/>
        </w:rPr>
      </w:pPr>
      <w:r>
        <w:rPr>
          <w:rFonts w:hint="eastAsia" w:ascii="宋体" w:hAnsi="宋体" w:eastAsia="宋体" w:cs="宋体"/>
          <w:color w:val="auto"/>
          <w:sz w:val="21"/>
          <w:szCs w:val="21"/>
        </w:rPr>
        <w:t> 招标编号：</w:t>
      </w:r>
      <w:r>
        <w:rPr>
          <w:rFonts w:hint="eastAsia" w:ascii="宋体" w:hAnsi="宋体" w:eastAsia="宋体" w:cs="宋体"/>
          <w:color w:val="auto"/>
          <w:sz w:val="21"/>
          <w:szCs w:val="21"/>
          <w:u w:val="single"/>
        </w:rPr>
        <w:t>                   </w:t>
      </w:r>
    </w:p>
    <w:p w14:paraId="42C21899">
      <w:pPr>
        <w:pStyle w:val="27"/>
        <w:widowControl/>
        <w:jc w:val="right"/>
        <w:rPr>
          <w:color w:val="auto"/>
        </w:rPr>
      </w:pPr>
      <w:r>
        <w:rPr>
          <w:rFonts w:hint="eastAsia" w:ascii="宋体" w:hAnsi="宋体" w:eastAsia="宋体" w:cs="宋体"/>
          <w:color w:val="auto"/>
          <w:sz w:val="21"/>
          <w:szCs w:val="21"/>
        </w:rPr>
        <w:t>货币及单位：人民币元</w:t>
      </w:r>
    </w:p>
    <w:tbl>
      <w:tblPr>
        <w:tblStyle w:val="30"/>
        <w:tblW w:w="8539"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85"/>
        <w:gridCol w:w="1651"/>
        <w:gridCol w:w="1217"/>
        <w:gridCol w:w="1331"/>
        <w:gridCol w:w="1103"/>
        <w:gridCol w:w="1217"/>
        <w:gridCol w:w="1235"/>
      </w:tblGrid>
      <w:tr w14:paraId="60CB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1" w:hRule="atLeast"/>
          <w:tblCellSpacing w:w="15" w:type="dxa"/>
        </w:trPr>
        <w:tc>
          <w:tcPr>
            <w:tcW w:w="740" w:type="dxa"/>
            <w:shd w:val="clear" w:color="auto" w:fill="auto"/>
            <w:tcMar>
              <w:top w:w="0" w:type="dxa"/>
              <w:left w:w="105" w:type="dxa"/>
              <w:bottom w:w="0" w:type="dxa"/>
              <w:right w:w="105" w:type="dxa"/>
            </w:tcMar>
            <w:vAlign w:val="center"/>
          </w:tcPr>
          <w:p w14:paraId="2B2FDF58">
            <w:pPr>
              <w:widowControl/>
              <w:jc w:val="left"/>
              <w:rPr>
                <w:color w:val="auto"/>
              </w:rPr>
            </w:pPr>
          </w:p>
        </w:tc>
        <w:tc>
          <w:tcPr>
            <w:tcW w:w="7709" w:type="dxa"/>
            <w:gridSpan w:val="6"/>
            <w:shd w:val="clear" w:color="auto" w:fill="auto"/>
            <w:tcMar>
              <w:top w:w="0" w:type="dxa"/>
              <w:left w:w="105" w:type="dxa"/>
              <w:bottom w:w="0" w:type="dxa"/>
              <w:right w:w="105" w:type="dxa"/>
            </w:tcMar>
            <w:vAlign w:val="center"/>
          </w:tcPr>
          <w:p w14:paraId="2BF2FFF0">
            <w:pPr>
              <w:pStyle w:val="27"/>
              <w:widowControl/>
              <w:jc w:val="center"/>
              <w:rPr>
                <w:color w:val="auto"/>
              </w:rPr>
            </w:pPr>
            <w:r>
              <w:rPr>
                <w:rFonts w:hint="eastAsia" w:ascii="宋体" w:hAnsi="宋体" w:eastAsia="宋体" w:cs="宋体"/>
                <w:color w:val="auto"/>
                <w:sz w:val="21"/>
                <w:szCs w:val="21"/>
              </w:rPr>
              <w:t>本合同包内属于节能、环境标志产品的情况</w:t>
            </w:r>
          </w:p>
        </w:tc>
      </w:tr>
      <w:tr w14:paraId="135EA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2" w:hRule="atLeast"/>
          <w:tblCellSpacing w:w="15" w:type="dxa"/>
        </w:trPr>
        <w:tc>
          <w:tcPr>
            <w:tcW w:w="740" w:type="dxa"/>
            <w:shd w:val="clear" w:color="auto" w:fill="auto"/>
            <w:tcMar>
              <w:top w:w="0" w:type="dxa"/>
              <w:left w:w="105" w:type="dxa"/>
              <w:bottom w:w="0" w:type="dxa"/>
              <w:right w:w="105" w:type="dxa"/>
            </w:tcMar>
            <w:vAlign w:val="center"/>
          </w:tcPr>
          <w:p w14:paraId="01F91F2E">
            <w:pPr>
              <w:pStyle w:val="27"/>
              <w:widowControl/>
              <w:jc w:val="center"/>
              <w:rPr>
                <w:color w:val="auto"/>
              </w:rPr>
            </w:pPr>
            <w:r>
              <w:rPr>
                <w:rFonts w:hint="eastAsia" w:ascii="宋体" w:hAnsi="宋体" w:eastAsia="宋体" w:cs="宋体"/>
                <w:color w:val="auto"/>
                <w:sz w:val="21"/>
                <w:szCs w:val="21"/>
              </w:rPr>
              <w:t>合同包</w:t>
            </w:r>
          </w:p>
        </w:tc>
        <w:tc>
          <w:tcPr>
            <w:tcW w:w="1621" w:type="dxa"/>
            <w:shd w:val="clear" w:color="auto" w:fill="auto"/>
            <w:tcMar>
              <w:top w:w="0" w:type="dxa"/>
              <w:left w:w="105" w:type="dxa"/>
              <w:bottom w:w="0" w:type="dxa"/>
              <w:right w:w="105" w:type="dxa"/>
            </w:tcMar>
            <w:vAlign w:val="center"/>
          </w:tcPr>
          <w:p w14:paraId="75E3E0DA">
            <w:pPr>
              <w:pStyle w:val="27"/>
              <w:widowControl/>
              <w:jc w:val="center"/>
              <w:rPr>
                <w:color w:val="auto"/>
              </w:rPr>
            </w:pPr>
            <w:r>
              <w:rPr>
                <w:rFonts w:hint="eastAsia" w:ascii="宋体" w:hAnsi="宋体" w:eastAsia="宋体" w:cs="宋体"/>
                <w:color w:val="auto"/>
                <w:sz w:val="21"/>
                <w:szCs w:val="21"/>
              </w:rPr>
              <w:t>品目号</w:t>
            </w:r>
          </w:p>
        </w:tc>
        <w:tc>
          <w:tcPr>
            <w:tcW w:w="1187" w:type="dxa"/>
            <w:shd w:val="clear" w:color="auto" w:fill="auto"/>
            <w:tcMar>
              <w:top w:w="0" w:type="dxa"/>
              <w:left w:w="105" w:type="dxa"/>
              <w:bottom w:w="0" w:type="dxa"/>
              <w:right w:w="105" w:type="dxa"/>
            </w:tcMar>
            <w:vAlign w:val="center"/>
          </w:tcPr>
          <w:p w14:paraId="5B7D1431">
            <w:pPr>
              <w:pStyle w:val="27"/>
              <w:widowControl/>
              <w:jc w:val="center"/>
              <w:rPr>
                <w:color w:val="auto"/>
              </w:rPr>
            </w:pPr>
            <w:r>
              <w:rPr>
                <w:rFonts w:hint="eastAsia" w:ascii="宋体" w:hAnsi="宋体" w:eastAsia="宋体" w:cs="宋体"/>
                <w:color w:val="auto"/>
                <w:sz w:val="21"/>
                <w:szCs w:val="21"/>
              </w:rPr>
              <w:t>货物名称</w:t>
            </w:r>
          </w:p>
        </w:tc>
        <w:tc>
          <w:tcPr>
            <w:tcW w:w="1301" w:type="dxa"/>
            <w:shd w:val="clear" w:color="auto" w:fill="auto"/>
            <w:tcMar>
              <w:top w:w="0" w:type="dxa"/>
              <w:left w:w="105" w:type="dxa"/>
              <w:bottom w:w="0" w:type="dxa"/>
              <w:right w:w="105" w:type="dxa"/>
            </w:tcMar>
            <w:vAlign w:val="center"/>
          </w:tcPr>
          <w:p w14:paraId="7A92E0BA">
            <w:pPr>
              <w:pStyle w:val="27"/>
              <w:widowControl/>
              <w:jc w:val="center"/>
              <w:rPr>
                <w:color w:val="auto"/>
              </w:rPr>
            </w:pPr>
            <w:r>
              <w:rPr>
                <w:rFonts w:hint="eastAsia" w:ascii="宋体" w:hAnsi="宋体" w:eastAsia="宋体" w:cs="宋体"/>
                <w:color w:val="auto"/>
                <w:sz w:val="21"/>
                <w:szCs w:val="21"/>
              </w:rPr>
              <w:t>单价</w:t>
            </w:r>
          </w:p>
          <w:p w14:paraId="4B0E1FBE">
            <w:pPr>
              <w:pStyle w:val="27"/>
              <w:widowControl/>
              <w:jc w:val="center"/>
              <w:rPr>
                <w:color w:val="auto"/>
              </w:rPr>
            </w:pPr>
            <w:r>
              <w:rPr>
                <w:rFonts w:hint="eastAsia" w:ascii="宋体" w:hAnsi="宋体" w:eastAsia="宋体" w:cs="宋体"/>
                <w:color w:val="auto"/>
                <w:sz w:val="21"/>
                <w:szCs w:val="21"/>
              </w:rPr>
              <w:t>（现场）</w:t>
            </w:r>
          </w:p>
        </w:tc>
        <w:tc>
          <w:tcPr>
            <w:tcW w:w="1073" w:type="dxa"/>
            <w:shd w:val="clear" w:color="auto" w:fill="auto"/>
            <w:tcMar>
              <w:top w:w="0" w:type="dxa"/>
              <w:left w:w="105" w:type="dxa"/>
              <w:bottom w:w="0" w:type="dxa"/>
              <w:right w:w="105" w:type="dxa"/>
            </w:tcMar>
            <w:vAlign w:val="center"/>
          </w:tcPr>
          <w:p w14:paraId="49E58926">
            <w:pPr>
              <w:pStyle w:val="27"/>
              <w:widowControl/>
              <w:jc w:val="center"/>
              <w:rPr>
                <w:color w:val="auto"/>
              </w:rPr>
            </w:pPr>
            <w:r>
              <w:rPr>
                <w:rFonts w:hint="eastAsia" w:ascii="宋体" w:hAnsi="宋体" w:eastAsia="宋体" w:cs="宋体"/>
                <w:color w:val="auto"/>
                <w:sz w:val="21"/>
                <w:szCs w:val="21"/>
              </w:rPr>
              <w:t>数量</w:t>
            </w:r>
          </w:p>
        </w:tc>
        <w:tc>
          <w:tcPr>
            <w:tcW w:w="1187" w:type="dxa"/>
            <w:shd w:val="clear" w:color="auto" w:fill="auto"/>
            <w:tcMar>
              <w:top w:w="0" w:type="dxa"/>
              <w:left w:w="105" w:type="dxa"/>
              <w:bottom w:w="0" w:type="dxa"/>
              <w:right w:w="105" w:type="dxa"/>
            </w:tcMar>
            <w:vAlign w:val="center"/>
          </w:tcPr>
          <w:p w14:paraId="28854678">
            <w:pPr>
              <w:pStyle w:val="27"/>
              <w:widowControl/>
              <w:jc w:val="center"/>
              <w:rPr>
                <w:color w:val="auto"/>
              </w:rPr>
            </w:pPr>
            <w:r>
              <w:rPr>
                <w:rFonts w:hint="eastAsia" w:ascii="宋体" w:hAnsi="宋体" w:eastAsia="宋体" w:cs="宋体"/>
                <w:color w:val="auto"/>
                <w:sz w:val="21"/>
                <w:szCs w:val="21"/>
              </w:rPr>
              <w:t>总价</w:t>
            </w:r>
          </w:p>
          <w:p w14:paraId="7F090D8D">
            <w:pPr>
              <w:pStyle w:val="27"/>
              <w:widowControl/>
              <w:jc w:val="center"/>
              <w:rPr>
                <w:color w:val="auto"/>
              </w:rPr>
            </w:pPr>
            <w:r>
              <w:rPr>
                <w:rFonts w:hint="eastAsia" w:ascii="宋体" w:hAnsi="宋体" w:eastAsia="宋体" w:cs="宋体"/>
                <w:color w:val="auto"/>
                <w:sz w:val="21"/>
                <w:szCs w:val="21"/>
              </w:rPr>
              <w:t>（现场）</w:t>
            </w:r>
          </w:p>
        </w:tc>
        <w:tc>
          <w:tcPr>
            <w:tcW w:w="1190" w:type="dxa"/>
            <w:shd w:val="clear" w:color="auto" w:fill="auto"/>
            <w:tcMar>
              <w:top w:w="0" w:type="dxa"/>
              <w:left w:w="105" w:type="dxa"/>
              <w:bottom w:w="0" w:type="dxa"/>
              <w:right w:w="105" w:type="dxa"/>
            </w:tcMar>
            <w:vAlign w:val="center"/>
          </w:tcPr>
          <w:p w14:paraId="1423327C">
            <w:pPr>
              <w:pStyle w:val="27"/>
              <w:widowControl/>
              <w:jc w:val="center"/>
              <w:rPr>
                <w:color w:val="auto"/>
              </w:rPr>
            </w:pPr>
            <w:r>
              <w:rPr>
                <w:rFonts w:hint="eastAsia" w:ascii="宋体" w:hAnsi="宋体" w:eastAsia="宋体" w:cs="宋体"/>
                <w:color w:val="auto"/>
                <w:sz w:val="21"/>
                <w:szCs w:val="21"/>
              </w:rPr>
              <w:t>认证种类</w:t>
            </w:r>
          </w:p>
        </w:tc>
      </w:tr>
      <w:tr w14:paraId="3BB0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2" w:hRule="atLeast"/>
          <w:tblCellSpacing w:w="15" w:type="dxa"/>
        </w:trPr>
        <w:tc>
          <w:tcPr>
            <w:tcW w:w="740" w:type="dxa"/>
            <w:vMerge w:val="restart"/>
            <w:shd w:val="clear" w:color="auto" w:fill="auto"/>
            <w:tcMar>
              <w:top w:w="0" w:type="dxa"/>
              <w:left w:w="105" w:type="dxa"/>
              <w:bottom w:w="0" w:type="dxa"/>
              <w:right w:w="105" w:type="dxa"/>
            </w:tcMar>
            <w:vAlign w:val="center"/>
          </w:tcPr>
          <w:p w14:paraId="3FEED277">
            <w:pPr>
              <w:pStyle w:val="27"/>
              <w:widowControl/>
              <w:jc w:val="center"/>
              <w:rPr>
                <w:color w:val="auto"/>
              </w:rPr>
            </w:pPr>
            <w:r>
              <w:rPr>
                <w:rFonts w:hint="eastAsia" w:ascii="宋体" w:hAnsi="宋体" w:eastAsia="宋体" w:cs="宋体"/>
                <w:color w:val="auto"/>
                <w:sz w:val="21"/>
                <w:szCs w:val="21"/>
              </w:rPr>
              <w:t>*</w:t>
            </w:r>
          </w:p>
        </w:tc>
        <w:tc>
          <w:tcPr>
            <w:tcW w:w="1621" w:type="dxa"/>
            <w:shd w:val="clear" w:color="auto" w:fill="auto"/>
            <w:tcMar>
              <w:top w:w="0" w:type="dxa"/>
              <w:left w:w="105" w:type="dxa"/>
              <w:bottom w:w="0" w:type="dxa"/>
              <w:right w:w="105" w:type="dxa"/>
            </w:tcMar>
            <w:vAlign w:val="center"/>
          </w:tcPr>
          <w:p w14:paraId="3642D7DF">
            <w:pPr>
              <w:pStyle w:val="27"/>
              <w:widowControl/>
              <w:jc w:val="center"/>
              <w:rPr>
                <w:color w:val="auto"/>
              </w:rPr>
            </w:pPr>
            <w:r>
              <w:rPr>
                <w:rFonts w:hint="eastAsia" w:ascii="宋体" w:hAnsi="宋体" w:eastAsia="宋体" w:cs="宋体"/>
                <w:color w:val="auto"/>
                <w:sz w:val="21"/>
                <w:szCs w:val="21"/>
              </w:rPr>
              <w:t>*-1</w:t>
            </w:r>
          </w:p>
        </w:tc>
        <w:tc>
          <w:tcPr>
            <w:tcW w:w="1187" w:type="dxa"/>
            <w:shd w:val="clear" w:color="auto" w:fill="auto"/>
            <w:tcMar>
              <w:top w:w="0" w:type="dxa"/>
              <w:left w:w="105" w:type="dxa"/>
              <w:bottom w:w="0" w:type="dxa"/>
              <w:right w:w="105" w:type="dxa"/>
            </w:tcMar>
            <w:vAlign w:val="center"/>
          </w:tcPr>
          <w:p w14:paraId="3133D83F">
            <w:pPr>
              <w:widowControl/>
              <w:jc w:val="left"/>
              <w:rPr>
                <w:color w:val="auto"/>
              </w:rPr>
            </w:pPr>
          </w:p>
        </w:tc>
        <w:tc>
          <w:tcPr>
            <w:tcW w:w="1301" w:type="dxa"/>
            <w:shd w:val="clear" w:color="auto" w:fill="auto"/>
            <w:tcMar>
              <w:top w:w="0" w:type="dxa"/>
              <w:left w:w="105" w:type="dxa"/>
              <w:bottom w:w="0" w:type="dxa"/>
              <w:right w:w="105" w:type="dxa"/>
            </w:tcMar>
            <w:vAlign w:val="center"/>
          </w:tcPr>
          <w:p w14:paraId="62A49C05">
            <w:pPr>
              <w:widowControl/>
              <w:jc w:val="left"/>
              <w:rPr>
                <w:color w:val="auto"/>
              </w:rPr>
            </w:pPr>
          </w:p>
        </w:tc>
        <w:tc>
          <w:tcPr>
            <w:tcW w:w="1073" w:type="dxa"/>
            <w:shd w:val="clear" w:color="auto" w:fill="auto"/>
            <w:tcMar>
              <w:top w:w="0" w:type="dxa"/>
              <w:left w:w="105" w:type="dxa"/>
              <w:bottom w:w="0" w:type="dxa"/>
              <w:right w:w="105" w:type="dxa"/>
            </w:tcMar>
            <w:vAlign w:val="center"/>
          </w:tcPr>
          <w:p w14:paraId="1A166284">
            <w:pPr>
              <w:widowControl/>
              <w:jc w:val="left"/>
              <w:rPr>
                <w:color w:val="auto"/>
              </w:rPr>
            </w:pPr>
          </w:p>
        </w:tc>
        <w:tc>
          <w:tcPr>
            <w:tcW w:w="1187" w:type="dxa"/>
            <w:shd w:val="clear" w:color="auto" w:fill="auto"/>
            <w:tcMar>
              <w:top w:w="0" w:type="dxa"/>
              <w:left w:w="105" w:type="dxa"/>
              <w:bottom w:w="0" w:type="dxa"/>
              <w:right w:w="105" w:type="dxa"/>
            </w:tcMar>
            <w:vAlign w:val="center"/>
          </w:tcPr>
          <w:p w14:paraId="62C048B1">
            <w:pPr>
              <w:widowControl/>
              <w:jc w:val="left"/>
              <w:rPr>
                <w:color w:val="auto"/>
              </w:rPr>
            </w:pPr>
          </w:p>
        </w:tc>
        <w:tc>
          <w:tcPr>
            <w:tcW w:w="1190" w:type="dxa"/>
            <w:shd w:val="clear" w:color="auto" w:fill="auto"/>
            <w:tcMar>
              <w:top w:w="0" w:type="dxa"/>
              <w:left w:w="105" w:type="dxa"/>
              <w:bottom w:w="0" w:type="dxa"/>
              <w:right w:w="105" w:type="dxa"/>
            </w:tcMar>
            <w:vAlign w:val="center"/>
          </w:tcPr>
          <w:p w14:paraId="348310DE">
            <w:pPr>
              <w:widowControl/>
              <w:jc w:val="left"/>
              <w:rPr>
                <w:color w:val="auto"/>
              </w:rPr>
            </w:pPr>
          </w:p>
        </w:tc>
      </w:tr>
      <w:tr w14:paraId="27B9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2" w:hRule="atLeast"/>
          <w:tblCellSpacing w:w="15" w:type="dxa"/>
        </w:trPr>
        <w:tc>
          <w:tcPr>
            <w:tcW w:w="740" w:type="dxa"/>
            <w:vMerge w:val="continue"/>
            <w:shd w:val="clear" w:color="auto" w:fill="auto"/>
            <w:tcMar>
              <w:top w:w="0" w:type="dxa"/>
              <w:left w:w="105" w:type="dxa"/>
              <w:bottom w:w="0" w:type="dxa"/>
              <w:right w:w="105" w:type="dxa"/>
            </w:tcMar>
            <w:vAlign w:val="center"/>
          </w:tcPr>
          <w:p w14:paraId="230CAC11">
            <w:pPr>
              <w:rPr>
                <w:rFonts w:ascii="宋体"/>
                <w:color w:val="auto"/>
                <w:sz w:val="24"/>
              </w:rPr>
            </w:pPr>
          </w:p>
        </w:tc>
        <w:tc>
          <w:tcPr>
            <w:tcW w:w="1621" w:type="dxa"/>
            <w:shd w:val="clear" w:color="auto" w:fill="auto"/>
            <w:tcMar>
              <w:top w:w="0" w:type="dxa"/>
              <w:left w:w="105" w:type="dxa"/>
              <w:bottom w:w="0" w:type="dxa"/>
              <w:right w:w="105" w:type="dxa"/>
            </w:tcMar>
            <w:vAlign w:val="center"/>
          </w:tcPr>
          <w:p w14:paraId="6007785C">
            <w:pPr>
              <w:pStyle w:val="27"/>
              <w:widowControl/>
              <w:jc w:val="center"/>
              <w:rPr>
                <w:color w:val="auto"/>
              </w:rPr>
            </w:pPr>
            <w:r>
              <w:rPr>
                <w:rFonts w:ascii="Calibri" w:hAnsi="Calibri" w:cs="Calibri"/>
                <w:color w:val="auto"/>
                <w:sz w:val="21"/>
                <w:szCs w:val="21"/>
              </w:rPr>
              <w:t>…</w:t>
            </w:r>
          </w:p>
        </w:tc>
        <w:tc>
          <w:tcPr>
            <w:tcW w:w="1187" w:type="dxa"/>
            <w:shd w:val="clear" w:color="auto" w:fill="auto"/>
            <w:tcMar>
              <w:top w:w="0" w:type="dxa"/>
              <w:left w:w="105" w:type="dxa"/>
              <w:bottom w:w="0" w:type="dxa"/>
              <w:right w:w="105" w:type="dxa"/>
            </w:tcMar>
            <w:vAlign w:val="center"/>
          </w:tcPr>
          <w:p w14:paraId="4A5A2B9F">
            <w:pPr>
              <w:widowControl/>
              <w:jc w:val="left"/>
              <w:rPr>
                <w:color w:val="auto"/>
              </w:rPr>
            </w:pPr>
          </w:p>
        </w:tc>
        <w:tc>
          <w:tcPr>
            <w:tcW w:w="1301" w:type="dxa"/>
            <w:shd w:val="clear" w:color="auto" w:fill="auto"/>
            <w:tcMar>
              <w:top w:w="0" w:type="dxa"/>
              <w:left w:w="105" w:type="dxa"/>
              <w:bottom w:w="0" w:type="dxa"/>
              <w:right w:w="105" w:type="dxa"/>
            </w:tcMar>
            <w:vAlign w:val="center"/>
          </w:tcPr>
          <w:p w14:paraId="521A142F">
            <w:pPr>
              <w:widowControl/>
              <w:jc w:val="left"/>
              <w:rPr>
                <w:color w:val="auto"/>
              </w:rPr>
            </w:pPr>
          </w:p>
        </w:tc>
        <w:tc>
          <w:tcPr>
            <w:tcW w:w="1073" w:type="dxa"/>
            <w:shd w:val="clear" w:color="auto" w:fill="auto"/>
            <w:tcMar>
              <w:top w:w="0" w:type="dxa"/>
              <w:left w:w="105" w:type="dxa"/>
              <w:bottom w:w="0" w:type="dxa"/>
              <w:right w:w="105" w:type="dxa"/>
            </w:tcMar>
            <w:vAlign w:val="center"/>
          </w:tcPr>
          <w:p w14:paraId="5A7590F9">
            <w:pPr>
              <w:widowControl/>
              <w:jc w:val="left"/>
              <w:rPr>
                <w:color w:val="auto"/>
              </w:rPr>
            </w:pPr>
          </w:p>
        </w:tc>
        <w:tc>
          <w:tcPr>
            <w:tcW w:w="1187" w:type="dxa"/>
            <w:shd w:val="clear" w:color="auto" w:fill="auto"/>
            <w:tcMar>
              <w:top w:w="0" w:type="dxa"/>
              <w:left w:w="105" w:type="dxa"/>
              <w:bottom w:w="0" w:type="dxa"/>
              <w:right w:w="105" w:type="dxa"/>
            </w:tcMar>
            <w:vAlign w:val="center"/>
          </w:tcPr>
          <w:p w14:paraId="38783584">
            <w:pPr>
              <w:widowControl/>
              <w:jc w:val="left"/>
              <w:rPr>
                <w:color w:val="auto"/>
              </w:rPr>
            </w:pPr>
          </w:p>
        </w:tc>
        <w:tc>
          <w:tcPr>
            <w:tcW w:w="1190" w:type="dxa"/>
            <w:shd w:val="clear" w:color="auto" w:fill="auto"/>
            <w:tcMar>
              <w:top w:w="0" w:type="dxa"/>
              <w:left w:w="105" w:type="dxa"/>
              <w:bottom w:w="0" w:type="dxa"/>
              <w:right w:w="105" w:type="dxa"/>
            </w:tcMar>
            <w:vAlign w:val="center"/>
          </w:tcPr>
          <w:p w14:paraId="42D245D4">
            <w:pPr>
              <w:widowControl/>
              <w:jc w:val="left"/>
              <w:rPr>
                <w:color w:val="auto"/>
              </w:rPr>
            </w:pPr>
          </w:p>
        </w:tc>
      </w:tr>
      <w:tr w14:paraId="6C939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06" w:hRule="atLeast"/>
          <w:tblCellSpacing w:w="15" w:type="dxa"/>
        </w:trPr>
        <w:tc>
          <w:tcPr>
            <w:tcW w:w="740" w:type="dxa"/>
            <w:shd w:val="clear" w:color="auto" w:fill="auto"/>
            <w:tcMar>
              <w:top w:w="0" w:type="dxa"/>
              <w:left w:w="105" w:type="dxa"/>
              <w:bottom w:w="0" w:type="dxa"/>
              <w:right w:w="105" w:type="dxa"/>
            </w:tcMar>
            <w:vAlign w:val="center"/>
          </w:tcPr>
          <w:p w14:paraId="630E3AA1">
            <w:pPr>
              <w:pStyle w:val="27"/>
              <w:widowControl/>
              <w:jc w:val="center"/>
              <w:rPr>
                <w:color w:val="auto"/>
              </w:rPr>
            </w:pPr>
            <w:r>
              <w:rPr>
                <w:rFonts w:hint="eastAsia" w:ascii="宋体" w:hAnsi="宋体" w:eastAsia="宋体" w:cs="宋体"/>
                <w:color w:val="auto"/>
                <w:sz w:val="21"/>
                <w:szCs w:val="21"/>
              </w:rPr>
              <w:t>备注</w:t>
            </w:r>
          </w:p>
        </w:tc>
        <w:tc>
          <w:tcPr>
            <w:tcW w:w="7709" w:type="dxa"/>
            <w:gridSpan w:val="6"/>
            <w:shd w:val="clear" w:color="auto" w:fill="auto"/>
            <w:tcMar>
              <w:top w:w="0" w:type="dxa"/>
              <w:left w:w="105" w:type="dxa"/>
              <w:bottom w:w="0" w:type="dxa"/>
              <w:right w:w="105" w:type="dxa"/>
            </w:tcMar>
          </w:tcPr>
          <w:p w14:paraId="786E237D">
            <w:pPr>
              <w:pStyle w:val="27"/>
              <w:widowControl/>
              <w:rPr>
                <w:color w:val="auto"/>
              </w:rPr>
            </w:pPr>
            <w:r>
              <w:rPr>
                <w:rFonts w:hint="eastAsia" w:ascii="宋体" w:hAnsi="宋体" w:eastAsia="宋体" w:cs="宋体"/>
                <w:color w:val="auto"/>
                <w:sz w:val="21"/>
                <w:szCs w:val="21"/>
              </w:rPr>
              <w:t>a.合同包内属于节能、环境标志产品的报价总金额：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1C493F4E">
            <w:pPr>
              <w:pStyle w:val="27"/>
              <w:widowControl/>
              <w:rPr>
                <w:color w:val="auto"/>
              </w:rPr>
            </w:pPr>
            <w:r>
              <w:rPr>
                <w:rFonts w:hint="eastAsia" w:ascii="宋体" w:hAnsi="宋体" w:eastAsia="宋体" w:cs="宋体"/>
                <w:color w:val="auto"/>
                <w:sz w:val="21"/>
                <w:szCs w:val="21"/>
              </w:rPr>
              <w:t>b.合同包投标总价（报价总金额）：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6D8E4585">
            <w:pPr>
              <w:pStyle w:val="27"/>
              <w:widowControl/>
              <w:rPr>
                <w:color w:val="auto"/>
              </w:rPr>
            </w:pPr>
            <w:r>
              <w:rPr>
                <w:rFonts w:hint="eastAsia" w:ascii="宋体" w:hAnsi="宋体" w:eastAsia="宋体" w:cs="宋体"/>
                <w:color w:val="auto"/>
                <w:sz w:val="21"/>
                <w:szCs w:val="21"/>
              </w:rPr>
              <w:t>c.“合同包内属于节能、环境标志产品的报价总金额”占“合同包投标总价（报价总金额）”的比例（以</w:t>
            </w:r>
            <w:r>
              <w:rPr>
                <w:rFonts w:ascii="Calibri" w:hAnsi="Calibri" w:eastAsia="宋体" w:cs="Calibri"/>
                <w:color w:val="auto"/>
                <w:sz w:val="21"/>
                <w:szCs w:val="21"/>
              </w:rPr>
              <w:t>%</w:t>
            </w:r>
            <w:r>
              <w:rPr>
                <w:rFonts w:hint="eastAsia" w:ascii="宋体" w:hAnsi="宋体" w:eastAsia="宋体" w:cs="宋体"/>
                <w:color w:val="auto"/>
                <w:sz w:val="21"/>
                <w:szCs w:val="21"/>
              </w:rPr>
              <w:t>列示）：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tc>
      </w:tr>
    </w:tbl>
    <w:p w14:paraId="5FD707C3">
      <w:pPr>
        <w:pStyle w:val="27"/>
        <w:widowControl/>
        <w:rPr>
          <w:color w:val="auto"/>
        </w:rPr>
      </w:pPr>
      <w:r>
        <w:rPr>
          <w:rFonts w:hint="eastAsia" w:ascii="宋体" w:hAnsi="宋体" w:eastAsia="宋体" w:cs="宋体"/>
          <w:color w:val="auto"/>
          <w:sz w:val="21"/>
          <w:szCs w:val="21"/>
        </w:rPr>
        <w:t>★注意：</w:t>
      </w:r>
    </w:p>
    <w:p w14:paraId="4A340CAA">
      <w:pPr>
        <w:pStyle w:val="27"/>
        <w:widowControl/>
        <w:rPr>
          <w:color w:val="auto"/>
        </w:rPr>
      </w:pPr>
      <w:r>
        <w:rPr>
          <w:rFonts w:hint="eastAsia" w:ascii="宋体" w:hAnsi="宋体" w:eastAsia="宋体" w:cs="宋体"/>
          <w:color w:val="auto"/>
          <w:sz w:val="21"/>
          <w:szCs w:val="21"/>
        </w:rPr>
        <w:t>1、对节能、环境标志产品计算价格扣除时，只依据投标文件</w:t>
      </w:r>
      <w:r>
        <w:rPr>
          <w:rStyle w:val="32"/>
          <w:rFonts w:hint="eastAsia" w:ascii="宋体" w:hAnsi="宋体" w:eastAsia="宋体" w:cs="宋体"/>
          <w:color w:val="auto"/>
          <w:sz w:val="21"/>
          <w:szCs w:val="21"/>
        </w:rPr>
        <w:t>“三</w:t>
      </w:r>
      <w:r>
        <w:rPr>
          <w:rStyle w:val="32"/>
          <w:rFonts w:ascii="Calibri" w:hAnsi="Calibri" w:eastAsia="宋体" w:cs="Calibri"/>
          <w:color w:val="auto"/>
          <w:sz w:val="21"/>
          <w:szCs w:val="21"/>
        </w:rPr>
        <w:t>-1-</w:t>
      </w:r>
      <w:r>
        <w:rPr>
          <w:rStyle w:val="32"/>
          <w:rFonts w:hint="eastAsia" w:ascii="宋体" w:hAnsi="宋体" w:eastAsia="宋体" w:cs="宋体"/>
          <w:color w:val="auto"/>
          <w:sz w:val="21"/>
          <w:szCs w:val="21"/>
        </w:rPr>
        <w:t>②优先类节能产品、环境标志产品证明材料（价格扣除适用，若有）”。</w:t>
      </w:r>
    </w:p>
    <w:p w14:paraId="66BC7754">
      <w:pPr>
        <w:pStyle w:val="27"/>
        <w:widowControl/>
        <w:rPr>
          <w:color w:val="auto"/>
        </w:rPr>
      </w:pPr>
      <w:r>
        <w:rPr>
          <w:rFonts w:hint="eastAsia" w:ascii="宋体" w:hAnsi="宋体" w:eastAsia="宋体" w:cs="宋体"/>
          <w:color w:val="auto"/>
          <w:sz w:val="21"/>
          <w:szCs w:val="21"/>
        </w:rPr>
        <w:t>2、本表以合同包为单位，不同合同包请分别填写；同一合同包请按照其品目号顺序分别填写。</w:t>
      </w:r>
    </w:p>
    <w:p w14:paraId="75A59448">
      <w:pPr>
        <w:pStyle w:val="27"/>
        <w:widowControl/>
        <w:rPr>
          <w:color w:val="auto"/>
        </w:rPr>
      </w:pPr>
      <w:r>
        <w:rPr>
          <w:rFonts w:hint="eastAsia" w:ascii="宋体" w:hAnsi="宋体" w:eastAsia="宋体" w:cs="宋体"/>
          <w:color w:val="auto"/>
          <w:sz w:val="21"/>
          <w:szCs w:val="21"/>
        </w:rPr>
        <w:t>3、具体统计、计算：</w:t>
      </w:r>
    </w:p>
    <w:p w14:paraId="4DC4706D">
      <w:pPr>
        <w:pStyle w:val="27"/>
        <w:widowControl/>
        <w:rPr>
          <w:color w:val="auto"/>
        </w:rPr>
      </w:pPr>
      <w:r>
        <w:rPr>
          <w:rFonts w:hint="eastAsia" w:ascii="宋体" w:hAnsi="宋体" w:eastAsia="宋体" w:cs="宋体"/>
          <w:color w:val="auto"/>
          <w:sz w:val="21"/>
          <w:szCs w:val="21"/>
        </w:rPr>
        <w:t>3.1若节能、环境标志产品仅是构成投标产品的部件、组件或零件，则该投标产品不享受鼓励优惠政策。同一品目中各认证证书不重复计算价格扣除。强制类节能产品不享受价格扣除。</w:t>
      </w:r>
    </w:p>
    <w:p w14:paraId="02F9209F">
      <w:pPr>
        <w:pStyle w:val="27"/>
        <w:widowControl/>
        <w:rPr>
          <w:color w:val="auto"/>
        </w:rPr>
      </w:pPr>
      <w:r>
        <w:rPr>
          <w:rFonts w:hint="eastAsia" w:ascii="宋体" w:hAnsi="宋体" w:eastAsia="宋体" w:cs="宋体"/>
          <w:color w:val="auto"/>
          <w:sz w:val="21"/>
          <w:szCs w:val="21"/>
        </w:rPr>
        <w:t>3.2计算结果若除不尽，可四舍五入保留到小数点后两位。</w:t>
      </w:r>
    </w:p>
    <w:p w14:paraId="6E50B588">
      <w:pPr>
        <w:pStyle w:val="27"/>
        <w:widowControl/>
        <w:rPr>
          <w:color w:val="auto"/>
        </w:rPr>
      </w:pPr>
      <w:r>
        <w:rPr>
          <w:rFonts w:hint="eastAsia" w:ascii="宋体" w:hAnsi="宋体" w:eastAsia="宋体" w:cs="宋体"/>
          <w:color w:val="auto"/>
          <w:sz w:val="21"/>
          <w:szCs w:val="21"/>
        </w:rPr>
        <w:t>3.3投标人应按照招标文件要求认真统计、计算，否则评标委员会不予认定。</w:t>
      </w:r>
    </w:p>
    <w:p w14:paraId="356D70FF">
      <w:pPr>
        <w:pStyle w:val="27"/>
        <w:widowControl/>
        <w:rPr>
          <w:color w:val="auto"/>
        </w:rPr>
      </w:pPr>
      <w:r>
        <w:rPr>
          <w:rFonts w:hint="eastAsia" w:ascii="宋体" w:hAnsi="宋体" w:eastAsia="宋体" w:cs="宋体"/>
          <w:color w:val="auto"/>
          <w:sz w:val="21"/>
          <w:szCs w:val="21"/>
        </w:rPr>
        <w:t>3.4若无节能、环境标志产品，不填写本表，否则，</w:t>
      </w:r>
      <w:r>
        <w:rPr>
          <w:rStyle w:val="32"/>
          <w:rFonts w:hint="eastAsia" w:ascii="宋体" w:hAnsi="宋体" w:eastAsia="宋体" w:cs="宋体"/>
          <w:color w:val="auto"/>
          <w:sz w:val="21"/>
          <w:szCs w:val="21"/>
        </w:rPr>
        <w:t>视为提供虚假材料。</w:t>
      </w:r>
    </w:p>
    <w:p w14:paraId="14B3D186">
      <w:pPr>
        <w:pStyle w:val="27"/>
        <w:widowControl/>
        <w:rPr>
          <w:color w:val="auto"/>
        </w:rPr>
      </w:pPr>
      <w:r>
        <w:rPr>
          <w:rFonts w:hint="eastAsia" w:ascii="宋体" w:hAnsi="宋体" w:eastAsia="宋体" w:cs="宋体"/>
          <w:color w:val="auto"/>
          <w:sz w:val="21"/>
          <w:szCs w:val="21"/>
        </w:rPr>
        <w:t>4、纸质投标文件正本中的本表（若有）应为原件。</w:t>
      </w:r>
    </w:p>
    <w:p w14:paraId="532A0C76">
      <w:pPr>
        <w:pStyle w:val="27"/>
        <w:widowControl/>
        <w:rPr>
          <w:color w:val="auto"/>
        </w:rPr>
      </w:pPr>
      <w:r>
        <w:rPr>
          <w:rFonts w:hint="eastAsia" w:ascii="宋体" w:hAnsi="宋体" w:eastAsia="宋体" w:cs="宋体"/>
          <w:color w:val="auto"/>
          <w:sz w:val="21"/>
          <w:szCs w:val="21"/>
        </w:rPr>
        <w:t> </w:t>
      </w:r>
    </w:p>
    <w:p w14:paraId="3F2B721C">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17C75A2F">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46D323C2">
      <w:pPr>
        <w:pStyle w:val="27"/>
        <w:widowControl/>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60A4CE82">
      <w:pPr>
        <w:pStyle w:val="27"/>
        <w:widowControl/>
        <w:rPr>
          <w:color w:val="auto"/>
        </w:rPr>
      </w:pPr>
      <w:r>
        <w:rPr>
          <w:rStyle w:val="32"/>
          <w:rFonts w:hint="eastAsia" w:ascii="宋体" w:hAnsi="宋体" w:eastAsia="宋体" w:cs="宋体"/>
          <w:color w:val="auto"/>
          <w:sz w:val="21"/>
          <w:szCs w:val="21"/>
        </w:rPr>
        <w:t> </w:t>
      </w:r>
    </w:p>
    <w:p w14:paraId="1A2FB008">
      <w:pPr>
        <w:pStyle w:val="27"/>
        <w:widowControl/>
        <w:rPr>
          <w:color w:val="auto"/>
        </w:rPr>
      </w:pPr>
      <w:r>
        <w:rPr>
          <w:rStyle w:val="32"/>
          <w:rFonts w:hint="eastAsia" w:ascii="宋体" w:hAnsi="宋体" w:eastAsia="宋体" w:cs="宋体"/>
          <w:color w:val="auto"/>
          <w:sz w:val="21"/>
          <w:szCs w:val="21"/>
        </w:rPr>
        <w:t> </w:t>
      </w:r>
    </w:p>
    <w:p w14:paraId="0722F6ED">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0EC72AB0">
      <w:pPr>
        <w:pStyle w:val="27"/>
        <w:widowControl/>
        <w:jc w:val="center"/>
        <w:rPr>
          <w:color w:val="auto"/>
        </w:rPr>
      </w:pPr>
      <w:r>
        <w:rPr>
          <w:rStyle w:val="32"/>
          <w:rFonts w:hint="eastAsia" w:ascii="宋体" w:hAnsi="宋体" w:eastAsia="宋体" w:cs="宋体"/>
          <w:color w:val="auto"/>
          <w:sz w:val="21"/>
          <w:szCs w:val="21"/>
        </w:rPr>
        <w:t>三-1-②优先类节能产品、环境标志产品证明材料（价格扣除适用，若有）</w:t>
      </w:r>
    </w:p>
    <w:p w14:paraId="1E849EFB">
      <w:pPr>
        <w:pStyle w:val="27"/>
        <w:widowControl/>
        <w:rPr>
          <w:color w:val="auto"/>
        </w:rPr>
      </w:pPr>
      <w:r>
        <w:rPr>
          <w:rStyle w:val="32"/>
          <w:rFonts w:hint="eastAsia" w:ascii="宋体" w:hAnsi="宋体" w:eastAsia="宋体" w:cs="宋体"/>
          <w:color w:val="auto"/>
          <w:sz w:val="21"/>
          <w:szCs w:val="21"/>
        </w:rPr>
        <w:t> </w:t>
      </w:r>
    </w:p>
    <w:p w14:paraId="351C2F99">
      <w:pPr>
        <w:pStyle w:val="27"/>
        <w:widowControl/>
        <w:rPr>
          <w:color w:val="auto"/>
        </w:rPr>
      </w:pPr>
      <w:r>
        <w:rPr>
          <w:rStyle w:val="32"/>
          <w:rFonts w:hint="eastAsia" w:ascii="宋体" w:hAnsi="宋体" w:eastAsia="宋体" w:cs="宋体"/>
          <w:color w:val="auto"/>
          <w:sz w:val="21"/>
          <w:szCs w:val="21"/>
        </w:rPr>
        <w:t> </w:t>
      </w:r>
    </w:p>
    <w:p w14:paraId="3EB3EE6A">
      <w:pPr>
        <w:pStyle w:val="27"/>
        <w:widowControl/>
        <w:jc w:val="center"/>
        <w:rPr>
          <w:color w:val="auto"/>
        </w:rPr>
      </w:pPr>
      <w:r>
        <w:rPr>
          <w:rFonts w:hint="eastAsia" w:ascii="宋体" w:hAnsi="宋体" w:eastAsia="宋体" w:cs="宋体"/>
          <w:color w:val="auto"/>
          <w:sz w:val="21"/>
          <w:szCs w:val="21"/>
        </w:rPr>
        <w:t>编制说明</w:t>
      </w:r>
    </w:p>
    <w:p w14:paraId="3AD0107F">
      <w:pPr>
        <w:pStyle w:val="27"/>
        <w:widowControl/>
        <w:jc w:val="center"/>
        <w:rPr>
          <w:color w:val="auto"/>
        </w:rPr>
      </w:pPr>
      <w:r>
        <w:rPr>
          <w:rFonts w:hint="eastAsia" w:ascii="宋体" w:hAnsi="宋体" w:eastAsia="宋体" w:cs="宋体"/>
          <w:color w:val="auto"/>
          <w:sz w:val="21"/>
          <w:szCs w:val="21"/>
        </w:rPr>
        <w:t> </w:t>
      </w:r>
    </w:p>
    <w:p w14:paraId="7931008A">
      <w:pPr>
        <w:pStyle w:val="27"/>
        <w:widowControl/>
        <w:ind w:firstLine="420"/>
        <w:rPr>
          <w:color w:val="auto"/>
        </w:rPr>
      </w:pPr>
      <w:r>
        <w:rPr>
          <w:rFonts w:hint="eastAsia" w:ascii="宋体" w:hAnsi="宋体" w:eastAsia="宋体" w:cs="宋体"/>
          <w:color w:val="auto"/>
          <w:sz w:val="21"/>
          <w:szCs w:val="21"/>
        </w:rPr>
        <w:t>除招标文件另有规定外，投标人应按照招标文件第二章（表1）第</w:t>
      </w:r>
      <w:r>
        <w:rPr>
          <w:rFonts w:ascii="Calibri" w:hAnsi="Calibri" w:eastAsia="宋体" w:cs="Calibri"/>
          <w:color w:val="auto"/>
          <w:sz w:val="21"/>
          <w:szCs w:val="21"/>
        </w:rPr>
        <w:t>13</w:t>
      </w:r>
      <w:r>
        <w:rPr>
          <w:rFonts w:hint="eastAsia" w:ascii="宋体" w:hAnsi="宋体" w:eastAsia="宋体" w:cs="宋体"/>
          <w:color w:val="auto"/>
          <w:sz w:val="21"/>
          <w:szCs w:val="21"/>
        </w:rPr>
        <w:t>项规定提供相应证明材料。</w:t>
      </w:r>
    </w:p>
    <w:p w14:paraId="09AEC60B">
      <w:pPr>
        <w:pStyle w:val="27"/>
        <w:widowControl/>
        <w:rPr>
          <w:color w:val="auto"/>
        </w:rPr>
      </w:pPr>
      <w:r>
        <w:rPr>
          <w:rFonts w:hint="eastAsia" w:ascii="宋体" w:hAnsi="宋体" w:eastAsia="宋体" w:cs="宋体"/>
          <w:color w:val="auto"/>
          <w:sz w:val="21"/>
          <w:szCs w:val="21"/>
        </w:rPr>
        <w:t> </w:t>
      </w:r>
    </w:p>
    <w:p w14:paraId="4D169132">
      <w:pPr>
        <w:pStyle w:val="27"/>
        <w:widowControl/>
        <w:rPr>
          <w:color w:val="auto"/>
        </w:rPr>
      </w:pPr>
      <w:r>
        <w:rPr>
          <w:rStyle w:val="32"/>
          <w:rFonts w:hint="eastAsia" w:ascii="宋体" w:hAnsi="宋体" w:eastAsia="宋体" w:cs="宋体"/>
          <w:color w:val="auto"/>
          <w:sz w:val="21"/>
          <w:szCs w:val="21"/>
        </w:rPr>
        <w:t> </w:t>
      </w:r>
    </w:p>
    <w:p w14:paraId="6C9E5C30">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37F04874">
      <w:pPr>
        <w:pStyle w:val="27"/>
        <w:widowControl/>
        <w:jc w:val="center"/>
        <w:rPr>
          <w:color w:val="auto"/>
        </w:rPr>
      </w:pPr>
      <w:r>
        <w:rPr>
          <w:rStyle w:val="32"/>
          <w:rFonts w:hint="eastAsia" w:ascii="宋体" w:hAnsi="宋体" w:eastAsia="宋体" w:cs="宋体"/>
          <w:color w:val="auto"/>
          <w:sz w:val="21"/>
          <w:szCs w:val="21"/>
        </w:rPr>
        <w:t>三-2小型、微型企业产品等价格扣除证明材料（若有）</w:t>
      </w:r>
    </w:p>
    <w:p w14:paraId="7568028E">
      <w:pPr>
        <w:pStyle w:val="27"/>
        <w:widowControl/>
        <w:jc w:val="center"/>
        <w:rPr>
          <w:color w:val="auto"/>
        </w:rPr>
      </w:pPr>
      <w:r>
        <w:rPr>
          <w:rStyle w:val="32"/>
          <w:rFonts w:hint="eastAsia" w:ascii="宋体" w:hAnsi="宋体" w:eastAsia="宋体" w:cs="宋体"/>
          <w:color w:val="auto"/>
          <w:sz w:val="21"/>
          <w:szCs w:val="21"/>
        </w:rPr>
        <w:t> </w:t>
      </w:r>
    </w:p>
    <w:p w14:paraId="5FF94BF2">
      <w:pPr>
        <w:pStyle w:val="27"/>
        <w:widowControl/>
        <w:jc w:val="center"/>
        <w:rPr>
          <w:color w:val="auto"/>
        </w:rPr>
      </w:pPr>
      <w:r>
        <w:rPr>
          <w:rStyle w:val="32"/>
          <w:rFonts w:hint="eastAsia" w:ascii="宋体" w:hAnsi="宋体" w:eastAsia="宋体" w:cs="宋体"/>
          <w:color w:val="auto"/>
          <w:sz w:val="21"/>
          <w:szCs w:val="21"/>
        </w:rPr>
        <w:t>三-2-①小型、微型企业产品等统计表（价格扣除适用，若有）</w:t>
      </w:r>
    </w:p>
    <w:p w14:paraId="646A1838">
      <w:pPr>
        <w:pStyle w:val="27"/>
        <w:widowControl/>
        <w:rPr>
          <w:color w:val="auto"/>
        </w:rPr>
      </w:pPr>
      <w:r>
        <w:rPr>
          <w:rFonts w:hint="eastAsia" w:ascii="宋体" w:hAnsi="宋体" w:eastAsia="宋体" w:cs="宋体"/>
          <w:color w:val="auto"/>
          <w:sz w:val="21"/>
          <w:szCs w:val="21"/>
        </w:rPr>
        <w:t> </w:t>
      </w:r>
    </w:p>
    <w:p w14:paraId="53F8E132">
      <w:pPr>
        <w:pStyle w:val="27"/>
        <w:widowControl/>
        <w:rPr>
          <w:color w:val="auto"/>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w:t>
      </w:r>
    </w:p>
    <w:p w14:paraId="10AA2273">
      <w:pPr>
        <w:pStyle w:val="27"/>
        <w:widowControl/>
        <w:jc w:val="right"/>
        <w:rPr>
          <w:color w:val="auto"/>
        </w:rPr>
      </w:pPr>
      <w:r>
        <w:rPr>
          <w:rFonts w:hint="eastAsia" w:ascii="宋体" w:hAnsi="宋体" w:eastAsia="宋体" w:cs="宋体"/>
          <w:color w:val="auto"/>
          <w:sz w:val="21"/>
          <w:szCs w:val="21"/>
        </w:rPr>
        <w:t>货币及单位：人民币元</w:t>
      </w:r>
    </w:p>
    <w:tbl>
      <w:tblPr>
        <w:tblStyle w:val="30"/>
        <w:tblW w:w="8514"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06"/>
        <w:gridCol w:w="1205"/>
        <w:gridCol w:w="1074"/>
        <w:gridCol w:w="995"/>
        <w:gridCol w:w="715"/>
        <w:gridCol w:w="995"/>
        <w:gridCol w:w="1133"/>
        <w:gridCol w:w="1191"/>
      </w:tblGrid>
      <w:tr w14:paraId="2168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61" w:type="dxa"/>
            <w:shd w:val="clear" w:color="auto" w:fill="auto"/>
            <w:tcMar>
              <w:top w:w="0" w:type="dxa"/>
              <w:left w:w="105" w:type="dxa"/>
              <w:bottom w:w="0" w:type="dxa"/>
              <w:right w:w="105" w:type="dxa"/>
            </w:tcMar>
            <w:vAlign w:val="center"/>
          </w:tcPr>
          <w:p w14:paraId="4364CEB6">
            <w:pPr>
              <w:widowControl/>
              <w:jc w:val="left"/>
              <w:rPr>
                <w:color w:val="auto"/>
              </w:rPr>
            </w:pPr>
          </w:p>
        </w:tc>
        <w:tc>
          <w:tcPr>
            <w:tcW w:w="7263" w:type="dxa"/>
            <w:gridSpan w:val="7"/>
            <w:shd w:val="clear" w:color="auto" w:fill="auto"/>
            <w:tcMar>
              <w:top w:w="0" w:type="dxa"/>
              <w:left w:w="105" w:type="dxa"/>
              <w:bottom w:w="0" w:type="dxa"/>
              <w:right w:w="105" w:type="dxa"/>
            </w:tcMar>
            <w:vAlign w:val="center"/>
          </w:tcPr>
          <w:p w14:paraId="3EC97E46">
            <w:pPr>
              <w:pStyle w:val="27"/>
              <w:widowControl/>
              <w:jc w:val="center"/>
              <w:rPr>
                <w:color w:val="auto"/>
              </w:rPr>
            </w:pPr>
            <w:r>
              <w:rPr>
                <w:rFonts w:hint="eastAsia" w:ascii="宋体" w:hAnsi="宋体" w:eastAsia="宋体" w:cs="宋体"/>
                <w:color w:val="auto"/>
                <w:sz w:val="21"/>
                <w:szCs w:val="21"/>
              </w:rPr>
              <w:t>合同包内属于小型、微型企业产品等的情况</w:t>
            </w:r>
          </w:p>
        </w:tc>
      </w:tr>
      <w:tr w14:paraId="6AB4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61" w:type="dxa"/>
            <w:shd w:val="clear" w:color="auto" w:fill="auto"/>
            <w:tcMar>
              <w:top w:w="0" w:type="dxa"/>
              <w:left w:w="105" w:type="dxa"/>
              <w:bottom w:w="0" w:type="dxa"/>
              <w:right w:w="105" w:type="dxa"/>
            </w:tcMar>
            <w:vAlign w:val="center"/>
          </w:tcPr>
          <w:p w14:paraId="74CA0415">
            <w:pPr>
              <w:pStyle w:val="27"/>
              <w:widowControl/>
              <w:jc w:val="center"/>
              <w:rPr>
                <w:color w:val="auto"/>
              </w:rPr>
            </w:pPr>
            <w:r>
              <w:rPr>
                <w:rFonts w:hint="eastAsia" w:ascii="宋体" w:hAnsi="宋体" w:eastAsia="宋体" w:cs="宋体"/>
                <w:color w:val="auto"/>
                <w:sz w:val="21"/>
                <w:szCs w:val="21"/>
              </w:rPr>
              <w:t>合同包</w:t>
            </w:r>
          </w:p>
        </w:tc>
        <w:tc>
          <w:tcPr>
            <w:tcW w:w="1175" w:type="dxa"/>
            <w:shd w:val="clear" w:color="auto" w:fill="auto"/>
            <w:tcMar>
              <w:top w:w="0" w:type="dxa"/>
              <w:left w:w="105" w:type="dxa"/>
              <w:bottom w:w="0" w:type="dxa"/>
              <w:right w:w="105" w:type="dxa"/>
            </w:tcMar>
            <w:vAlign w:val="center"/>
          </w:tcPr>
          <w:p w14:paraId="106C2646">
            <w:pPr>
              <w:pStyle w:val="27"/>
              <w:widowControl/>
              <w:jc w:val="center"/>
              <w:rPr>
                <w:color w:val="auto"/>
              </w:rPr>
            </w:pPr>
            <w:r>
              <w:rPr>
                <w:rFonts w:hint="eastAsia" w:ascii="宋体" w:hAnsi="宋体" w:eastAsia="宋体" w:cs="宋体"/>
                <w:color w:val="auto"/>
                <w:sz w:val="21"/>
                <w:szCs w:val="21"/>
              </w:rPr>
              <w:t>品目号</w:t>
            </w:r>
          </w:p>
        </w:tc>
        <w:tc>
          <w:tcPr>
            <w:tcW w:w="1044" w:type="dxa"/>
            <w:shd w:val="clear" w:color="auto" w:fill="auto"/>
            <w:tcMar>
              <w:top w:w="0" w:type="dxa"/>
              <w:left w:w="105" w:type="dxa"/>
              <w:bottom w:w="0" w:type="dxa"/>
              <w:right w:w="105" w:type="dxa"/>
            </w:tcMar>
            <w:vAlign w:val="center"/>
          </w:tcPr>
          <w:p w14:paraId="60F84767">
            <w:pPr>
              <w:pStyle w:val="27"/>
              <w:widowControl/>
              <w:jc w:val="center"/>
              <w:rPr>
                <w:color w:val="auto"/>
              </w:rPr>
            </w:pPr>
            <w:r>
              <w:rPr>
                <w:rFonts w:hint="eastAsia" w:ascii="宋体" w:hAnsi="宋体" w:eastAsia="宋体" w:cs="宋体"/>
                <w:color w:val="auto"/>
                <w:sz w:val="21"/>
                <w:szCs w:val="21"/>
              </w:rPr>
              <w:t>采购标的</w:t>
            </w:r>
          </w:p>
        </w:tc>
        <w:tc>
          <w:tcPr>
            <w:tcW w:w="965" w:type="dxa"/>
            <w:shd w:val="clear" w:color="auto" w:fill="auto"/>
            <w:tcMar>
              <w:top w:w="0" w:type="dxa"/>
              <w:left w:w="105" w:type="dxa"/>
              <w:bottom w:w="0" w:type="dxa"/>
              <w:right w:w="105" w:type="dxa"/>
            </w:tcMar>
            <w:vAlign w:val="center"/>
          </w:tcPr>
          <w:p w14:paraId="4F0DD7F2">
            <w:pPr>
              <w:pStyle w:val="27"/>
              <w:widowControl/>
              <w:jc w:val="center"/>
              <w:rPr>
                <w:color w:val="auto"/>
              </w:rPr>
            </w:pPr>
            <w:r>
              <w:rPr>
                <w:rFonts w:hint="eastAsia" w:ascii="宋体" w:hAnsi="宋体" w:eastAsia="宋体" w:cs="宋体"/>
                <w:color w:val="auto"/>
                <w:sz w:val="21"/>
                <w:szCs w:val="21"/>
              </w:rPr>
              <w:t>单价</w:t>
            </w:r>
          </w:p>
          <w:p w14:paraId="19611B6F">
            <w:pPr>
              <w:pStyle w:val="27"/>
              <w:widowControl/>
              <w:jc w:val="center"/>
              <w:rPr>
                <w:color w:val="auto"/>
              </w:rPr>
            </w:pPr>
            <w:r>
              <w:rPr>
                <w:rFonts w:hint="eastAsia" w:ascii="宋体" w:hAnsi="宋体" w:eastAsia="宋体" w:cs="宋体"/>
                <w:color w:val="auto"/>
                <w:sz w:val="21"/>
                <w:szCs w:val="21"/>
              </w:rPr>
              <w:t>（现场）</w:t>
            </w:r>
          </w:p>
        </w:tc>
        <w:tc>
          <w:tcPr>
            <w:tcW w:w="685" w:type="dxa"/>
            <w:shd w:val="clear" w:color="auto" w:fill="auto"/>
            <w:tcMar>
              <w:top w:w="0" w:type="dxa"/>
              <w:left w:w="105" w:type="dxa"/>
              <w:bottom w:w="0" w:type="dxa"/>
              <w:right w:w="105" w:type="dxa"/>
            </w:tcMar>
            <w:vAlign w:val="center"/>
          </w:tcPr>
          <w:p w14:paraId="23457434">
            <w:pPr>
              <w:pStyle w:val="27"/>
              <w:widowControl/>
              <w:jc w:val="center"/>
              <w:rPr>
                <w:color w:val="auto"/>
              </w:rPr>
            </w:pPr>
            <w:r>
              <w:rPr>
                <w:rFonts w:hint="eastAsia" w:ascii="宋体" w:hAnsi="宋体" w:eastAsia="宋体" w:cs="宋体"/>
                <w:color w:val="auto"/>
                <w:sz w:val="21"/>
                <w:szCs w:val="21"/>
              </w:rPr>
              <w:t>数量</w:t>
            </w:r>
          </w:p>
        </w:tc>
        <w:tc>
          <w:tcPr>
            <w:tcW w:w="965" w:type="dxa"/>
            <w:shd w:val="clear" w:color="auto" w:fill="auto"/>
            <w:tcMar>
              <w:top w:w="0" w:type="dxa"/>
              <w:left w:w="105" w:type="dxa"/>
              <w:bottom w:w="0" w:type="dxa"/>
              <w:right w:w="105" w:type="dxa"/>
            </w:tcMar>
            <w:vAlign w:val="center"/>
          </w:tcPr>
          <w:p w14:paraId="37EF2182">
            <w:pPr>
              <w:pStyle w:val="27"/>
              <w:widowControl/>
              <w:jc w:val="center"/>
              <w:rPr>
                <w:color w:val="auto"/>
              </w:rPr>
            </w:pPr>
            <w:r>
              <w:rPr>
                <w:rFonts w:hint="eastAsia" w:ascii="宋体" w:hAnsi="宋体" w:eastAsia="宋体" w:cs="宋体"/>
                <w:color w:val="auto"/>
                <w:sz w:val="21"/>
                <w:szCs w:val="21"/>
              </w:rPr>
              <w:t>总价</w:t>
            </w:r>
          </w:p>
          <w:p w14:paraId="2179DF60">
            <w:pPr>
              <w:pStyle w:val="27"/>
              <w:widowControl/>
              <w:jc w:val="center"/>
              <w:rPr>
                <w:color w:val="auto"/>
              </w:rPr>
            </w:pPr>
            <w:r>
              <w:rPr>
                <w:rFonts w:hint="eastAsia" w:ascii="宋体" w:hAnsi="宋体" w:eastAsia="宋体" w:cs="宋体"/>
                <w:color w:val="auto"/>
                <w:sz w:val="21"/>
                <w:szCs w:val="21"/>
              </w:rPr>
              <w:t>（现场）</w:t>
            </w:r>
          </w:p>
        </w:tc>
        <w:tc>
          <w:tcPr>
            <w:tcW w:w="1103" w:type="dxa"/>
            <w:shd w:val="clear" w:color="auto" w:fill="auto"/>
            <w:tcMar>
              <w:top w:w="0" w:type="dxa"/>
              <w:left w:w="105" w:type="dxa"/>
              <w:bottom w:w="0" w:type="dxa"/>
              <w:right w:w="105" w:type="dxa"/>
            </w:tcMar>
            <w:vAlign w:val="center"/>
          </w:tcPr>
          <w:p w14:paraId="335138A5">
            <w:pPr>
              <w:pStyle w:val="27"/>
              <w:widowControl/>
              <w:jc w:val="center"/>
              <w:rPr>
                <w:color w:val="auto"/>
              </w:rPr>
            </w:pPr>
            <w:r>
              <w:rPr>
                <w:rFonts w:hint="eastAsia" w:ascii="宋体" w:hAnsi="宋体" w:eastAsia="宋体" w:cs="宋体"/>
                <w:color w:val="auto"/>
                <w:sz w:val="21"/>
                <w:szCs w:val="21"/>
              </w:rPr>
              <w:t>制造厂商</w:t>
            </w:r>
          </w:p>
        </w:tc>
        <w:tc>
          <w:tcPr>
            <w:tcW w:w="1146" w:type="dxa"/>
            <w:shd w:val="clear" w:color="auto" w:fill="auto"/>
            <w:tcMar>
              <w:top w:w="0" w:type="dxa"/>
              <w:left w:w="105" w:type="dxa"/>
              <w:bottom w:w="0" w:type="dxa"/>
              <w:right w:w="105" w:type="dxa"/>
            </w:tcMar>
            <w:vAlign w:val="center"/>
          </w:tcPr>
          <w:p w14:paraId="1C72B161">
            <w:pPr>
              <w:pStyle w:val="27"/>
              <w:widowControl/>
              <w:jc w:val="center"/>
              <w:rPr>
                <w:color w:val="auto"/>
              </w:rPr>
            </w:pPr>
            <w:r>
              <w:rPr>
                <w:rFonts w:hint="eastAsia" w:ascii="宋体" w:hAnsi="宋体" w:eastAsia="宋体" w:cs="宋体"/>
                <w:color w:val="auto"/>
                <w:sz w:val="21"/>
                <w:szCs w:val="21"/>
              </w:rPr>
              <w:t>企业类型</w:t>
            </w:r>
          </w:p>
        </w:tc>
      </w:tr>
      <w:tr w14:paraId="12DC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61" w:type="dxa"/>
            <w:vMerge w:val="restart"/>
            <w:shd w:val="clear" w:color="auto" w:fill="auto"/>
            <w:tcMar>
              <w:top w:w="0" w:type="dxa"/>
              <w:left w:w="105" w:type="dxa"/>
              <w:bottom w:w="0" w:type="dxa"/>
              <w:right w:w="105" w:type="dxa"/>
            </w:tcMar>
            <w:vAlign w:val="center"/>
          </w:tcPr>
          <w:p w14:paraId="6C6F1A4C">
            <w:pPr>
              <w:pStyle w:val="27"/>
              <w:widowControl/>
              <w:jc w:val="center"/>
              <w:rPr>
                <w:color w:val="auto"/>
              </w:rPr>
            </w:pPr>
            <w:r>
              <w:rPr>
                <w:rFonts w:hint="eastAsia" w:ascii="宋体" w:hAnsi="宋体" w:eastAsia="宋体" w:cs="宋体"/>
                <w:color w:val="auto"/>
                <w:sz w:val="21"/>
                <w:szCs w:val="21"/>
              </w:rPr>
              <w:t>*</w:t>
            </w:r>
          </w:p>
        </w:tc>
        <w:tc>
          <w:tcPr>
            <w:tcW w:w="1175" w:type="dxa"/>
            <w:shd w:val="clear" w:color="auto" w:fill="auto"/>
            <w:tcMar>
              <w:top w:w="0" w:type="dxa"/>
              <w:left w:w="105" w:type="dxa"/>
              <w:bottom w:w="0" w:type="dxa"/>
              <w:right w:w="105" w:type="dxa"/>
            </w:tcMar>
            <w:vAlign w:val="center"/>
          </w:tcPr>
          <w:p w14:paraId="6F2A010F">
            <w:pPr>
              <w:pStyle w:val="27"/>
              <w:widowControl/>
              <w:jc w:val="center"/>
              <w:rPr>
                <w:color w:val="auto"/>
              </w:rPr>
            </w:pPr>
            <w:r>
              <w:rPr>
                <w:rFonts w:hint="eastAsia" w:ascii="宋体" w:hAnsi="宋体" w:eastAsia="宋体" w:cs="宋体"/>
                <w:color w:val="auto"/>
                <w:sz w:val="21"/>
                <w:szCs w:val="21"/>
              </w:rPr>
              <w:t>*-1</w:t>
            </w:r>
          </w:p>
        </w:tc>
        <w:tc>
          <w:tcPr>
            <w:tcW w:w="1044" w:type="dxa"/>
            <w:shd w:val="clear" w:color="auto" w:fill="auto"/>
            <w:tcMar>
              <w:top w:w="0" w:type="dxa"/>
              <w:left w:w="105" w:type="dxa"/>
              <w:bottom w:w="0" w:type="dxa"/>
              <w:right w:w="105" w:type="dxa"/>
            </w:tcMar>
            <w:vAlign w:val="center"/>
          </w:tcPr>
          <w:p w14:paraId="6BDCE895">
            <w:pPr>
              <w:widowControl/>
              <w:jc w:val="left"/>
              <w:rPr>
                <w:color w:val="auto"/>
              </w:rPr>
            </w:pPr>
          </w:p>
        </w:tc>
        <w:tc>
          <w:tcPr>
            <w:tcW w:w="965" w:type="dxa"/>
            <w:shd w:val="clear" w:color="auto" w:fill="auto"/>
            <w:tcMar>
              <w:top w:w="0" w:type="dxa"/>
              <w:left w:w="105" w:type="dxa"/>
              <w:bottom w:w="0" w:type="dxa"/>
              <w:right w:w="105" w:type="dxa"/>
            </w:tcMar>
            <w:vAlign w:val="center"/>
          </w:tcPr>
          <w:p w14:paraId="23BFBCA1">
            <w:pPr>
              <w:widowControl/>
              <w:jc w:val="left"/>
              <w:rPr>
                <w:color w:val="auto"/>
              </w:rPr>
            </w:pPr>
          </w:p>
        </w:tc>
        <w:tc>
          <w:tcPr>
            <w:tcW w:w="685" w:type="dxa"/>
            <w:shd w:val="clear" w:color="auto" w:fill="auto"/>
            <w:tcMar>
              <w:top w:w="0" w:type="dxa"/>
              <w:left w:w="105" w:type="dxa"/>
              <w:bottom w:w="0" w:type="dxa"/>
              <w:right w:w="105" w:type="dxa"/>
            </w:tcMar>
            <w:vAlign w:val="center"/>
          </w:tcPr>
          <w:p w14:paraId="58CAA2EF">
            <w:pPr>
              <w:widowControl/>
              <w:jc w:val="left"/>
              <w:rPr>
                <w:color w:val="auto"/>
              </w:rPr>
            </w:pPr>
          </w:p>
        </w:tc>
        <w:tc>
          <w:tcPr>
            <w:tcW w:w="965" w:type="dxa"/>
            <w:shd w:val="clear" w:color="auto" w:fill="auto"/>
            <w:tcMar>
              <w:top w:w="0" w:type="dxa"/>
              <w:left w:w="105" w:type="dxa"/>
              <w:bottom w:w="0" w:type="dxa"/>
              <w:right w:w="105" w:type="dxa"/>
            </w:tcMar>
            <w:vAlign w:val="center"/>
          </w:tcPr>
          <w:p w14:paraId="720FB8D1">
            <w:pPr>
              <w:widowControl/>
              <w:jc w:val="left"/>
              <w:rPr>
                <w:color w:val="auto"/>
              </w:rPr>
            </w:pPr>
          </w:p>
        </w:tc>
        <w:tc>
          <w:tcPr>
            <w:tcW w:w="1103" w:type="dxa"/>
            <w:shd w:val="clear" w:color="auto" w:fill="auto"/>
            <w:tcMar>
              <w:top w:w="0" w:type="dxa"/>
              <w:left w:w="105" w:type="dxa"/>
              <w:bottom w:w="0" w:type="dxa"/>
              <w:right w:w="105" w:type="dxa"/>
            </w:tcMar>
            <w:vAlign w:val="center"/>
          </w:tcPr>
          <w:p w14:paraId="557F9B82">
            <w:pPr>
              <w:widowControl/>
              <w:jc w:val="left"/>
              <w:rPr>
                <w:color w:val="auto"/>
              </w:rPr>
            </w:pPr>
          </w:p>
        </w:tc>
        <w:tc>
          <w:tcPr>
            <w:tcW w:w="1146" w:type="dxa"/>
            <w:shd w:val="clear" w:color="auto" w:fill="auto"/>
            <w:tcMar>
              <w:top w:w="0" w:type="dxa"/>
              <w:left w:w="105" w:type="dxa"/>
              <w:bottom w:w="0" w:type="dxa"/>
              <w:right w:w="105" w:type="dxa"/>
            </w:tcMar>
            <w:vAlign w:val="center"/>
          </w:tcPr>
          <w:p w14:paraId="41E094ED">
            <w:pPr>
              <w:widowControl/>
              <w:jc w:val="left"/>
              <w:rPr>
                <w:color w:val="auto"/>
              </w:rPr>
            </w:pPr>
          </w:p>
        </w:tc>
      </w:tr>
      <w:tr w14:paraId="45F6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61" w:type="dxa"/>
            <w:vMerge w:val="continue"/>
            <w:shd w:val="clear" w:color="auto" w:fill="auto"/>
            <w:tcMar>
              <w:top w:w="0" w:type="dxa"/>
              <w:left w:w="105" w:type="dxa"/>
              <w:bottom w:w="0" w:type="dxa"/>
              <w:right w:w="105" w:type="dxa"/>
            </w:tcMar>
            <w:vAlign w:val="center"/>
          </w:tcPr>
          <w:p w14:paraId="429FC967">
            <w:pPr>
              <w:rPr>
                <w:rFonts w:ascii="宋体"/>
                <w:color w:val="auto"/>
                <w:sz w:val="24"/>
              </w:rPr>
            </w:pPr>
          </w:p>
        </w:tc>
        <w:tc>
          <w:tcPr>
            <w:tcW w:w="1175" w:type="dxa"/>
            <w:shd w:val="clear" w:color="auto" w:fill="auto"/>
            <w:tcMar>
              <w:top w:w="0" w:type="dxa"/>
              <w:left w:w="105" w:type="dxa"/>
              <w:bottom w:w="0" w:type="dxa"/>
              <w:right w:w="105" w:type="dxa"/>
            </w:tcMar>
            <w:vAlign w:val="center"/>
          </w:tcPr>
          <w:p w14:paraId="45EA0B71">
            <w:pPr>
              <w:pStyle w:val="27"/>
              <w:widowControl/>
              <w:jc w:val="center"/>
              <w:rPr>
                <w:color w:val="auto"/>
              </w:rPr>
            </w:pPr>
            <w:r>
              <w:rPr>
                <w:rFonts w:ascii="Calibri" w:hAnsi="Calibri" w:cs="Calibri"/>
                <w:color w:val="auto"/>
                <w:sz w:val="21"/>
                <w:szCs w:val="21"/>
              </w:rPr>
              <w:t>…</w:t>
            </w:r>
          </w:p>
        </w:tc>
        <w:tc>
          <w:tcPr>
            <w:tcW w:w="1044" w:type="dxa"/>
            <w:shd w:val="clear" w:color="auto" w:fill="auto"/>
            <w:tcMar>
              <w:top w:w="0" w:type="dxa"/>
              <w:left w:w="105" w:type="dxa"/>
              <w:bottom w:w="0" w:type="dxa"/>
              <w:right w:w="105" w:type="dxa"/>
            </w:tcMar>
            <w:vAlign w:val="center"/>
          </w:tcPr>
          <w:p w14:paraId="6AF43A25">
            <w:pPr>
              <w:widowControl/>
              <w:jc w:val="left"/>
              <w:rPr>
                <w:color w:val="auto"/>
              </w:rPr>
            </w:pPr>
          </w:p>
        </w:tc>
        <w:tc>
          <w:tcPr>
            <w:tcW w:w="965" w:type="dxa"/>
            <w:shd w:val="clear" w:color="auto" w:fill="auto"/>
            <w:tcMar>
              <w:top w:w="0" w:type="dxa"/>
              <w:left w:w="105" w:type="dxa"/>
              <w:bottom w:w="0" w:type="dxa"/>
              <w:right w:w="105" w:type="dxa"/>
            </w:tcMar>
            <w:vAlign w:val="center"/>
          </w:tcPr>
          <w:p w14:paraId="0005783E">
            <w:pPr>
              <w:widowControl/>
              <w:jc w:val="left"/>
              <w:rPr>
                <w:color w:val="auto"/>
              </w:rPr>
            </w:pPr>
          </w:p>
        </w:tc>
        <w:tc>
          <w:tcPr>
            <w:tcW w:w="685" w:type="dxa"/>
            <w:shd w:val="clear" w:color="auto" w:fill="auto"/>
            <w:tcMar>
              <w:top w:w="0" w:type="dxa"/>
              <w:left w:w="105" w:type="dxa"/>
              <w:bottom w:w="0" w:type="dxa"/>
              <w:right w:w="105" w:type="dxa"/>
            </w:tcMar>
            <w:vAlign w:val="center"/>
          </w:tcPr>
          <w:p w14:paraId="315176F4">
            <w:pPr>
              <w:widowControl/>
              <w:jc w:val="left"/>
              <w:rPr>
                <w:color w:val="auto"/>
              </w:rPr>
            </w:pPr>
          </w:p>
        </w:tc>
        <w:tc>
          <w:tcPr>
            <w:tcW w:w="965" w:type="dxa"/>
            <w:shd w:val="clear" w:color="auto" w:fill="auto"/>
            <w:tcMar>
              <w:top w:w="0" w:type="dxa"/>
              <w:left w:w="105" w:type="dxa"/>
              <w:bottom w:w="0" w:type="dxa"/>
              <w:right w:w="105" w:type="dxa"/>
            </w:tcMar>
            <w:vAlign w:val="center"/>
          </w:tcPr>
          <w:p w14:paraId="493A34EF">
            <w:pPr>
              <w:widowControl/>
              <w:jc w:val="left"/>
              <w:rPr>
                <w:color w:val="auto"/>
              </w:rPr>
            </w:pPr>
          </w:p>
        </w:tc>
        <w:tc>
          <w:tcPr>
            <w:tcW w:w="1103" w:type="dxa"/>
            <w:shd w:val="clear" w:color="auto" w:fill="auto"/>
            <w:tcMar>
              <w:top w:w="0" w:type="dxa"/>
              <w:left w:w="105" w:type="dxa"/>
              <w:bottom w:w="0" w:type="dxa"/>
              <w:right w:w="105" w:type="dxa"/>
            </w:tcMar>
            <w:vAlign w:val="center"/>
          </w:tcPr>
          <w:p w14:paraId="0F572A65">
            <w:pPr>
              <w:widowControl/>
              <w:jc w:val="left"/>
              <w:rPr>
                <w:color w:val="auto"/>
              </w:rPr>
            </w:pPr>
          </w:p>
        </w:tc>
        <w:tc>
          <w:tcPr>
            <w:tcW w:w="1146" w:type="dxa"/>
            <w:shd w:val="clear" w:color="auto" w:fill="auto"/>
            <w:tcMar>
              <w:top w:w="0" w:type="dxa"/>
              <w:left w:w="105" w:type="dxa"/>
              <w:bottom w:w="0" w:type="dxa"/>
              <w:right w:w="105" w:type="dxa"/>
            </w:tcMar>
            <w:vAlign w:val="center"/>
          </w:tcPr>
          <w:p w14:paraId="12B0640B">
            <w:pPr>
              <w:widowControl/>
              <w:jc w:val="left"/>
              <w:rPr>
                <w:color w:val="auto"/>
              </w:rPr>
            </w:pPr>
          </w:p>
        </w:tc>
      </w:tr>
      <w:tr w14:paraId="0DB6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61" w:type="dxa"/>
            <w:shd w:val="clear" w:color="auto" w:fill="auto"/>
            <w:tcMar>
              <w:top w:w="0" w:type="dxa"/>
              <w:left w:w="105" w:type="dxa"/>
              <w:bottom w:w="0" w:type="dxa"/>
              <w:right w:w="105" w:type="dxa"/>
            </w:tcMar>
            <w:vAlign w:val="center"/>
          </w:tcPr>
          <w:p w14:paraId="73C0B797">
            <w:pPr>
              <w:pStyle w:val="27"/>
              <w:widowControl/>
              <w:jc w:val="center"/>
              <w:rPr>
                <w:color w:val="auto"/>
              </w:rPr>
            </w:pPr>
            <w:r>
              <w:rPr>
                <w:rFonts w:hint="eastAsia" w:ascii="宋体" w:hAnsi="宋体" w:eastAsia="宋体" w:cs="宋体"/>
                <w:color w:val="auto"/>
                <w:sz w:val="21"/>
                <w:szCs w:val="21"/>
              </w:rPr>
              <w:t>备注</w:t>
            </w:r>
          </w:p>
        </w:tc>
        <w:tc>
          <w:tcPr>
            <w:tcW w:w="7263" w:type="dxa"/>
            <w:gridSpan w:val="7"/>
            <w:shd w:val="clear" w:color="auto" w:fill="auto"/>
            <w:tcMar>
              <w:top w:w="0" w:type="dxa"/>
              <w:left w:w="105" w:type="dxa"/>
              <w:bottom w:w="0" w:type="dxa"/>
              <w:right w:w="105" w:type="dxa"/>
            </w:tcMar>
          </w:tcPr>
          <w:p w14:paraId="410AF2A2">
            <w:pPr>
              <w:pStyle w:val="27"/>
              <w:widowControl/>
              <w:rPr>
                <w:color w:val="auto"/>
              </w:rPr>
            </w:pPr>
            <w:r>
              <w:rPr>
                <w:rFonts w:hint="eastAsia" w:ascii="宋体" w:hAnsi="宋体" w:eastAsia="宋体" w:cs="宋体"/>
                <w:color w:val="auto"/>
                <w:sz w:val="21"/>
                <w:szCs w:val="21"/>
              </w:rPr>
              <w:t>合同包内属于小型、微型企业产品等的报价总金额：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tc>
      </w:tr>
    </w:tbl>
    <w:p w14:paraId="7DCAA9BF">
      <w:pPr>
        <w:pStyle w:val="27"/>
        <w:widowControl/>
        <w:rPr>
          <w:color w:val="auto"/>
        </w:rPr>
      </w:pPr>
      <w:r>
        <w:rPr>
          <w:rFonts w:hint="eastAsia" w:ascii="宋体" w:hAnsi="宋体" w:eastAsia="宋体" w:cs="宋体"/>
          <w:color w:val="auto"/>
          <w:sz w:val="21"/>
          <w:szCs w:val="21"/>
        </w:rPr>
        <w:t>★注意：</w:t>
      </w:r>
    </w:p>
    <w:p w14:paraId="44AC7A54">
      <w:pPr>
        <w:pStyle w:val="27"/>
        <w:widowControl/>
        <w:rPr>
          <w:color w:val="auto"/>
        </w:rPr>
      </w:pPr>
      <w:r>
        <w:rPr>
          <w:rFonts w:hint="eastAsia" w:ascii="宋体" w:hAnsi="宋体" w:eastAsia="宋体" w:cs="宋体"/>
          <w:color w:val="auto"/>
          <w:sz w:val="21"/>
          <w:szCs w:val="21"/>
        </w:rPr>
        <w:t>1、对小型、微型企业产品等计算价格扣除时，只依据投标文件</w:t>
      </w:r>
      <w:r>
        <w:rPr>
          <w:rStyle w:val="32"/>
          <w:rFonts w:hint="eastAsia" w:ascii="宋体" w:hAnsi="宋体" w:eastAsia="宋体" w:cs="宋体"/>
          <w:color w:val="auto"/>
          <w:sz w:val="21"/>
          <w:szCs w:val="21"/>
        </w:rPr>
        <w:t>“三</w:t>
      </w:r>
      <w:r>
        <w:rPr>
          <w:rStyle w:val="32"/>
          <w:rFonts w:ascii="Calibri" w:hAnsi="Calibri" w:eastAsia="宋体" w:cs="Calibri"/>
          <w:color w:val="auto"/>
          <w:sz w:val="21"/>
          <w:szCs w:val="21"/>
        </w:rPr>
        <w:t>-2-</w:t>
      </w:r>
      <w:r>
        <w:rPr>
          <w:rStyle w:val="32"/>
          <w:rFonts w:hint="eastAsia" w:ascii="宋体" w:hAnsi="宋体" w:eastAsia="宋体" w:cs="宋体"/>
          <w:color w:val="auto"/>
          <w:sz w:val="21"/>
          <w:szCs w:val="21"/>
        </w:rPr>
        <w:t>②中小企业声明函（价格扣除适用，若有）”及“三</w:t>
      </w:r>
      <w:r>
        <w:rPr>
          <w:rStyle w:val="32"/>
          <w:rFonts w:ascii="Calibri" w:hAnsi="Calibri" w:eastAsia="宋体" w:cs="Calibri"/>
          <w:color w:val="auto"/>
          <w:sz w:val="21"/>
          <w:szCs w:val="21"/>
        </w:rPr>
        <w:t>-2-</w:t>
      </w:r>
      <w:r>
        <w:rPr>
          <w:rStyle w:val="32"/>
          <w:rFonts w:hint="eastAsia" w:ascii="宋体" w:hAnsi="宋体" w:eastAsia="宋体" w:cs="宋体"/>
          <w:color w:val="auto"/>
          <w:sz w:val="21"/>
          <w:szCs w:val="21"/>
        </w:rPr>
        <w:t>③小型、微型企业等证明材料（价格扣除适用，若有）”。</w:t>
      </w:r>
    </w:p>
    <w:p w14:paraId="58A1A5CC">
      <w:pPr>
        <w:pStyle w:val="27"/>
        <w:widowControl/>
        <w:rPr>
          <w:color w:val="auto"/>
        </w:rPr>
      </w:pPr>
      <w:r>
        <w:rPr>
          <w:rFonts w:hint="eastAsia" w:ascii="宋体" w:hAnsi="宋体" w:eastAsia="宋体" w:cs="宋体"/>
          <w:color w:val="auto"/>
          <w:sz w:val="21"/>
          <w:szCs w:val="21"/>
        </w:rPr>
        <w:t>2、本表以合同包为单位，不同合同包请分别填写；同一合同包请按照其品目号顺序分别填写。</w:t>
      </w:r>
    </w:p>
    <w:p w14:paraId="3E688479">
      <w:pPr>
        <w:pStyle w:val="27"/>
        <w:widowControl/>
        <w:shd w:val="clear" w:color="auto" w:fill="FFFFFF"/>
        <w:spacing w:after="150" w:afterAutospacing="0"/>
        <w:rPr>
          <w:color w:val="auto"/>
        </w:rPr>
      </w:pPr>
      <w:r>
        <w:rPr>
          <w:rFonts w:hint="eastAsia" w:ascii="宋体" w:hAnsi="宋体" w:eastAsia="宋体" w:cs="宋体"/>
          <w:color w:val="auto"/>
          <w:sz w:val="21"/>
          <w:szCs w:val="21"/>
          <w:shd w:val="clear" w:color="auto" w:fill="FFFFFF"/>
        </w:rPr>
        <w:t>3、符合财政部、民政部、中国残联文件（财库</w:t>
      </w:r>
      <w:r>
        <w:rPr>
          <w:rFonts w:ascii="Calibri" w:hAnsi="Calibri" w:cs="Calibri"/>
          <w:color w:val="auto"/>
          <w:sz w:val="21"/>
          <w:szCs w:val="21"/>
          <w:shd w:val="clear" w:color="auto" w:fill="FFFFFF"/>
        </w:rPr>
        <w:t>[2017]141</w:t>
      </w:r>
      <w:r>
        <w:rPr>
          <w:rFonts w:hint="eastAsia" w:ascii="宋体" w:hAnsi="宋体" w:eastAsia="宋体" w:cs="宋体"/>
          <w:color w:val="auto"/>
          <w:sz w:val="21"/>
          <w:szCs w:val="21"/>
          <w:shd w:val="clear" w:color="auto" w:fill="FFFFFF"/>
        </w:rPr>
        <w:t>号）规定的残疾人福利性单位提供本单位制造的货物、承担的工程或服务，或提供其他残疾人福利性单位制造的货物（不包括使用非残疾人福利性单位注册商标的货物）</w:t>
      </w:r>
      <w:r>
        <w:rPr>
          <w:rStyle w:val="32"/>
          <w:rFonts w:hint="eastAsia" w:ascii="宋体" w:hAnsi="宋体" w:eastAsia="宋体" w:cs="宋体"/>
          <w:color w:val="auto"/>
          <w:sz w:val="21"/>
          <w:szCs w:val="21"/>
          <w:shd w:val="clear" w:color="auto" w:fill="FFFFFF"/>
        </w:rPr>
        <w:t>可享受价格扣除。</w:t>
      </w:r>
    </w:p>
    <w:p w14:paraId="7508DDC0">
      <w:pPr>
        <w:pStyle w:val="27"/>
        <w:widowControl/>
        <w:shd w:val="clear" w:color="auto" w:fill="FFFFFF"/>
        <w:spacing w:after="150" w:afterAutospacing="0"/>
        <w:rPr>
          <w:color w:val="auto"/>
        </w:rPr>
      </w:pPr>
      <w:r>
        <w:rPr>
          <w:rFonts w:hint="eastAsia" w:ascii="宋体" w:hAnsi="宋体" w:eastAsia="宋体" w:cs="宋体"/>
          <w:color w:val="auto"/>
          <w:sz w:val="21"/>
          <w:szCs w:val="21"/>
          <w:shd w:val="clear" w:color="auto" w:fill="FFFFFF"/>
        </w:rPr>
        <w:t>4、纸质投标文件正本中的本表（若有）应为原件。</w:t>
      </w:r>
    </w:p>
    <w:p w14:paraId="56D4CCA6">
      <w:pPr>
        <w:pStyle w:val="27"/>
        <w:widowControl/>
        <w:rPr>
          <w:color w:val="auto"/>
        </w:rPr>
      </w:pPr>
      <w:r>
        <w:rPr>
          <w:rFonts w:hint="eastAsia" w:ascii="宋体" w:hAnsi="宋体" w:eastAsia="宋体" w:cs="宋体"/>
          <w:color w:val="auto"/>
          <w:sz w:val="21"/>
          <w:szCs w:val="21"/>
        </w:rPr>
        <w:t> </w:t>
      </w:r>
    </w:p>
    <w:p w14:paraId="4D2CFA0B">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38BE1BDC">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3F9EB650">
      <w:pPr>
        <w:pStyle w:val="27"/>
        <w:widowControl/>
        <w:rPr>
          <w:rFonts w:ascii="宋体" w:hAnsi="宋体" w:eastAsia="宋体" w:cs="宋体"/>
          <w:color w:val="auto"/>
          <w:sz w:val="21"/>
          <w:szCs w:val="21"/>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258E6582">
      <w:pPr>
        <w:pStyle w:val="27"/>
        <w:widowControl/>
        <w:rPr>
          <w:rFonts w:ascii="宋体" w:hAnsi="宋体" w:eastAsia="宋体" w:cs="宋体"/>
          <w:color w:val="auto"/>
          <w:sz w:val="21"/>
          <w:szCs w:val="21"/>
        </w:rPr>
      </w:pPr>
      <w:r>
        <w:rPr>
          <w:rFonts w:hint="eastAsia" w:ascii="宋体" w:hAnsi="宋体" w:eastAsia="宋体" w:cs="宋体"/>
          <w:color w:val="auto"/>
          <w:sz w:val="21"/>
          <w:szCs w:val="21"/>
        </w:rPr>
        <w:br w:type="page"/>
      </w:r>
    </w:p>
    <w:p w14:paraId="35F9C0AA">
      <w:pPr>
        <w:pStyle w:val="27"/>
        <w:widowControl/>
        <w:jc w:val="center"/>
        <w:rPr>
          <w:color w:val="auto"/>
        </w:rPr>
      </w:pPr>
      <w:r>
        <w:rPr>
          <w:rStyle w:val="32"/>
          <w:rFonts w:hint="eastAsia" w:ascii="宋体" w:hAnsi="宋体" w:eastAsia="宋体" w:cs="宋体"/>
          <w:color w:val="auto"/>
          <w:sz w:val="21"/>
          <w:szCs w:val="21"/>
        </w:rPr>
        <w:t>三-2-②中小企业声明函（价格扣除适用，若有）</w:t>
      </w:r>
    </w:p>
    <w:p w14:paraId="2149D292">
      <w:pPr>
        <w:pStyle w:val="27"/>
        <w:widowControl/>
        <w:rPr>
          <w:color w:val="auto"/>
        </w:rPr>
      </w:pPr>
      <w:r>
        <w:rPr>
          <w:rStyle w:val="32"/>
          <w:rFonts w:hint="eastAsia" w:ascii="宋体" w:hAnsi="宋体" w:eastAsia="宋体" w:cs="宋体"/>
          <w:color w:val="auto"/>
          <w:sz w:val="21"/>
          <w:szCs w:val="21"/>
        </w:rPr>
        <w:t> </w:t>
      </w:r>
    </w:p>
    <w:p w14:paraId="395E9B7B">
      <w:pPr>
        <w:pStyle w:val="27"/>
        <w:widowControl/>
        <w:spacing w:before="75" w:beforeAutospacing="0" w:after="75" w:afterAutospacing="0"/>
        <w:ind w:firstLine="420"/>
        <w:jc w:val="center"/>
        <w:rPr>
          <w:color w:val="auto"/>
        </w:rPr>
      </w:pPr>
      <w:r>
        <w:rPr>
          <w:color w:val="auto"/>
        </w:rPr>
        <w:t>中小企业声明函（货物）</w:t>
      </w:r>
    </w:p>
    <w:p w14:paraId="1F47C259">
      <w:pPr>
        <w:pStyle w:val="27"/>
        <w:widowControl/>
        <w:spacing w:before="75" w:beforeAutospacing="0" w:after="75" w:afterAutospacing="0"/>
        <w:ind w:firstLine="420"/>
        <w:rPr>
          <w:color w:val="auto"/>
        </w:rPr>
      </w:pPr>
      <w:r>
        <w:rPr>
          <w:rFonts w:hint="eastAsia" w:ascii="宋体" w:hAnsi="宋体" w:eastAsia="宋体" w:cs="宋体"/>
          <w:color w:val="auto"/>
          <w:sz w:val="21"/>
          <w:szCs w:val="21"/>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1.  （标的名称） ，属于（采购文件中明确的所属行业）行业；制造商为（企业名称），从业人员  人，营业收入为  万元，资产总额为  万元</w:t>
      </w:r>
      <w:r>
        <w:rPr>
          <w:rFonts w:hint="eastAsia" w:ascii="宋体" w:hAnsi="宋体" w:eastAsia="宋体" w:cs="宋体"/>
          <w:color w:val="auto"/>
          <w:sz w:val="21"/>
          <w:szCs w:val="21"/>
          <w:vertAlign w:val="superscript"/>
        </w:rPr>
        <w:t>1</w:t>
      </w:r>
      <w:r>
        <w:rPr>
          <w:rFonts w:hint="eastAsia" w:ascii="宋体" w:hAnsi="宋体" w:eastAsia="宋体" w:cs="宋体"/>
          <w:color w:val="auto"/>
          <w:sz w:val="21"/>
          <w:szCs w:val="21"/>
        </w:rPr>
        <w:t>，属于（中型企业、小型企业、微型企业）；</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2.  （标的名称） ， 属 于 （采购文件中明确的所属行业 ）行业；制造商为（企业名称），从业人员  人，营业收入为  万元，资产总额为  万元，属于（中型企业、小型企业、微型企业）；</w:t>
      </w:r>
      <w:r>
        <w:rPr>
          <w:color w:val="auto"/>
        </w:rPr>
        <w:br w:type="textWrapping"/>
      </w:r>
      <w:r>
        <w:rPr>
          <w:color w:val="auto"/>
        </w:rPr>
        <w:t>  </w:t>
      </w:r>
      <w:r>
        <w:rPr>
          <w:color w:val="auto"/>
        </w:rPr>
        <w:br w:type="textWrapping"/>
      </w:r>
      <w:r>
        <w:rPr>
          <w:rFonts w:hint="eastAsia" w:ascii="宋体" w:hAnsi="宋体" w:eastAsia="宋体" w:cs="宋体"/>
          <w:color w:val="auto"/>
          <w:sz w:val="21"/>
          <w:szCs w:val="21"/>
        </w:rPr>
        <w:t>……</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以上企业，不属于大企业的分支机构，不存在控股股东为大企业的情形，也不存在与大企业的负责人为同一人的情形。</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本企业对上述声明内容的真实性负责。如有虚假，将依法承担相应责任。</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企业名称（盖章）：        </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日期：</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1从业人员、营业收入、资产总额填报上一年度数据，无上一年度数据的新成立企业可不填报。</w:t>
      </w:r>
      <w:r>
        <w:rPr>
          <w:color w:val="auto"/>
        </w:rPr>
        <w:br w:type="textWrapping"/>
      </w:r>
    </w:p>
    <w:p w14:paraId="31B855C3">
      <w:pPr>
        <w:pStyle w:val="27"/>
        <w:widowControl/>
        <w:spacing w:before="75" w:beforeAutospacing="0" w:after="75" w:afterAutospacing="0"/>
        <w:ind w:firstLine="420"/>
        <w:rPr>
          <w:color w:val="auto"/>
        </w:rPr>
      </w:pPr>
      <w:r>
        <w:rPr>
          <w:color w:val="auto"/>
        </w:rPr>
        <w:br w:type="page"/>
      </w:r>
    </w:p>
    <w:p w14:paraId="08828C30">
      <w:pPr>
        <w:pStyle w:val="27"/>
        <w:widowControl/>
        <w:spacing w:before="75" w:beforeAutospacing="0" w:after="75" w:afterAutospacing="0"/>
        <w:ind w:firstLine="420"/>
        <w:jc w:val="center"/>
        <w:rPr>
          <w:rFonts w:ascii="宋体" w:hAnsi="宋体" w:eastAsia="宋体" w:cs="宋体"/>
          <w:color w:val="auto"/>
          <w:sz w:val="21"/>
          <w:szCs w:val="21"/>
        </w:rPr>
      </w:pPr>
      <w:r>
        <w:rPr>
          <w:rFonts w:hint="eastAsia" w:ascii="宋体" w:hAnsi="宋体" w:eastAsia="宋体" w:cs="宋体"/>
          <w:color w:val="auto"/>
        </w:rPr>
        <w:t>中小企业声明函（工程、服务</w:t>
      </w:r>
      <w:r>
        <w:rPr>
          <w:rFonts w:hint="eastAsia" w:ascii="宋体" w:hAnsi="宋体" w:eastAsia="宋体" w:cs="宋体"/>
          <w:color w:val="auto"/>
          <w:sz w:val="21"/>
          <w:szCs w:val="21"/>
        </w:rPr>
        <w:t>）</w:t>
      </w:r>
    </w:p>
    <w:p w14:paraId="517062F4">
      <w:pPr>
        <w:pStyle w:val="27"/>
        <w:widowControl/>
        <w:spacing w:before="75" w:beforeAutospacing="0" w:after="75" w:afterAutospacing="0"/>
        <w:ind w:firstLine="420"/>
        <w:rPr>
          <w:color w:val="auto"/>
        </w:rPr>
      </w:pPr>
      <w:r>
        <w:rPr>
          <w:rFonts w:hint="eastAsia" w:ascii="宋体" w:hAnsi="宋体" w:eastAsia="宋体" w:cs="宋体"/>
          <w:color w:val="auto"/>
          <w:sz w:val="21"/>
          <w:szCs w:val="21"/>
        </w:rPr>
        <w:t>本公司（联合体）郑重声明，根据《政府采购促进中小企业发展管理办法》（财库﹝2020﹞46 号）的规定，本公司（联合体）参加</w:t>
      </w:r>
      <w:r>
        <w:rPr>
          <w:rFonts w:hint="eastAsia" w:ascii="宋体" w:hAnsi="宋体" w:eastAsia="宋体" w:cs="宋体"/>
          <w:color w:val="auto"/>
          <w:sz w:val="21"/>
          <w:szCs w:val="21"/>
          <w:u w:val="single"/>
        </w:rPr>
        <w:t>（单位名称）</w:t>
      </w:r>
      <w:r>
        <w:rPr>
          <w:rFonts w:hint="eastAsia" w:ascii="宋体" w:hAnsi="宋体" w:eastAsia="宋体" w:cs="宋体"/>
          <w:color w:val="auto"/>
          <w:sz w:val="21"/>
          <w:szCs w:val="21"/>
        </w:rPr>
        <w:t>的</w:t>
      </w:r>
      <w:r>
        <w:rPr>
          <w:rFonts w:hint="eastAsia" w:ascii="宋体" w:hAnsi="宋体" w:eastAsia="宋体" w:cs="宋体"/>
          <w:color w:val="auto"/>
          <w:sz w:val="21"/>
          <w:szCs w:val="21"/>
          <w:u w:val="single"/>
        </w:rPr>
        <w:t>（项目名称）</w:t>
      </w:r>
      <w:r>
        <w:rPr>
          <w:rFonts w:hint="eastAsia" w:ascii="宋体" w:hAnsi="宋体" w:eastAsia="宋体" w:cs="宋体"/>
          <w:color w:val="auto"/>
          <w:sz w:val="21"/>
          <w:szCs w:val="21"/>
        </w:rPr>
        <w:t>采购活动，工程的施工单位全部为符合政策要求的中小企业（或者：服务全部由符合政策要求的中小企业承接）。相关企业（含联合体中的中小企业、签订分包意向协议的中小企业）的具体情况如下：</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1. （标的名称），属于（采购文件中明确的所属行业）；承建（承接）企业为（企业名称），从业人员  </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人，营业收入为  万元，资产总额为  万元</w:t>
      </w:r>
      <w:r>
        <w:rPr>
          <w:rFonts w:hint="eastAsia" w:ascii="宋体" w:hAnsi="宋体" w:eastAsia="宋体" w:cs="宋体"/>
          <w:color w:val="auto"/>
          <w:sz w:val="21"/>
          <w:szCs w:val="21"/>
          <w:vertAlign w:val="superscript"/>
        </w:rPr>
        <w:t>1</w:t>
      </w:r>
      <w:r>
        <w:rPr>
          <w:rFonts w:hint="eastAsia" w:ascii="宋体" w:hAnsi="宋体" w:eastAsia="宋体" w:cs="宋体"/>
          <w:color w:val="auto"/>
          <w:sz w:val="21"/>
          <w:szCs w:val="21"/>
        </w:rPr>
        <w:t>，属于（中型企业、小型企业、微型企业）；</w:t>
      </w:r>
    </w:p>
    <w:p w14:paraId="236F4E13">
      <w:pPr>
        <w:pStyle w:val="27"/>
        <w:widowControl/>
        <w:rPr>
          <w:color w:val="auto"/>
        </w:rPr>
      </w:pPr>
      <w:r>
        <w:rPr>
          <w:rFonts w:hint="eastAsia" w:ascii="宋体" w:hAnsi="宋体" w:eastAsia="宋体" w:cs="宋体"/>
          <w:color w:val="auto"/>
          <w:sz w:val="21"/>
          <w:szCs w:val="21"/>
        </w:rPr>
        <w:t>        2. （标的名称），属于（采购文件中明确的所属行业）；承建（承接）企业为（企业名称），从业人员  人，营业收入为  万元，资产总额为  万元，属于（中型企业、小型企业、微型企业）；</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以上企业，不属于大企业的分支机构，不存在控股股东为大企业的情形，也不存在与大企业的负责人为同一人的情形。</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本企业对上述声明内容的真实性负责。如有虚假，将依法承担相应责任。</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企业名称（盖章）：                     </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日期：</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1从业人员、营业收入、资产总额填报上一年度数据，无上一年度数据的新成立企业可不填报。</w:t>
      </w:r>
    </w:p>
    <w:p w14:paraId="1FC9FA4E">
      <w:pPr>
        <w:pStyle w:val="27"/>
        <w:widowControl/>
        <w:ind w:firstLine="420"/>
        <w:rPr>
          <w:color w:val="auto"/>
        </w:rPr>
      </w:pPr>
    </w:p>
    <w:p w14:paraId="182B6723">
      <w:pPr>
        <w:pStyle w:val="27"/>
        <w:widowControl/>
        <w:rPr>
          <w:color w:val="auto"/>
        </w:rPr>
      </w:pPr>
      <w:r>
        <w:rPr>
          <w:rFonts w:hint="eastAsia" w:ascii="宋体" w:hAnsi="宋体" w:eastAsia="宋体" w:cs="宋体"/>
          <w:color w:val="auto"/>
          <w:sz w:val="21"/>
          <w:szCs w:val="21"/>
        </w:rPr>
        <w:t> </w:t>
      </w:r>
    </w:p>
    <w:p w14:paraId="464B2974">
      <w:pPr>
        <w:pStyle w:val="27"/>
        <w:widowControl/>
        <w:rPr>
          <w:color w:val="auto"/>
        </w:rPr>
      </w:pPr>
      <w:r>
        <w:rPr>
          <w:rFonts w:hint="eastAsia" w:ascii="宋体" w:hAnsi="宋体" w:eastAsia="宋体" w:cs="宋体"/>
          <w:color w:val="auto"/>
          <w:sz w:val="21"/>
          <w:szCs w:val="21"/>
        </w:rPr>
        <w:t> </w:t>
      </w:r>
    </w:p>
    <w:p w14:paraId="36ED795B">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0750C176">
      <w:pPr>
        <w:pStyle w:val="27"/>
        <w:widowControl/>
        <w:jc w:val="center"/>
        <w:rPr>
          <w:color w:val="auto"/>
        </w:rPr>
      </w:pPr>
      <w:r>
        <w:rPr>
          <w:rStyle w:val="32"/>
          <w:rFonts w:hint="eastAsia" w:ascii="宋体" w:hAnsi="宋体" w:eastAsia="宋体" w:cs="宋体"/>
          <w:color w:val="auto"/>
          <w:sz w:val="21"/>
          <w:szCs w:val="21"/>
        </w:rPr>
        <w:t>三-2-③小型、微型企业等证明材料（价格扣除适用，若有）</w:t>
      </w:r>
    </w:p>
    <w:p w14:paraId="27B2998F">
      <w:pPr>
        <w:pStyle w:val="27"/>
        <w:widowControl/>
        <w:rPr>
          <w:color w:val="auto"/>
        </w:rPr>
      </w:pPr>
      <w:r>
        <w:rPr>
          <w:rStyle w:val="32"/>
          <w:rFonts w:hint="eastAsia" w:ascii="宋体" w:hAnsi="宋体" w:eastAsia="宋体" w:cs="宋体"/>
          <w:color w:val="auto"/>
          <w:sz w:val="21"/>
          <w:szCs w:val="21"/>
        </w:rPr>
        <w:t> </w:t>
      </w:r>
    </w:p>
    <w:p w14:paraId="245E5F54">
      <w:pPr>
        <w:pStyle w:val="27"/>
        <w:widowControl/>
        <w:jc w:val="center"/>
        <w:rPr>
          <w:color w:val="auto"/>
        </w:rPr>
      </w:pPr>
      <w:r>
        <w:rPr>
          <w:rFonts w:hint="eastAsia" w:ascii="宋体" w:hAnsi="宋体" w:eastAsia="宋体" w:cs="宋体"/>
          <w:color w:val="auto"/>
          <w:sz w:val="21"/>
          <w:szCs w:val="21"/>
        </w:rPr>
        <w:t>编制说明</w:t>
      </w:r>
    </w:p>
    <w:p w14:paraId="5FC98F12">
      <w:pPr>
        <w:pStyle w:val="27"/>
        <w:widowControl/>
        <w:jc w:val="center"/>
        <w:rPr>
          <w:color w:val="auto"/>
        </w:rPr>
      </w:pPr>
      <w:r>
        <w:rPr>
          <w:rFonts w:hint="eastAsia" w:ascii="宋体" w:hAnsi="宋体" w:eastAsia="宋体" w:cs="宋体"/>
          <w:color w:val="auto"/>
          <w:sz w:val="21"/>
          <w:szCs w:val="21"/>
        </w:rPr>
        <w:t> </w:t>
      </w:r>
    </w:p>
    <w:p w14:paraId="50DA7DFB">
      <w:pPr>
        <w:pStyle w:val="27"/>
        <w:widowControl/>
        <w:rPr>
          <w:color w:val="auto"/>
        </w:rPr>
      </w:pPr>
      <w:r>
        <w:rPr>
          <w:rFonts w:hint="eastAsia" w:ascii="宋体" w:hAnsi="宋体" w:eastAsia="宋体" w:cs="宋体"/>
          <w:color w:val="auto"/>
          <w:sz w:val="21"/>
          <w:szCs w:val="21"/>
        </w:rPr>
        <w:t>1、投标人应按照招标文件要求提供相应证明材料，证明材料应与《中小企业声明函》的内容相一致，否则视为《中小企业声明函》内容不真实。</w:t>
      </w:r>
    </w:p>
    <w:p w14:paraId="6F3F4E72">
      <w:pPr>
        <w:pStyle w:val="27"/>
        <w:widowControl/>
        <w:rPr>
          <w:color w:val="auto"/>
        </w:rPr>
      </w:pPr>
      <w:r>
        <w:rPr>
          <w:rFonts w:hint="eastAsia" w:ascii="宋体" w:hAnsi="宋体" w:eastAsia="宋体" w:cs="宋体"/>
          <w:color w:val="auto"/>
          <w:sz w:val="21"/>
          <w:szCs w:val="21"/>
        </w:rPr>
        <w:t>2、投标人为监狱企业的，根据其提供的由省级以上监狱管理局、戒毒管理局（含新疆生产建设兵团）出具的属于监狱企业的证明文件进行认定，监狱企业视同小型、微型企业。</w:t>
      </w:r>
    </w:p>
    <w:p w14:paraId="5421C47F">
      <w:pPr>
        <w:pStyle w:val="27"/>
        <w:widowControl/>
        <w:rPr>
          <w:color w:val="auto"/>
        </w:rPr>
      </w:pPr>
      <w:r>
        <w:rPr>
          <w:rFonts w:hint="eastAsia" w:ascii="宋体" w:hAnsi="宋体" w:eastAsia="宋体" w:cs="宋体"/>
          <w:color w:val="auto"/>
          <w:sz w:val="21"/>
          <w:szCs w:val="21"/>
        </w:rPr>
        <w:t>3、投标人为残疾人福利性单位的，根据其提供的《残疾人福利性单位声明函》（格式附后）进行认定，残疾人福利性单位视同小型、微型企业。残疾人福利性单位属于小型、微型企业的，不重复享受政策。</w:t>
      </w:r>
    </w:p>
    <w:p w14:paraId="483CA1F2">
      <w:pPr>
        <w:pStyle w:val="27"/>
        <w:widowControl/>
        <w:rPr>
          <w:color w:val="auto"/>
        </w:rPr>
      </w:pPr>
      <w:r>
        <w:rPr>
          <w:rFonts w:hint="eastAsia" w:ascii="宋体" w:hAnsi="宋体" w:eastAsia="宋体" w:cs="宋体"/>
          <w:color w:val="auto"/>
          <w:sz w:val="21"/>
          <w:szCs w:val="21"/>
        </w:rPr>
        <w:t>附：</w:t>
      </w:r>
    </w:p>
    <w:p w14:paraId="264AF6A5">
      <w:pPr>
        <w:pStyle w:val="27"/>
        <w:widowControl/>
        <w:jc w:val="center"/>
        <w:rPr>
          <w:color w:val="auto"/>
        </w:rPr>
      </w:pPr>
      <w:r>
        <w:rPr>
          <w:rStyle w:val="32"/>
          <w:rFonts w:hint="eastAsia" w:ascii="宋体" w:hAnsi="宋体" w:eastAsia="宋体" w:cs="宋体"/>
          <w:color w:val="auto"/>
          <w:sz w:val="21"/>
          <w:szCs w:val="21"/>
        </w:rPr>
        <w:t>残疾人福利性单位声明函（价格扣除适用，若有）</w:t>
      </w:r>
    </w:p>
    <w:p w14:paraId="3E8B7BEC">
      <w:pPr>
        <w:pStyle w:val="27"/>
        <w:widowControl/>
        <w:rPr>
          <w:color w:val="auto"/>
        </w:rPr>
      </w:pPr>
      <w:r>
        <w:rPr>
          <w:rStyle w:val="32"/>
          <w:rFonts w:hint="eastAsia" w:ascii="宋体" w:hAnsi="宋体" w:eastAsia="宋体" w:cs="宋体"/>
          <w:color w:val="auto"/>
          <w:sz w:val="21"/>
          <w:szCs w:val="21"/>
        </w:rPr>
        <w:t> </w:t>
      </w:r>
    </w:p>
    <w:p w14:paraId="2788531C">
      <w:pPr>
        <w:pStyle w:val="27"/>
        <w:widowControl/>
        <w:spacing w:before="75" w:beforeAutospacing="0" w:after="75" w:afterAutospacing="0"/>
        <w:ind w:firstLine="420"/>
        <w:rPr>
          <w:color w:val="auto"/>
        </w:rPr>
      </w:pPr>
      <w:r>
        <w:rPr>
          <w:rFonts w:hint="eastAsia" w:ascii="宋体" w:hAnsi="宋体" w:eastAsia="宋体" w:cs="宋体"/>
          <w:color w:val="auto"/>
          <w:sz w:val="21"/>
          <w:szCs w:val="21"/>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eastAsia="宋体" w:cs="宋体"/>
          <w:color w:val="auto"/>
          <w:sz w:val="21"/>
          <w:szCs w:val="21"/>
          <w:u w:val="single"/>
        </w:rPr>
        <w:t>（填写“项目名称”）</w:t>
      </w:r>
      <w:r>
        <w:rPr>
          <w:rFonts w:hint="eastAsia" w:ascii="宋体" w:hAnsi="宋体" w:eastAsia="宋体" w:cs="宋体"/>
          <w:color w:val="auto"/>
          <w:sz w:val="21"/>
          <w:szCs w:val="21"/>
        </w:rPr>
        <w:t>项目采购活动：</w:t>
      </w:r>
    </w:p>
    <w:p w14:paraId="5E752DC1">
      <w:pPr>
        <w:pStyle w:val="27"/>
        <w:widowControl/>
        <w:spacing w:before="75" w:beforeAutospacing="0" w:after="75" w:afterAutospacing="0"/>
        <w:ind w:firstLine="420"/>
        <w:rPr>
          <w:color w:val="auto"/>
        </w:rPr>
      </w:pPr>
      <w:r>
        <w:rPr>
          <w:rFonts w:hint="eastAsia" w:ascii="宋体" w:hAnsi="宋体" w:eastAsia="宋体" w:cs="宋体"/>
          <w:color w:val="auto"/>
          <w:sz w:val="21"/>
          <w:szCs w:val="21"/>
        </w:rPr>
        <w:t>（ ）提供本投标人制造的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货物，或提供其他残疾人福利性单位制造的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货物（不包括使用非残疾人福利性单位注册商标的货物）。（说明：只有部分货物由残疾人福利企业制造的，在该货物后标</w:t>
      </w:r>
      <w:r>
        <w:rPr>
          <w:rFonts w:ascii="Segoe UI Symbol" w:hAnsi="Segoe UI Symbol" w:eastAsia="Segoe UI Symbol" w:cs="Segoe UI Symbol"/>
          <w:color w:val="auto"/>
          <w:sz w:val="19"/>
          <w:szCs w:val="19"/>
          <w:shd w:val="clear" w:color="auto" w:fill="FFFFFF"/>
        </w:rPr>
        <w:t>★</w:t>
      </w:r>
      <w:r>
        <w:rPr>
          <w:rFonts w:hint="eastAsia" w:ascii="宋体" w:hAnsi="宋体" w:eastAsia="宋体" w:cs="宋体"/>
          <w:color w:val="auto"/>
          <w:sz w:val="21"/>
          <w:szCs w:val="21"/>
        </w:rPr>
        <w:t>）</w:t>
      </w:r>
    </w:p>
    <w:p w14:paraId="696B0FDB">
      <w:pPr>
        <w:pStyle w:val="27"/>
        <w:widowControl/>
        <w:spacing w:before="75" w:beforeAutospacing="0" w:after="75" w:afterAutospacing="0"/>
        <w:ind w:firstLine="420"/>
        <w:rPr>
          <w:color w:val="auto"/>
        </w:rPr>
      </w:pPr>
      <w:r>
        <w:rPr>
          <w:rFonts w:hint="eastAsia" w:ascii="宋体" w:hAnsi="宋体" w:eastAsia="宋体" w:cs="宋体"/>
          <w:color w:val="auto"/>
          <w:sz w:val="21"/>
          <w:szCs w:val="21"/>
        </w:rPr>
        <w:t>（ ）由本投标人承建的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工程</w:t>
      </w:r>
    </w:p>
    <w:p w14:paraId="0D9937D4">
      <w:pPr>
        <w:pStyle w:val="27"/>
        <w:widowControl/>
        <w:spacing w:before="75" w:beforeAutospacing="0" w:after="75" w:afterAutospacing="0"/>
        <w:ind w:firstLine="420"/>
        <w:rPr>
          <w:color w:val="auto"/>
        </w:rPr>
      </w:pPr>
      <w:r>
        <w:rPr>
          <w:rFonts w:hint="eastAsia" w:ascii="宋体" w:hAnsi="宋体" w:eastAsia="宋体" w:cs="宋体"/>
          <w:color w:val="auto"/>
          <w:sz w:val="21"/>
          <w:szCs w:val="21"/>
        </w:rPr>
        <w:t>（ ）由本投标人承接的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服务；</w:t>
      </w:r>
    </w:p>
    <w:p w14:paraId="5AF9E9B6">
      <w:pPr>
        <w:pStyle w:val="27"/>
        <w:widowControl/>
        <w:spacing w:before="75" w:beforeAutospacing="0" w:after="75" w:afterAutospacing="0"/>
        <w:ind w:firstLine="420"/>
        <w:rPr>
          <w:color w:val="auto"/>
        </w:rPr>
      </w:pPr>
      <w:r>
        <w:rPr>
          <w:rFonts w:hint="eastAsia" w:ascii="宋体" w:hAnsi="宋体" w:eastAsia="宋体" w:cs="宋体"/>
          <w:color w:val="auto"/>
          <w:sz w:val="21"/>
          <w:szCs w:val="21"/>
        </w:rPr>
        <w:t>本投标人对上述声明的真实性负责。如有虚假，将依法承担相应责任。</w:t>
      </w:r>
    </w:p>
    <w:p w14:paraId="1FB1F98C">
      <w:pPr>
        <w:pStyle w:val="27"/>
        <w:widowControl/>
        <w:spacing w:before="75" w:beforeAutospacing="0" w:after="75" w:afterAutospacing="0"/>
        <w:ind w:firstLine="420"/>
        <w:rPr>
          <w:color w:val="auto"/>
        </w:rPr>
      </w:pPr>
      <w:r>
        <w:rPr>
          <w:rFonts w:ascii="Calibri" w:hAnsi="Calibri" w:cs="Calibri"/>
          <w:color w:val="auto"/>
          <w:sz w:val="21"/>
          <w:szCs w:val="21"/>
        </w:rPr>
        <w:t> </w:t>
      </w:r>
    </w:p>
    <w:p w14:paraId="703C6FC3">
      <w:pPr>
        <w:pStyle w:val="27"/>
        <w:widowControl/>
        <w:spacing w:before="75" w:beforeAutospacing="0" w:after="75" w:afterAutospacing="0"/>
        <w:rPr>
          <w:color w:val="auto"/>
        </w:rPr>
      </w:pPr>
      <w:r>
        <w:rPr>
          <w:rFonts w:hint="eastAsia" w:ascii="宋体" w:hAnsi="宋体" w:eastAsia="宋体" w:cs="宋体"/>
          <w:color w:val="auto"/>
          <w:sz w:val="21"/>
          <w:szCs w:val="21"/>
        </w:rPr>
        <w:t>备注：</w:t>
      </w:r>
    </w:p>
    <w:p w14:paraId="09CB6BAF">
      <w:pPr>
        <w:pStyle w:val="27"/>
        <w:widowControl/>
        <w:spacing w:before="75" w:beforeAutospacing="0" w:after="75" w:afterAutospacing="0"/>
        <w:rPr>
          <w:color w:val="auto"/>
        </w:rPr>
      </w:pPr>
      <w:r>
        <w:rPr>
          <w:rFonts w:hint="eastAsia" w:ascii="宋体" w:hAnsi="宋体" w:eastAsia="宋体" w:cs="宋体"/>
          <w:color w:val="auto"/>
          <w:sz w:val="21"/>
          <w:szCs w:val="21"/>
        </w:rPr>
        <w:t>1、请投标人按照实际情况编制填写本声明函，并在相应的（）中打“√”。</w:t>
      </w:r>
    </w:p>
    <w:p w14:paraId="7EF20143">
      <w:pPr>
        <w:pStyle w:val="27"/>
        <w:widowControl/>
        <w:spacing w:before="75" w:beforeAutospacing="0" w:after="75" w:afterAutospacing="0"/>
        <w:rPr>
          <w:color w:val="auto"/>
        </w:rPr>
      </w:pPr>
      <w:r>
        <w:rPr>
          <w:rFonts w:hint="eastAsia" w:ascii="宋体" w:hAnsi="宋体" w:eastAsia="宋体" w:cs="宋体"/>
          <w:color w:val="auto"/>
          <w:sz w:val="21"/>
          <w:szCs w:val="21"/>
        </w:rPr>
        <w:t>2、纸质投标文件正本中的本声明函（若有）应为原件。</w:t>
      </w:r>
    </w:p>
    <w:p w14:paraId="26D33DE9">
      <w:pPr>
        <w:pStyle w:val="27"/>
        <w:widowControl/>
        <w:spacing w:before="75" w:beforeAutospacing="0" w:after="75" w:afterAutospacing="0"/>
        <w:rPr>
          <w:color w:val="auto"/>
        </w:rPr>
      </w:pPr>
      <w:r>
        <w:rPr>
          <w:rFonts w:hint="eastAsia" w:ascii="宋体" w:hAnsi="宋体" w:eastAsia="宋体" w:cs="宋体"/>
          <w:color w:val="auto"/>
          <w:sz w:val="21"/>
          <w:szCs w:val="21"/>
        </w:rPr>
        <w:t>3、若《残疾人福利性单位声明函》内容不真实，</w:t>
      </w:r>
      <w:r>
        <w:rPr>
          <w:rStyle w:val="32"/>
          <w:rFonts w:hint="eastAsia" w:ascii="宋体" w:hAnsi="宋体" w:eastAsia="宋体" w:cs="宋体"/>
          <w:color w:val="auto"/>
          <w:sz w:val="21"/>
          <w:szCs w:val="21"/>
        </w:rPr>
        <w:t>视为提供虚假材料。</w:t>
      </w:r>
    </w:p>
    <w:p w14:paraId="57CA58DB">
      <w:pPr>
        <w:pStyle w:val="27"/>
        <w:widowControl/>
        <w:spacing w:before="75" w:beforeAutospacing="0" w:after="75" w:afterAutospacing="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2918E2A5">
      <w:pPr>
        <w:pStyle w:val="27"/>
        <w:widowControl/>
        <w:spacing w:before="75" w:beforeAutospacing="0" w:after="75" w:afterAutospacing="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12DFF193">
      <w:pPr>
        <w:pStyle w:val="27"/>
        <w:widowControl/>
        <w:spacing w:before="75" w:beforeAutospacing="0" w:after="75" w:afterAutospacing="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06B6F5F1">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2036BDAA">
      <w:pPr>
        <w:pStyle w:val="27"/>
        <w:widowControl/>
        <w:jc w:val="center"/>
        <w:rPr>
          <w:color w:val="auto"/>
        </w:rPr>
      </w:pPr>
      <w:r>
        <w:rPr>
          <w:rStyle w:val="32"/>
          <w:rFonts w:hint="eastAsia" w:ascii="宋体" w:hAnsi="宋体" w:eastAsia="宋体" w:cs="宋体"/>
          <w:color w:val="auto"/>
          <w:sz w:val="21"/>
          <w:szCs w:val="21"/>
        </w:rPr>
        <w:t>三-3招标文件规定的其他价格扣除证明材料（若有）</w:t>
      </w:r>
    </w:p>
    <w:p w14:paraId="6095F7A1">
      <w:pPr>
        <w:pStyle w:val="27"/>
        <w:widowControl/>
        <w:rPr>
          <w:color w:val="auto"/>
        </w:rPr>
      </w:pPr>
      <w:r>
        <w:rPr>
          <w:rFonts w:hint="eastAsia" w:ascii="宋体" w:hAnsi="宋体" w:eastAsia="宋体" w:cs="宋体"/>
          <w:color w:val="auto"/>
          <w:sz w:val="21"/>
          <w:szCs w:val="21"/>
        </w:rPr>
        <w:t> </w:t>
      </w:r>
    </w:p>
    <w:p w14:paraId="49D33341">
      <w:pPr>
        <w:pStyle w:val="27"/>
        <w:widowControl/>
        <w:rPr>
          <w:color w:val="auto"/>
        </w:rPr>
      </w:pPr>
      <w:r>
        <w:rPr>
          <w:rFonts w:hint="eastAsia" w:ascii="宋体" w:hAnsi="宋体" w:eastAsia="宋体" w:cs="宋体"/>
          <w:color w:val="auto"/>
          <w:sz w:val="21"/>
          <w:szCs w:val="21"/>
        </w:rPr>
        <w:t> </w:t>
      </w:r>
    </w:p>
    <w:p w14:paraId="5019DAF3">
      <w:pPr>
        <w:pStyle w:val="27"/>
        <w:widowControl/>
        <w:jc w:val="center"/>
        <w:rPr>
          <w:color w:val="auto"/>
        </w:rPr>
      </w:pPr>
      <w:r>
        <w:rPr>
          <w:rFonts w:hint="eastAsia" w:ascii="宋体" w:hAnsi="宋体" w:eastAsia="宋体" w:cs="宋体"/>
          <w:color w:val="auto"/>
          <w:sz w:val="21"/>
          <w:szCs w:val="21"/>
        </w:rPr>
        <w:t>编制说明</w:t>
      </w:r>
    </w:p>
    <w:p w14:paraId="3EAB7CC6">
      <w:pPr>
        <w:pStyle w:val="27"/>
        <w:widowControl/>
        <w:jc w:val="center"/>
        <w:rPr>
          <w:color w:val="auto"/>
        </w:rPr>
      </w:pPr>
      <w:r>
        <w:rPr>
          <w:rFonts w:hint="eastAsia" w:ascii="宋体" w:hAnsi="宋体" w:eastAsia="宋体" w:cs="宋体"/>
          <w:color w:val="auto"/>
          <w:sz w:val="21"/>
          <w:szCs w:val="21"/>
        </w:rPr>
        <w:t> </w:t>
      </w:r>
    </w:p>
    <w:p w14:paraId="51509E27">
      <w:pPr>
        <w:pStyle w:val="27"/>
        <w:widowControl/>
        <w:ind w:firstLine="420"/>
        <w:rPr>
          <w:color w:val="auto"/>
        </w:rPr>
      </w:pPr>
      <w:r>
        <w:rPr>
          <w:rFonts w:hint="eastAsia" w:ascii="宋体" w:hAnsi="宋体" w:eastAsia="宋体" w:cs="宋体"/>
          <w:color w:val="auto"/>
          <w:sz w:val="21"/>
          <w:szCs w:val="21"/>
        </w:rPr>
        <w:t>若投标人可享受招标文件规定的除</w:t>
      </w:r>
      <w:r>
        <w:rPr>
          <w:rStyle w:val="32"/>
          <w:rFonts w:hint="eastAsia" w:ascii="宋体" w:hAnsi="宋体" w:eastAsia="宋体" w:cs="宋体"/>
          <w:color w:val="auto"/>
          <w:sz w:val="21"/>
          <w:szCs w:val="21"/>
        </w:rPr>
        <w:t>“节能（非强制类）、环境标志产品价格扣除”及“小型、微型企业产品等价格扣除”</w:t>
      </w:r>
      <w:r>
        <w:rPr>
          <w:rFonts w:hint="eastAsia" w:ascii="宋体" w:hAnsi="宋体" w:eastAsia="宋体" w:cs="宋体"/>
          <w:color w:val="auto"/>
          <w:sz w:val="21"/>
          <w:szCs w:val="21"/>
        </w:rPr>
        <w:t>外的其他价格扣除优惠，则投标人应按照招标文件要求提供相应证明材料。</w:t>
      </w:r>
    </w:p>
    <w:p w14:paraId="551317B1">
      <w:pPr>
        <w:pStyle w:val="27"/>
        <w:widowControl/>
        <w:rPr>
          <w:color w:val="auto"/>
        </w:rPr>
      </w:pPr>
      <w:r>
        <w:rPr>
          <w:rFonts w:hint="eastAsia" w:ascii="宋体" w:hAnsi="宋体" w:eastAsia="宋体" w:cs="宋体"/>
          <w:color w:val="auto"/>
          <w:sz w:val="21"/>
          <w:szCs w:val="21"/>
        </w:rPr>
        <w:t> </w:t>
      </w:r>
    </w:p>
    <w:p w14:paraId="6DE5709D">
      <w:pPr>
        <w:pStyle w:val="27"/>
        <w:widowControl/>
        <w:rPr>
          <w:color w:val="auto"/>
        </w:rPr>
      </w:pPr>
      <w:r>
        <w:rPr>
          <w:rFonts w:hint="eastAsia" w:ascii="宋体" w:hAnsi="宋体" w:eastAsia="宋体" w:cs="宋体"/>
          <w:color w:val="auto"/>
          <w:sz w:val="21"/>
          <w:szCs w:val="21"/>
        </w:rPr>
        <w:t> </w:t>
      </w:r>
    </w:p>
    <w:p w14:paraId="2835988A">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14F2BABC">
      <w:pPr>
        <w:pStyle w:val="27"/>
        <w:widowControl/>
        <w:jc w:val="center"/>
        <w:outlineLvl w:val="1"/>
        <w:rPr>
          <w:color w:val="auto"/>
        </w:rPr>
      </w:pPr>
      <w:r>
        <w:rPr>
          <w:rStyle w:val="32"/>
          <w:rFonts w:hint="eastAsia" w:ascii="宋体" w:hAnsi="宋体" w:eastAsia="宋体" w:cs="宋体"/>
          <w:color w:val="auto"/>
          <w:sz w:val="21"/>
          <w:szCs w:val="21"/>
        </w:rPr>
        <w:t>四、招标文件规定的加分证明材料（若有）</w:t>
      </w:r>
    </w:p>
    <w:p w14:paraId="3130A03A">
      <w:pPr>
        <w:pStyle w:val="27"/>
        <w:widowControl/>
        <w:jc w:val="center"/>
        <w:rPr>
          <w:color w:val="auto"/>
        </w:rPr>
      </w:pPr>
      <w:r>
        <w:rPr>
          <w:rFonts w:hint="eastAsia" w:ascii="宋体" w:hAnsi="宋体" w:eastAsia="宋体" w:cs="宋体"/>
          <w:color w:val="auto"/>
          <w:sz w:val="21"/>
          <w:szCs w:val="21"/>
        </w:rPr>
        <w:t> </w:t>
      </w:r>
      <w:r>
        <w:rPr>
          <w:rStyle w:val="32"/>
          <w:rFonts w:hint="eastAsia" w:ascii="宋体" w:hAnsi="宋体" w:eastAsia="宋体" w:cs="宋体"/>
          <w:color w:val="auto"/>
          <w:sz w:val="21"/>
          <w:szCs w:val="21"/>
        </w:rPr>
        <w:t>四-1优先类节能产品、环境标志产品加分证明材料（若有）</w:t>
      </w:r>
    </w:p>
    <w:p w14:paraId="73949208">
      <w:pPr>
        <w:pStyle w:val="27"/>
        <w:widowControl/>
        <w:jc w:val="center"/>
        <w:rPr>
          <w:color w:val="auto"/>
        </w:rPr>
      </w:pPr>
      <w:r>
        <w:rPr>
          <w:rStyle w:val="32"/>
          <w:rFonts w:hint="eastAsia" w:ascii="宋体" w:hAnsi="宋体" w:eastAsia="宋体" w:cs="宋体"/>
          <w:color w:val="auto"/>
          <w:sz w:val="21"/>
          <w:szCs w:val="21"/>
        </w:rPr>
        <w:t> 四-1-①优先类节能产品、环境标志产品统计表（加分适用，若有）</w:t>
      </w:r>
    </w:p>
    <w:p w14:paraId="6011530F">
      <w:pPr>
        <w:pStyle w:val="27"/>
        <w:widowControl/>
        <w:rPr>
          <w:color w:val="auto"/>
        </w:rPr>
      </w:pPr>
      <w:r>
        <w:rPr>
          <w:rFonts w:hint="eastAsia" w:ascii="宋体" w:hAnsi="宋体" w:eastAsia="宋体" w:cs="宋体"/>
          <w:color w:val="auto"/>
          <w:sz w:val="21"/>
          <w:szCs w:val="21"/>
        </w:rPr>
        <w:t> 招标编号：</w:t>
      </w:r>
      <w:r>
        <w:rPr>
          <w:rFonts w:hint="eastAsia" w:ascii="宋体" w:hAnsi="宋体" w:eastAsia="宋体" w:cs="宋体"/>
          <w:color w:val="auto"/>
          <w:sz w:val="21"/>
          <w:szCs w:val="21"/>
          <w:u w:val="single"/>
        </w:rPr>
        <w:t>                   </w:t>
      </w:r>
    </w:p>
    <w:p w14:paraId="45B4694A">
      <w:pPr>
        <w:pStyle w:val="27"/>
        <w:widowControl/>
        <w:jc w:val="right"/>
        <w:rPr>
          <w:color w:val="auto"/>
        </w:rPr>
      </w:pPr>
      <w:r>
        <w:rPr>
          <w:rFonts w:hint="eastAsia" w:ascii="宋体" w:hAnsi="宋体" w:eastAsia="宋体" w:cs="宋体"/>
          <w:color w:val="auto"/>
          <w:sz w:val="21"/>
          <w:szCs w:val="21"/>
        </w:rPr>
        <w:t>货币及单位：人民币元</w:t>
      </w:r>
    </w:p>
    <w:tbl>
      <w:tblPr>
        <w:tblStyle w:val="30"/>
        <w:tblpPr w:leftFromText="180" w:rightFromText="180" w:vertAnchor="text" w:horzAnchor="page" w:tblpX="1783" w:tblpY="598"/>
        <w:tblOverlap w:val="never"/>
        <w:tblW w:w="8515"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16"/>
        <w:gridCol w:w="1214"/>
        <w:gridCol w:w="1214"/>
        <w:gridCol w:w="1214"/>
        <w:gridCol w:w="1214"/>
        <w:gridCol w:w="1214"/>
        <w:gridCol w:w="1229"/>
      </w:tblGrid>
      <w:tr w14:paraId="5EDE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71" w:type="dxa"/>
            <w:shd w:val="clear" w:color="auto" w:fill="auto"/>
            <w:tcMar>
              <w:top w:w="0" w:type="dxa"/>
              <w:left w:w="105" w:type="dxa"/>
              <w:bottom w:w="0" w:type="dxa"/>
              <w:right w:w="105" w:type="dxa"/>
            </w:tcMar>
            <w:vAlign w:val="center"/>
          </w:tcPr>
          <w:p w14:paraId="735D3C40">
            <w:pPr>
              <w:widowControl/>
              <w:jc w:val="left"/>
              <w:rPr>
                <w:color w:val="auto"/>
              </w:rPr>
            </w:pPr>
          </w:p>
        </w:tc>
        <w:tc>
          <w:tcPr>
            <w:tcW w:w="7254" w:type="dxa"/>
            <w:gridSpan w:val="6"/>
            <w:shd w:val="clear" w:color="auto" w:fill="auto"/>
            <w:tcMar>
              <w:top w:w="0" w:type="dxa"/>
              <w:left w:w="105" w:type="dxa"/>
              <w:bottom w:w="0" w:type="dxa"/>
              <w:right w:w="105" w:type="dxa"/>
            </w:tcMar>
            <w:vAlign w:val="center"/>
          </w:tcPr>
          <w:p w14:paraId="294F5FBE">
            <w:pPr>
              <w:pStyle w:val="27"/>
              <w:widowControl/>
              <w:jc w:val="center"/>
              <w:rPr>
                <w:color w:val="auto"/>
              </w:rPr>
            </w:pPr>
            <w:r>
              <w:rPr>
                <w:rFonts w:hint="eastAsia" w:ascii="宋体" w:hAnsi="宋体" w:eastAsia="宋体" w:cs="宋体"/>
                <w:color w:val="auto"/>
                <w:sz w:val="21"/>
                <w:szCs w:val="21"/>
              </w:rPr>
              <w:t>本合同包内属于节能、环境标志产品的情况</w:t>
            </w:r>
          </w:p>
        </w:tc>
      </w:tr>
      <w:tr w14:paraId="1606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71" w:type="dxa"/>
            <w:shd w:val="clear" w:color="auto" w:fill="auto"/>
            <w:tcMar>
              <w:top w:w="0" w:type="dxa"/>
              <w:left w:w="105" w:type="dxa"/>
              <w:bottom w:w="0" w:type="dxa"/>
              <w:right w:w="105" w:type="dxa"/>
            </w:tcMar>
            <w:vAlign w:val="center"/>
          </w:tcPr>
          <w:p w14:paraId="706B9483">
            <w:pPr>
              <w:pStyle w:val="27"/>
              <w:widowControl/>
              <w:jc w:val="center"/>
              <w:rPr>
                <w:color w:val="auto"/>
              </w:rPr>
            </w:pPr>
            <w:r>
              <w:rPr>
                <w:rFonts w:hint="eastAsia" w:ascii="宋体" w:hAnsi="宋体" w:eastAsia="宋体" w:cs="宋体"/>
                <w:color w:val="auto"/>
                <w:sz w:val="21"/>
                <w:szCs w:val="21"/>
              </w:rPr>
              <w:t>合同包</w:t>
            </w:r>
          </w:p>
        </w:tc>
        <w:tc>
          <w:tcPr>
            <w:tcW w:w="1184" w:type="dxa"/>
            <w:shd w:val="clear" w:color="auto" w:fill="auto"/>
            <w:tcMar>
              <w:top w:w="0" w:type="dxa"/>
              <w:left w:w="105" w:type="dxa"/>
              <w:bottom w:w="0" w:type="dxa"/>
              <w:right w:w="105" w:type="dxa"/>
            </w:tcMar>
            <w:vAlign w:val="center"/>
          </w:tcPr>
          <w:p w14:paraId="3B30617E">
            <w:pPr>
              <w:pStyle w:val="27"/>
              <w:widowControl/>
              <w:jc w:val="center"/>
              <w:rPr>
                <w:color w:val="auto"/>
              </w:rPr>
            </w:pPr>
            <w:r>
              <w:rPr>
                <w:rFonts w:hint="eastAsia" w:ascii="宋体" w:hAnsi="宋体" w:eastAsia="宋体" w:cs="宋体"/>
                <w:color w:val="auto"/>
                <w:sz w:val="21"/>
                <w:szCs w:val="21"/>
              </w:rPr>
              <w:t>品目号</w:t>
            </w:r>
          </w:p>
        </w:tc>
        <w:tc>
          <w:tcPr>
            <w:tcW w:w="1184" w:type="dxa"/>
            <w:shd w:val="clear" w:color="auto" w:fill="auto"/>
            <w:tcMar>
              <w:top w:w="0" w:type="dxa"/>
              <w:left w:w="105" w:type="dxa"/>
              <w:bottom w:w="0" w:type="dxa"/>
              <w:right w:w="105" w:type="dxa"/>
            </w:tcMar>
            <w:vAlign w:val="center"/>
          </w:tcPr>
          <w:p w14:paraId="5418B408">
            <w:pPr>
              <w:pStyle w:val="27"/>
              <w:widowControl/>
              <w:jc w:val="center"/>
              <w:rPr>
                <w:color w:val="auto"/>
              </w:rPr>
            </w:pPr>
            <w:r>
              <w:rPr>
                <w:rFonts w:hint="eastAsia" w:ascii="宋体" w:hAnsi="宋体" w:eastAsia="宋体" w:cs="宋体"/>
                <w:color w:val="auto"/>
                <w:sz w:val="21"/>
                <w:szCs w:val="21"/>
              </w:rPr>
              <w:t>货物名称</w:t>
            </w:r>
          </w:p>
        </w:tc>
        <w:tc>
          <w:tcPr>
            <w:tcW w:w="1184" w:type="dxa"/>
            <w:shd w:val="clear" w:color="auto" w:fill="auto"/>
            <w:tcMar>
              <w:top w:w="0" w:type="dxa"/>
              <w:left w:w="105" w:type="dxa"/>
              <w:bottom w:w="0" w:type="dxa"/>
              <w:right w:w="105" w:type="dxa"/>
            </w:tcMar>
            <w:vAlign w:val="center"/>
          </w:tcPr>
          <w:p w14:paraId="17EA5C1B">
            <w:pPr>
              <w:pStyle w:val="27"/>
              <w:widowControl/>
              <w:jc w:val="center"/>
              <w:rPr>
                <w:color w:val="auto"/>
              </w:rPr>
            </w:pPr>
            <w:r>
              <w:rPr>
                <w:rFonts w:hint="eastAsia" w:ascii="宋体" w:hAnsi="宋体" w:eastAsia="宋体" w:cs="宋体"/>
                <w:color w:val="auto"/>
                <w:sz w:val="21"/>
                <w:szCs w:val="21"/>
              </w:rPr>
              <w:t>单价</w:t>
            </w:r>
          </w:p>
          <w:p w14:paraId="0C814C0B">
            <w:pPr>
              <w:pStyle w:val="27"/>
              <w:widowControl/>
              <w:jc w:val="center"/>
              <w:rPr>
                <w:color w:val="auto"/>
              </w:rPr>
            </w:pPr>
            <w:r>
              <w:rPr>
                <w:rFonts w:hint="eastAsia" w:ascii="宋体" w:hAnsi="宋体" w:eastAsia="宋体" w:cs="宋体"/>
                <w:color w:val="auto"/>
                <w:sz w:val="21"/>
                <w:szCs w:val="21"/>
              </w:rPr>
              <w:t>（现场）</w:t>
            </w:r>
          </w:p>
        </w:tc>
        <w:tc>
          <w:tcPr>
            <w:tcW w:w="1184" w:type="dxa"/>
            <w:shd w:val="clear" w:color="auto" w:fill="auto"/>
            <w:tcMar>
              <w:top w:w="0" w:type="dxa"/>
              <w:left w:w="105" w:type="dxa"/>
              <w:bottom w:w="0" w:type="dxa"/>
              <w:right w:w="105" w:type="dxa"/>
            </w:tcMar>
            <w:vAlign w:val="center"/>
          </w:tcPr>
          <w:p w14:paraId="60BD5FC6">
            <w:pPr>
              <w:pStyle w:val="27"/>
              <w:widowControl/>
              <w:jc w:val="center"/>
              <w:rPr>
                <w:color w:val="auto"/>
              </w:rPr>
            </w:pPr>
            <w:r>
              <w:rPr>
                <w:rFonts w:hint="eastAsia" w:ascii="宋体" w:hAnsi="宋体" w:eastAsia="宋体" w:cs="宋体"/>
                <w:color w:val="auto"/>
                <w:sz w:val="21"/>
                <w:szCs w:val="21"/>
              </w:rPr>
              <w:t>数量</w:t>
            </w:r>
          </w:p>
        </w:tc>
        <w:tc>
          <w:tcPr>
            <w:tcW w:w="1184" w:type="dxa"/>
            <w:shd w:val="clear" w:color="auto" w:fill="auto"/>
            <w:tcMar>
              <w:top w:w="0" w:type="dxa"/>
              <w:left w:w="105" w:type="dxa"/>
              <w:bottom w:w="0" w:type="dxa"/>
              <w:right w:w="105" w:type="dxa"/>
            </w:tcMar>
            <w:vAlign w:val="center"/>
          </w:tcPr>
          <w:p w14:paraId="78F7CCF7">
            <w:pPr>
              <w:pStyle w:val="27"/>
              <w:widowControl/>
              <w:jc w:val="center"/>
              <w:rPr>
                <w:color w:val="auto"/>
              </w:rPr>
            </w:pPr>
            <w:r>
              <w:rPr>
                <w:rFonts w:hint="eastAsia" w:ascii="宋体" w:hAnsi="宋体" w:eastAsia="宋体" w:cs="宋体"/>
                <w:color w:val="auto"/>
                <w:sz w:val="21"/>
                <w:szCs w:val="21"/>
              </w:rPr>
              <w:t>总价</w:t>
            </w:r>
          </w:p>
          <w:p w14:paraId="0E6EE179">
            <w:pPr>
              <w:pStyle w:val="27"/>
              <w:widowControl/>
              <w:jc w:val="center"/>
              <w:rPr>
                <w:color w:val="auto"/>
              </w:rPr>
            </w:pPr>
            <w:r>
              <w:rPr>
                <w:rFonts w:hint="eastAsia" w:ascii="宋体" w:hAnsi="宋体" w:eastAsia="宋体" w:cs="宋体"/>
                <w:color w:val="auto"/>
                <w:sz w:val="21"/>
                <w:szCs w:val="21"/>
              </w:rPr>
              <w:t>（现场）</w:t>
            </w:r>
          </w:p>
        </w:tc>
        <w:tc>
          <w:tcPr>
            <w:tcW w:w="1184" w:type="dxa"/>
            <w:shd w:val="clear" w:color="auto" w:fill="auto"/>
            <w:tcMar>
              <w:top w:w="0" w:type="dxa"/>
              <w:left w:w="105" w:type="dxa"/>
              <w:bottom w:w="0" w:type="dxa"/>
              <w:right w:w="105" w:type="dxa"/>
            </w:tcMar>
            <w:vAlign w:val="center"/>
          </w:tcPr>
          <w:p w14:paraId="05F6D966">
            <w:pPr>
              <w:pStyle w:val="27"/>
              <w:widowControl/>
              <w:jc w:val="center"/>
              <w:rPr>
                <w:color w:val="auto"/>
              </w:rPr>
            </w:pPr>
            <w:r>
              <w:rPr>
                <w:rFonts w:hint="eastAsia" w:ascii="宋体" w:hAnsi="宋体" w:eastAsia="宋体" w:cs="宋体"/>
                <w:color w:val="auto"/>
                <w:sz w:val="21"/>
                <w:szCs w:val="21"/>
              </w:rPr>
              <w:t>认证种类</w:t>
            </w:r>
          </w:p>
        </w:tc>
      </w:tr>
      <w:tr w14:paraId="290C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71" w:type="dxa"/>
            <w:vMerge w:val="restart"/>
            <w:shd w:val="clear" w:color="auto" w:fill="auto"/>
            <w:tcMar>
              <w:top w:w="0" w:type="dxa"/>
              <w:left w:w="105" w:type="dxa"/>
              <w:bottom w:w="0" w:type="dxa"/>
              <w:right w:w="105" w:type="dxa"/>
            </w:tcMar>
            <w:vAlign w:val="center"/>
          </w:tcPr>
          <w:p w14:paraId="7373313B">
            <w:pPr>
              <w:pStyle w:val="27"/>
              <w:widowControl/>
              <w:jc w:val="center"/>
              <w:rPr>
                <w:color w:val="auto"/>
              </w:rPr>
            </w:pPr>
            <w:r>
              <w:rPr>
                <w:rFonts w:hint="eastAsia" w:ascii="宋体" w:hAnsi="宋体" w:eastAsia="宋体" w:cs="宋体"/>
                <w:color w:val="auto"/>
                <w:sz w:val="21"/>
                <w:szCs w:val="21"/>
              </w:rPr>
              <w:t>*</w:t>
            </w:r>
          </w:p>
        </w:tc>
        <w:tc>
          <w:tcPr>
            <w:tcW w:w="1184" w:type="dxa"/>
            <w:shd w:val="clear" w:color="auto" w:fill="auto"/>
            <w:tcMar>
              <w:top w:w="0" w:type="dxa"/>
              <w:left w:w="105" w:type="dxa"/>
              <w:bottom w:w="0" w:type="dxa"/>
              <w:right w:w="105" w:type="dxa"/>
            </w:tcMar>
            <w:vAlign w:val="center"/>
          </w:tcPr>
          <w:p w14:paraId="59FCA6D4">
            <w:pPr>
              <w:pStyle w:val="27"/>
              <w:widowControl/>
              <w:jc w:val="center"/>
              <w:rPr>
                <w:color w:val="auto"/>
              </w:rPr>
            </w:pPr>
            <w:r>
              <w:rPr>
                <w:rFonts w:hint="eastAsia" w:ascii="宋体" w:hAnsi="宋体" w:eastAsia="宋体" w:cs="宋体"/>
                <w:color w:val="auto"/>
                <w:sz w:val="21"/>
                <w:szCs w:val="21"/>
              </w:rPr>
              <w:t>*-1</w:t>
            </w:r>
          </w:p>
        </w:tc>
        <w:tc>
          <w:tcPr>
            <w:tcW w:w="1184" w:type="dxa"/>
            <w:shd w:val="clear" w:color="auto" w:fill="auto"/>
            <w:tcMar>
              <w:top w:w="0" w:type="dxa"/>
              <w:left w:w="105" w:type="dxa"/>
              <w:bottom w:w="0" w:type="dxa"/>
              <w:right w:w="105" w:type="dxa"/>
            </w:tcMar>
            <w:vAlign w:val="center"/>
          </w:tcPr>
          <w:p w14:paraId="58C2D27C">
            <w:pPr>
              <w:widowControl/>
              <w:jc w:val="left"/>
              <w:rPr>
                <w:color w:val="auto"/>
              </w:rPr>
            </w:pPr>
          </w:p>
        </w:tc>
        <w:tc>
          <w:tcPr>
            <w:tcW w:w="1184" w:type="dxa"/>
            <w:shd w:val="clear" w:color="auto" w:fill="auto"/>
            <w:tcMar>
              <w:top w:w="0" w:type="dxa"/>
              <w:left w:w="105" w:type="dxa"/>
              <w:bottom w:w="0" w:type="dxa"/>
              <w:right w:w="105" w:type="dxa"/>
            </w:tcMar>
            <w:vAlign w:val="center"/>
          </w:tcPr>
          <w:p w14:paraId="7020EAB5">
            <w:pPr>
              <w:widowControl/>
              <w:jc w:val="left"/>
              <w:rPr>
                <w:color w:val="auto"/>
              </w:rPr>
            </w:pPr>
          </w:p>
        </w:tc>
        <w:tc>
          <w:tcPr>
            <w:tcW w:w="1184" w:type="dxa"/>
            <w:shd w:val="clear" w:color="auto" w:fill="auto"/>
            <w:tcMar>
              <w:top w:w="0" w:type="dxa"/>
              <w:left w:w="105" w:type="dxa"/>
              <w:bottom w:w="0" w:type="dxa"/>
              <w:right w:w="105" w:type="dxa"/>
            </w:tcMar>
            <w:vAlign w:val="center"/>
          </w:tcPr>
          <w:p w14:paraId="50CC0E98">
            <w:pPr>
              <w:widowControl/>
              <w:jc w:val="left"/>
              <w:rPr>
                <w:color w:val="auto"/>
              </w:rPr>
            </w:pPr>
          </w:p>
        </w:tc>
        <w:tc>
          <w:tcPr>
            <w:tcW w:w="1184" w:type="dxa"/>
            <w:shd w:val="clear" w:color="auto" w:fill="auto"/>
            <w:tcMar>
              <w:top w:w="0" w:type="dxa"/>
              <w:left w:w="105" w:type="dxa"/>
              <w:bottom w:w="0" w:type="dxa"/>
              <w:right w:w="105" w:type="dxa"/>
            </w:tcMar>
            <w:vAlign w:val="center"/>
          </w:tcPr>
          <w:p w14:paraId="526ADDCE">
            <w:pPr>
              <w:widowControl/>
              <w:jc w:val="left"/>
              <w:rPr>
                <w:color w:val="auto"/>
              </w:rPr>
            </w:pPr>
          </w:p>
        </w:tc>
        <w:tc>
          <w:tcPr>
            <w:tcW w:w="1184" w:type="dxa"/>
            <w:shd w:val="clear" w:color="auto" w:fill="auto"/>
            <w:tcMar>
              <w:top w:w="0" w:type="dxa"/>
              <w:left w:w="105" w:type="dxa"/>
              <w:bottom w:w="0" w:type="dxa"/>
              <w:right w:w="105" w:type="dxa"/>
            </w:tcMar>
            <w:vAlign w:val="center"/>
          </w:tcPr>
          <w:p w14:paraId="7C139037">
            <w:pPr>
              <w:widowControl/>
              <w:jc w:val="left"/>
              <w:rPr>
                <w:color w:val="auto"/>
              </w:rPr>
            </w:pPr>
          </w:p>
        </w:tc>
      </w:tr>
      <w:tr w14:paraId="3CBC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71" w:type="dxa"/>
            <w:vMerge w:val="continue"/>
            <w:shd w:val="clear" w:color="auto" w:fill="auto"/>
            <w:tcMar>
              <w:top w:w="0" w:type="dxa"/>
              <w:left w:w="105" w:type="dxa"/>
              <w:bottom w:w="0" w:type="dxa"/>
              <w:right w:w="105" w:type="dxa"/>
            </w:tcMar>
            <w:vAlign w:val="center"/>
          </w:tcPr>
          <w:p w14:paraId="676E7FA4">
            <w:pPr>
              <w:rPr>
                <w:rFonts w:ascii="宋体"/>
                <w:color w:val="auto"/>
                <w:sz w:val="24"/>
              </w:rPr>
            </w:pPr>
          </w:p>
        </w:tc>
        <w:tc>
          <w:tcPr>
            <w:tcW w:w="1184" w:type="dxa"/>
            <w:shd w:val="clear" w:color="auto" w:fill="auto"/>
            <w:tcMar>
              <w:top w:w="0" w:type="dxa"/>
              <w:left w:w="105" w:type="dxa"/>
              <w:bottom w:w="0" w:type="dxa"/>
              <w:right w:w="105" w:type="dxa"/>
            </w:tcMar>
            <w:vAlign w:val="center"/>
          </w:tcPr>
          <w:p w14:paraId="7C161C2F">
            <w:pPr>
              <w:pStyle w:val="27"/>
              <w:widowControl/>
              <w:jc w:val="center"/>
              <w:rPr>
                <w:color w:val="auto"/>
              </w:rPr>
            </w:pPr>
            <w:r>
              <w:rPr>
                <w:rFonts w:ascii="Calibri" w:hAnsi="Calibri" w:cs="Calibri"/>
                <w:color w:val="auto"/>
                <w:sz w:val="21"/>
                <w:szCs w:val="21"/>
              </w:rPr>
              <w:t>…</w:t>
            </w:r>
          </w:p>
        </w:tc>
        <w:tc>
          <w:tcPr>
            <w:tcW w:w="1184" w:type="dxa"/>
            <w:shd w:val="clear" w:color="auto" w:fill="auto"/>
            <w:tcMar>
              <w:top w:w="0" w:type="dxa"/>
              <w:left w:w="105" w:type="dxa"/>
              <w:bottom w:w="0" w:type="dxa"/>
              <w:right w:w="105" w:type="dxa"/>
            </w:tcMar>
            <w:vAlign w:val="center"/>
          </w:tcPr>
          <w:p w14:paraId="6275C0C0">
            <w:pPr>
              <w:widowControl/>
              <w:jc w:val="left"/>
              <w:rPr>
                <w:color w:val="auto"/>
              </w:rPr>
            </w:pPr>
          </w:p>
        </w:tc>
        <w:tc>
          <w:tcPr>
            <w:tcW w:w="1184" w:type="dxa"/>
            <w:shd w:val="clear" w:color="auto" w:fill="auto"/>
            <w:tcMar>
              <w:top w:w="0" w:type="dxa"/>
              <w:left w:w="105" w:type="dxa"/>
              <w:bottom w:w="0" w:type="dxa"/>
              <w:right w:w="105" w:type="dxa"/>
            </w:tcMar>
            <w:vAlign w:val="center"/>
          </w:tcPr>
          <w:p w14:paraId="2F29341B">
            <w:pPr>
              <w:widowControl/>
              <w:jc w:val="left"/>
              <w:rPr>
                <w:color w:val="auto"/>
              </w:rPr>
            </w:pPr>
          </w:p>
        </w:tc>
        <w:tc>
          <w:tcPr>
            <w:tcW w:w="1184" w:type="dxa"/>
            <w:shd w:val="clear" w:color="auto" w:fill="auto"/>
            <w:tcMar>
              <w:top w:w="0" w:type="dxa"/>
              <w:left w:w="105" w:type="dxa"/>
              <w:bottom w:w="0" w:type="dxa"/>
              <w:right w:w="105" w:type="dxa"/>
            </w:tcMar>
            <w:vAlign w:val="center"/>
          </w:tcPr>
          <w:p w14:paraId="131188EE">
            <w:pPr>
              <w:widowControl/>
              <w:jc w:val="left"/>
              <w:rPr>
                <w:color w:val="auto"/>
              </w:rPr>
            </w:pPr>
          </w:p>
        </w:tc>
        <w:tc>
          <w:tcPr>
            <w:tcW w:w="1184" w:type="dxa"/>
            <w:shd w:val="clear" w:color="auto" w:fill="auto"/>
            <w:tcMar>
              <w:top w:w="0" w:type="dxa"/>
              <w:left w:w="105" w:type="dxa"/>
              <w:bottom w:w="0" w:type="dxa"/>
              <w:right w:w="105" w:type="dxa"/>
            </w:tcMar>
            <w:vAlign w:val="center"/>
          </w:tcPr>
          <w:p w14:paraId="257C6456">
            <w:pPr>
              <w:widowControl/>
              <w:jc w:val="left"/>
              <w:rPr>
                <w:color w:val="auto"/>
              </w:rPr>
            </w:pPr>
          </w:p>
        </w:tc>
        <w:tc>
          <w:tcPr>
            <w:tcW w:w="1184" w:type="dxa"/>
            <w:shd w:val="clear" w:color="auto" w:fill="auto"/>
            <w:tcMar>
              <w:top w:w="0" w:type="dxa"/>
              <w:left w:w="105" w:type="dxa"/>
              <w:bottom w:w="0" w:type="dxa"/>
              <w:right w:w="105" w:type="dxa"/>
            </w:tcMar>
            <w:vAlign w:val="center"/>
          </w:tcPr>
          <w:p w14:paraId="7A5522FE">
            <w:pPr>
              <w:widowControl/>
              <w:jc w:val="left"/>
              <w:rPr>
                <w:color w:val="auto"/>
              </w:rPr>
            </w:pPr>
          </w:p>
        </w:tc>
      </w:tr>
      <w:tr w14:paraId="4824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71" w:type="dxa"/>
            <w:shd w:val="clear" w:color="auto" w:fill="auto"/>
            <w:tcMar>
              <w:top w:w="0" w:type="dxa"/>
              <w:left w:w="105" w:type="dxa"/>
              <w:bottom w:w="0" w:type="dxa"/>
              <w:right w:w="105" w:type="dxa"/>
            </w:tcMar>
            <w:vAlign w:val="center"/>
          </w:tcPr>
          <w:p w14:paraId="6EED51F0">
            <w:pPr>
              <w:pStyle w:val="27"/>
              <w:widowControl/>
              <w:jc w:val="center"/>
              <w:rPr>
                <w:color w:val="auto"/>
              </w:rPr>
            </w:pPr>
            <w:r>
              <w:rPr>
                <w:rFonts w:hint="eastAsia" w:ascii="宋体" w:hAnsi="宋体" w:eastAsia="宋体" w:cs="宋体"/>
                <w:color w:val="auto"/>
                <w:sz w:val="21"/>
                <w:szCs w:val="21"/>
              </w:rPr>
              <w:t>备注</w:t>
            </w:r>
          </w:p>
        </w:tc>
        <w:tc>
          <w:tcPr>
            <w:tcW w:w="7254" w:type="dxa"/>
            <w:gridSpan w:val="6"/>
            <w:shd w:val="clear" w:color="auto" w:fill="auto"/>
            <w:tcMar>
              <w:top w:w="0" w:type="dxa"/>
              <w:left w:w="105" w:type="dxa"/>
              <w:bottom w:w="0" w:type="dxa"/>
              <w:right w:w="105" w:type="dxa"/>
            </w:tcMar>
          </w:tcPr>
          <w:p w14:paraId="41DD13A6">
            <w:pPr>
              <w:pStyle w:val="27"/>
              <w:widowControl/>
              <w:rPr>
                <w:color w:val="auto"/>
              </w:rPr>
            </w:pPr>
            <w:r>
              <w:rPr>
                <w:rFonts w:hint="eastAsia" w:ascii="宋体" w:hAnsi="宋体" w:eastAsia="宋体" w:cs="宋体"/>
                <w:color w:val="auto"/>
                <w:sz w:val="21"/>
                <w:szCs w:val="21"/>
              </w:rPr>
              <w:t>a.合同包内属于节能、环境标志产品的报价总金额：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7BCA502B">
            <w:pPr>
              <w:pStyle w:val="27"/>
              <w:widowControl/>
              <w:rPr>
                <w:color w:val="auto"/>
              </w:rPr>
            </w:pPr>
            <w:r>
              <w:rPr>
                <w:rFonts w:hint="eastAsia" w:ascii="宋体" w:hAnsi="宋体" w:eastAsia="宋体" w:cs="宋体"/>
                <w:color w:val="auto"/>
                <w:sz w:val="21"/>
                <w:szCs w:val="21"/>
              </w:rPr>
              <w:t>b.合同包投标总价（报价总金额）：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0552312B">
            <w:pPr>
              <w:pStyle w:val="27"/>
              <w:widowControl/>
              <w:rPr>
                <w:color w:val="auto"/>
              </w:rPr>
            </w:pPr>
            <w:r>
              <w:rPr>
                <w:rFonts w:hint="eastAsia" w:ascii="宋体" w:hAnsi="宋体" w:eastAsia="宋体" w:cs="宋体"/>
                <w:color w:val="auto"/>
                <w:sz w:val="21"/>
                <w:szCs w:val="21"/>
              </w:rPr>
              <w:t>c.“合同包内属于节能、环境标志产品的报价总金额”占“合同包投标总价（报价总金额）”的比例（以</w:t>
            </w:r>
            <w:r>
              <w:rPr>
                <w:rFonts w:ascii="Calibri" w:hAnsi="Calibri" w:eastAsia="宋体" w:cs="Calibri"/>
                <w:color w:val="auto"/>
                <w:sz w:val="21"/>
                <w:szCs w:val="21"/>
              </w:rPr>
              <w:t>%</w:t>
            </w:r>
            <w:r>
              <w:rPr>
                <w:rFonts w:hint="eastAsia" w:ascii="宋体" w:hAnsi="宋体" w:eastAsia="宋体" w:cs="宋体"/>
                <w:color w:val="auto"/>
                <w:sz w:val="21"/>
                <w:szCs w:val="21"/>
              </w:rPr>
              <w:t>列示）：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tc>
      </w:tr>
    </w:tbl>
    <w:p w14:paraId="3B06A885">
      <w:pPr>
        <w:pStyle w:val="27"/>
        <w:widowControl/>
        <w:rPr>
          <w:color w:val="auto"/>
        </w:rPr>
      </w:pPr>
      <w:r>
        <w:rPr>
          <w:rFonts w:hint="eastAsia" w:ascii="宋体" w:hAnsi="宋体" w:eastAsia="宋体" w:cs="宋体"/>
          <w:color w:val="auto"/>
          <w:sz w:val="21"/>
          <w:szCs w:val="21"/>
        </w:rPr>
        <w:t>★注意：</w:t>
      </w:r>
    </w:p>
    <w:p w14:paraId="3F3F7CD9">
      <w:pPr>
        <w:pStyle w:val="27"/>
        <w:widowControl/>
        <w:rPr>
          <w:color w:val="auto"/>
        </w:rPr>
      </w:pPr>
      <w:r>
        <w:rPr>
          <w:rFonts w:hint="eastAsia" w:ascii="宋体" w:hAnsi="宋体" w:eastAsia="宋体" w:cs="宋体"/>
          <w:color w:val="auto"/>
          <w:sz w:val="21"/>
          <w:szCs w:val="21"/>
        </w:rPr>
        <w:t>1、对节能、环境标志产品计算加分时，只依据投标文件</w:t>
      </w:r>
      <w:r>
        <w:rPr>
          <w:rStyle w:val="32"/>
          <w:rFonts w:hint="eastAsia" w:ascii="宋体" w:hAnsi="宋体" w:eastAsia="宋体" w:cs="宋体"/>
          <w:color w:val="auto"/>
          <w:sz w:val="21"/>
          <w:szCs w:val="21"/>
        </w:rPr>
        <w:t>“四</w:t>
      </w:r>
      <w:r>
        <w:rPr>
          <w:rStyle w:val="32"/>
          <w:rFonts w:ascii="Calibri" w:hAnsi="Calibri" w:eastAsia="宋体" w:cs="Calibri"/>
          <w:color w:val="auto"/>
          <w:sz w:val="21"/>
          <w:szCs w:val="21"/>
        </w:rPr>
        <w:t>-1-</w:t>
      </w:r>
      <w:r>
        <w:rPr>
          <w:rStyle w:val="32"/>
          <w:rFonts w:hint="eastAsia" w:ascii="宋体" w:hAnsi="宋体" w:eastAsia="宋体" w:cs="宋体"/>
          <w:color w:val="auto"/>
          <w:sz w:val="21"/>
          <w:szCs w:val="21"/>
        </w:rPr>
        <w:t>②优先类节能产品、环境标志产品加分证明材料（加分适用，若有）”。</w:t>
      </w:r>
    </w:p>
    <w:p w14:paraId="39CDA9DF">
      <w:pPr>
        <w:pStyle w:val="27"/>
        <w:widowControl/>
        <w:rPr>
          <w:color w:val="auto"/>
        </w:rPr>
      </w:pPr>
      <w:r>
        <w:rPr>
          <w:rFonts w:hint="eastAsia" w:ascii="宋体" w:hAnsi="宋体" w:eastAsia="宋体" w:cs="宋体"/>
          <w:color w:val="auto"/>
          <w:sz w:val="21"/>
          <w:szCs w:val="21"/>
        </w:rPr>
        <w:t>2、本表以合同包为单位，不同合同包请分别填写；同一合同包请按照其品目号顺序分别填写。</w:t>
      </w:r>
    </w:p>
    <w:p w14:paraId="5EB71861">
      <w:pPr>
        <w:pStyle w:val="27"/>
        <w:widowControl/>
        <w:rPr>
          <w:color w:val="auto"/>
        </w:rPr>
      </w:pPr>
      <w:r>
        <w:rPr>
          <w:rFonts w:hint="eastAsia" w:ascii="宋体" w:hAnsi="宋体" w:eastAsia="宋体" w:cs="宋体"/>
          <w:color w:val="auto"/>
          <w:sz w:val="21"/>
          <w:szCs w:val="21"/>
        </w:rPr>
        <w:t>3、具体统计、计算：</w:t>
      </w:r>
    </w:p>
    <w:p w14:paraId="5D2402BD">
      <w:pPr>
        <w:pStyle w:val="27"/>
        <w:widowControl/>
        <w:rPr>
          <w:color w:val="auto"/>
        </w:rPr>
      </w:pPr>
      <w:r>
        <w:rPr>
          <w:rFonts w:hint="eastAsia" w:ascii="宋体" w:hAnsi="宋体" w:eastAsia="宋体" w:cs="宋体"/>
          <w:color w:val="auto"/>
          <w:sz w:val="21"/>
          <w:szCs w:val="21"/>
        </w:rPr>
        <w:t>3.1</w:t>
      </w:r>
      <w:r>
        <w:rPr>
          <w:rFonts w:ascii="Calibri" w:hAnsi="Calibri" w:cs="Calibri"/>
          <w:color w:val="auto"/>
          <w:sz w:val="21"/>
          <w:szCs w:val="21"/>
        </w:rPr>
        <w:t> </w:t>
      </w:r>
      <w:r>
        <w:rPr>
          <w:rFonts w:hint="eastAsia" w:ascii="宋体" w:hAnsi="宋体" w:eastAsia="宋体" w:cs="宋体"/>
          <w:color w:val="auto"/>
          <w:sz w:val="21"/>
          <w:szCs w:val="21"/>
        </w:rPr>
        <w:t>若节能、环境标志产品仅是构成投标产品的部件、组件或零件，则该投标产品不享受鼓励优惠政策。同一品目中各认证证书不重复计算加分。强制类节能产品不享受加分。</w:t>
      </w:r>
    </w:p>
    <w:p w14:paraId="2FD3A1A9">
      <w:pPr>
        <w:pStyle w:val="27"/>
        <w:widowControl/>
        <w:rPr>
          <w:color w:val="auto"/>
        </w:rPr>
      </w:pPr>
      <w:r>
        <w:rPr>
          <w:rFonts w:hint="eastAsia" w:ascii="宋体" w:hAnsi="宋体" w:eastAsia="宋体" w:cs="宋体"/>
          <w:color w:val="auto"/>
          <w:sz w:val="21"/>
          <w:szCs w:val="21"/>
        </w:rPr>
        <w:t>3.2计算结果若除不尽，可四舍五入保留到小数点后两位。</w:t>
      </w:r>
    </w:p>
    <w:p w14:paraId="35793FD6">
      <w:pPr>
        <w:pStyle w:val="27"/>
        <w:widowControl/>
        <w:rPr>
          <w:color w:val="auto"/>
        </w:rPr>
      </w:pPr>
      <w:r>
        <w:rPr>
          <w:rFonts w:hint="eastAsia" w:ascii="宋体" w:hAnsi="宋体" w:eastAsia="宋体" w:cs="宋体"/>
          <w:color w:val="auto"/>
          <w:sz w:val="21"/>
          <w:szCs w:val="21"/>
        </w:rPr>
        <w:t>3.3投标人应按照招标文件要求认真统计、计算，否则评标委员会不予认定。</w:t>
      </w:r>
    </w:p>
    <w:p w14:paraId="0461A431">
      <w:pPr>
        <w:pStyle w:val="27"/>
        <w:widowControl/>
        <w:rPr>
          <w:color w:val="auto"/>
        </w:rPr>
      </w:pPr>
      <w:r>
        <w:rPr>
          <w:rFonts w:hint="eastAsia" w:ascii="宋体" w:hAnsi="宋体" w:eastAsia="宋体" w:cs="宋体"/>
          <w:color w:val="auto"/>
          <w:sz w:val="21"/>
          <w:szCs w:val="21"/>
        </w:rPr>
        <w:t>3.4若无节能、环境标志产品，不填写本表，否则，</w:t>
      </w:r>
      <w:r>
        <w:rPr>
          <w:rStyle w:val="32"/>
          <w:rFonts w:hint="eastAsia" w:ascii="宋体" w:hAnsi="宋体" w:eastAsia="宋体" w:cs="宋体"/>
          <w:color w:val="auto"/>
          <w:sz w:val="21"/>
          <w:szCs w:val="21"/>
        </w:rPr>
        <w:t>视为提供虚假材料</w:t>
      </w:r>
      <w:r>
        <w:rPr>
          <w:rFonts w:hint="eastAsia" w:ascii="宋体" w:hAnsi="宋体" w:eastAsia="宋体" w:cs="宋体"/>
          <w:color w:val="auto"/>
          <w:sz w:val="21"/>
          <w:szCs w:val="21"/>
        </w:rPr>
        <w:t>。</w:t>
      </w:r>
    </w:p>
    <w:p w14:paraId="02CD80E4">
      <w:pPr>
        <w:pStyle w:val="27"/>
        <w:widowControl/>
        <w:rPr>
          <w:color w:val="auto"/>
        </w:rPr>
      </w:pPr>
      <w:r>
        <w:rPr>
          <w:rFonts w:hint="eastAsia" w:ascii="宋体" w:hAnsi="宋体" w:eastAsia="宋体" w:cs="宋体"/>
          <w:color w:val="auto"/>
          <w:sz w:val="21"/>
          <w:szCs w:val="21"/>
        </w:rPr>
        <w:t>4、纸质投标文件正本中的本表（若有）应为原件。</w:t>
      </w:r>
    </w:p>
    <w:p w14:paraId="52FDB99C">
      <w:pPr>
        <w:pStyle w:val="27"/>
        <w:widowControl/>
        <w:rPr>
          <w:color w:val="auto"/>
        </w:rPr>
      </w:pPr>
      <w:r>
        <w:rPr>
          <w:rFonts w:hint="eastAsia" w:ascii="宋体" w:hAnsi="宋体" w:eastAsia="宋体" w:cs="宋体"/>
          <w:color w:val="auto"/>
          <w:sz w:val="21"/>
          <w:szCs w:val="21"/>
        </w:rPr>
        <w:t> </w:t>
      </w:r>
    </w:p>
    <w:p w14:paraId="7AE102B0">
      <w:pPr>
        <w:pStyle w:val="27"/>
        <w:widowControl/>
        <w:rPr>
          <w:color w:val="auto"/>
        </w:rPr>
      </w:pPr>
      <w:r>
        <w:rPr>
          <w:rFonts w:hint="eastAsia" w:ascii="宋体" w:hAnsi="宋体" w:eastAsia="宋体" w:cs="宋体"/>
          <w:color w:val="auto"/>
          <w:sz w:val="21"/>
          <w:szCs w:val="21"/>
        </w:rPr>
        <w:t> </w:t>
      </w:r>
    </w:p>
    <w:p w14:paraId="5CF61066">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0181C213">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4B54471A">
      <w:pPr>
        <w:pStyle w:val="27"/>
        <w:widowControl/>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3F71F40D">
      <w:pPr>
        <w:pStyle w:val="27"/>
        <w:widowControl/>
        <w:rPr>
          <w:color w:val="auto"/>
        </w:rPr>
      </w:pPr>
      <w:r>
        <w:rPr>
          <w:rStyle w:val="32"/>
          <w:rFonts w:hint="eastAsia" w:ascii="宋体" w:hAnsi="宋体" w:eastAsia="宋体" w:cs="宋体"/>
          <w:color w:val="auto"/>
          <w:sz w:val="21"/>
          <w:szCs w:val="21"/>
        </w:rPr>
        <w:t> </w:t>
      </w:r>
    </w:p>
    <w:p w14:paraId="5AED7819">
      <w:pPr>
        <w:pStyle w:val="27"/>
        <w:widowControl/>
        <w:rPr>
          <w:color w:val="auto"/>
        </w:rPr>
      </w:pPr>
      <w:r>
        <w:rPr>
          <w:rStyle w:val="32"/>
          <w:rFonts w:hint="eastAsia" w:ascii="宋体" w:hAnsi="宋体" w:eastAsia="宋体" w:cs="宋体"/>
          <w:color w:val="auto"/>
          <w:sz w:val="21"/>
          <w:szCs w:val="21"/>
        </w:rPr>
        <w:t> </w:t>
      </w:r>
    </w:p>
    <w:p w14:paraId="010FEEBF">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6EA171A3">
      <w:pPr>
        <w:pStyle w:val="27"/>
        <w:widowControl/>
        <w:jc w:val="center"/>
        <w:rPr>
          <w:color w:val="auto"/>
        </w:rPr>
      </w:pPr>
      <w:r>
        <w:rPr>
          <w:rStyle w:val="32"/>
          <w:rFonts w:hint="eastAsia" w:ascii="宋体" w:hAnsi="宋体" w:eastAsia="宋体" w:cs="宋体"/>
          <w:color w:val="auto"/>
          <w:sz w:val="21"/>
          <w:szCs w:val="21"/>
        </w:rPr>
        <w:t>四-1-②优先类节能产品、环境标志产品证明材料（加分适用，若有）</w:t>
      </w:r>
    </w:p>
    <w:p w14:paraId="65BC26FB">
      <w:pPr>
        <w:pStyle w:val="27"/>
        <w:widowControl/>
        <w:rPr>
          <w:color w:val="auto"/>
        </w:rPr>
      </w:pPr>
      <w:r>
        <w:rPr>
          <w:rStyle w:val="32"/>
          <w:rFonts w:hint="eastAsia" w:ascii="宋体" w:hAnsi="宋体" w:eastAsia="宋体" w:cs="宋体"/>
          <w:color w:val="auto"/>
          <w:sz w:val="21"/>
          <w:szCs w:val="21"/>
        </w:rPr>
        <w:t> </w:t>
      </w:r>
    </w:p>
    <w:p w14:paraId="48FF766E">
      <w:pPr>
        <w:pStyle w:val="27"/>
        <w:widowControl/>
        <w:rPr>
          <w:color w:val="auto"/>
        </w:rPr>
      </w:pPr>
      <w:r>
        <w:rPr>
          <w:rStyle w:val="32"/>
          <w:rFonts w:hint="eastAsia" w:ascii="宋体" w:hAnsi="宋体" w:eastAsia="宋体" w:cs="宋体"/>
          <w:color w:val="auto"/>
          <w:sz w:val="21"/>
          <w:szCs w:val="21"/>
        </w:rPr>
        <w:t> </w:t>
      </w:r>
    </w:p>
    <w:p w14:paraId="680E9F10">
      <w:pPr>
        <w:pStyle w:val="27"/>
        <w:widowControl/>
        <w:jc w:val="center"/>
        <w:rPr>
          <w:color w:val="auto"/>
        </w:rPr>
      </w:pPr>
      <w:r>
        <w:rPr>
          <w:rFonts w:hint="eastAsia" w:ascii="宋体" w:hAnsi="宋体" w:eastAsia="宋体" w:cs="宋体"/>
          <w:color w:val="auto"/>
          <w:sz w:val="21"/>
          <w:szCs w:val="21"/>
        </w:rPr>
        <w:t>编制说明</w:t>
      </w:r>
    </w:p>
    <w:p w14:paraId="13881B8E">
      <w:pPr>
        <w:pStyle w:val="27"/>
        <w:widowControl/>
        <w:jc w:val="center"/>
        <w:rPr>
          <w:color w:val="auto"/>
        </w:rPr>
      </w:pPr>
      <w:r>
        <w:rPr>
          <w:rFonts w:hint="eastAsia" w:ascii="宋体" w:hAnsi="宋体" w:eastAsia="宋体" w:cs="宋体"/>
          <w:color w:val="auto"/>
          <w:sz w:val="21"/>
          <w:szCs w:val="21"/>
        </w:rPr>
        <w:t> </w:t>
      </w:r>
    </w:p>
    <w:p w14:paraId="12EABD1A">
      <w:pPr>
        <w:pStyle w:val="27"/>
        <w:widowControl/>
        <w:ind w:firstLine="420"/>
        <w:rPr>
          <w:color w:val="auto"/>
        </w:rPr>
      </w:pPr>
      <w:r>
        <w:rPr>
          <w:rFonts w:hint="eastAsia" w:ascii="宋体" w:hAnsi="宋体" w:eastAsia="宋体" w:cs="宋体"/>
          <w:color w:val="auto"/>
          <w:sz w:val="21"/>
          <w:szCs w:val="21"/>
        </w:rPr>
        <w:t>除招标文件另有规定外，投标人应按照招标文件第二章（表1）第</w:t>
      </w:r>
      <w:r>
        <w:rPr>
          <w:rFonts w:ascii="Calibri" w:hAnsi="Calibri" w:eastAsia="宋体" w:cs="Calibri"/>
          <w:color w:val="auto"/>
          <w:sz w:val="21"/>
          <w:szCs w:val="21"/>
        </w:rPr>
        <w:t>13</w:t>
      </w:r>
      <w:r>
        <w:rPr>
          <w:rFonts w:hint="eastAsia" w:ascii="宋体" w:hAnsi="宋体" w:eastAsia="宋体" w:cs="宋体"/>
          <w:color w:val="auto"/>
          <w:sz w:val="21"/>
          <w:szCs w:val="21"/>
        </w:rPr>
        <w:t>项规定提供相应证明材料。</w:t>
      </w:r>
    </w:p>
    <w:p w14:paraId="51A55E93">
      <w:pPr>
        <w:pStyle w:val="27"/>
        <w:widowControl/>
        <w:rPr>
          <w:color w:val="auto"/>
        </w:rPr>
      </w:pPr>
      <w:r>
        <w:rPr>
          <w:rFonts w:hint="eastAsia" w:ascii="宋体" w:hAnsi="宋体" w:eastAsia="宋体" w:cs="宋体"/>
          <w:color w:val="auto"/>
          <w:sz w:val="21"/>
          <w:szCs w:val="21"/>
        </w:rPr>
        <w:t> </w:t>
      </w:r>
    </w:p>
    <w:p w14:paraId="7D9EB432">
      <w:pPr>
        <w:pStyle w:val="27"/>
        <w:widowControl/>
        <w:rPr>
          <w:color w:val="auto"/>
        </w:rPr>
      </w:pPr>
      <w:r>
        <w:rPr>
          <w:rFonts w:hint="eastAsia" w:ascii="宋体" w:hAnsi="宋体" w:eastAsia="宋体" w:cs="宋体"/>
          <w:color w:val="auto"/>
          <w:sz w:val="21"/>
          <w:szCs w:val="21"/>
        </w:rPr>
        <w:t> </w:t>
      </w:r>
    </w:p>
    <w:p w14:paraId="53A834D5">
      <w:pPr>
        <w:pStyle w:val="27"/>
        <w:widowControl/>
        <w:jc w:val="center"/>
        <w:rPr>
          <w:color w:val="auto"/>
        </w:rPr>
      </w:pPr>
      <w:r>
        <w:rPr>
          <w:rFonts w:ascii="Calibri" w:hAnsi="Calibri" w:cs="Calibri"/>
          <w:color w:val="auto"/>
          <w:sz w:val="21"/>
          <w:szCs w:val="21"/>
        </w:rPr>
        <w:br w:type="textWrapping"/>
      </w:r>
      <w:r>
        <w:rPr>
          <w:rFonts w:hint="eastAsia" w:ascii="宋体" w:hAnsi="宋体" w:eastAsia="宋体" w:cs="宋体"/>
          <w:color w:val="auto"/>
          <w:sz w:val="21"/>
          <w:szCs w:val="21"/>
        </w:rPr>
        <w:t>四</w:t>
      </w:r>
      <w:r>
        <w:rPr>
          <w:rStyle w:val="32"/>
          <w:rFonts w:hint="eastAsia" w:ascii="宋体" w:hAnsi="宋体" w:eastAsia="宋体" w:cs="宋体"/>
          <w:color w:val="auto"/>
          <w:sz w:val="21"/>
          <w:szCs w:val="21"/>
        </w:rPr>
        <w:t>-2招标文件规定的其他加分证明材料（若有）</w:t>
      </w:r>
    </w:p>
    <w:p w14:paraId="254A45C1">
      <w:pPr>
        <w:pStyle w:val="27"/>
        <w:widowControl/>
        <w:rPr>
          <w:color w:val="auto"/>
        </w:rPr>
      </w:pPr>
      <w:r>
        <w:rPr>
          <w:rFonts w:hint="eastAsia" w:ascii="宋体" w:hAnsi="宋体" w:eastAsia="宋体" w:cs="宋体"/>
          <w:color w:val="auto"/>
          <w:sz w:val="21"/>
          <w:szCs w:val="21"/>
        </w:rPr>
        <w:t> </w:t>
      </w:r>
    </w:p>
    <w:p w14:paraId="43BFAF36">
      <w:pPr>
        <w:pStyle w:val="27"/>
        <w:widowControl/>
        <w:rPr>
          <w:color w:val="auto"/>
        </w:rPr>
      </w:pPr>
      <w:r>
        <w:rPr>
          <w:rFonts w:hint="eastAsia" w:ascii="宋体" w:hAnsi="宋体" w:eastAsia="宋体" w:cs="宋体"/>
          <w:color w:val="auto"/>
          <w:sz w:val="21"/>
          <w:szCs w:val="21"/>
        </w:rPr>
        <w:t> </w:t>
      </w:r>
    </w:p>
    <w:p w14:paraId="0424CBF4">
      <w:pPr>
        <w:pStyle w:val="27"/>
        <w:widowControl/>
        <w:jc w:val="center"/>
        <w:rPr>
          <w:color w:val="auto"/>
        </w:rPr>
      </w:pPr>
      <w:r>
        <w:rPr>
          <w:rFonts w:hint="eastAsia" w:ascii="宋体" w:hAnsi="宋体" w:eastAsia="宋体" w:cs="宋体"/>
          <w:color w:val="auto"/>
          <w:sz w:val="21"/>
          <w:szCs w:val="21"/>
        </w:rPr>
        <w:t>编制说明</w:t>
      </w:r>
    </w:p>
    <w:p w14:paraId="6D135EC2">
      <w:pPr>
        <w:pStyle w:val="27"/>
        <w:widowControl/>
        <w:jc w:val="center"/>
        <w:rPr>
          <w:color w:val="auto"/>
        </w:rPr>
      </w:pPr>
      <w:r>
        <w:rPr>
          <w:rFonts w:hint="eastAsia" w:ascii="宋体" w:hAnsi="宋体" w:eastAsia="宋体" w:cs="宋体"/>
          <w:color w:val="auto"/>
          <w:sz w:val="21"/>
          <w:szCs w:val="21"/>
        </w:rPr>
        <w:t> </w:t>
      </w:r>
    </w:p>
    <w:p w14:paraId="2C295BEA">
      <w:pPr>
        <w:pStyle w:val="27"/>
        <w:widowControl/>
        <w:ind w:firstLine="420"/>
        <w:rPr>
          <w:color w:val="auto"/>
        </w:rPr>
      </w:pPr>
      <w:r>
        <w:rPr>
          <w:rFonts w:hint="eastAsia" w:ascii="宋体" w:hAnsi="宋体" w:eastAsia="宋体" w:cs="宋体"/>
          <w:color w:val="auto"/>
          <w:sz w:val="21"/>
          <w:szCs w:val="21"/>
        </w:rPr>
        <w:t>若投标人可享受招标文件规定的除</w:t>
      </w:r>
      <w:r>
        <w:rPr>
          <w:rStyle w:val="32"/>
          <w:rFonts w:hint="eastAsia" w:ascii="宋体" w:hAnsi="宋体" w:eastAsia="宋体" w:cs="宋体"/>
          <w:color w:val="auto"/>
          <w:sz w:val="21"/>
          <w:szCs w:val="21"/>
        </w:rPr>
        <w:t>“优先类节能产品、环境标志产品加分”</w:t>
      </w:r>
      <w:r>
        <w:rPr>
          <w:rFonts w:hint="eastAsia" w:ascii="宋体" w:hAnsi="宋体" w:eastAsia="宋体" w:cs="宋体"/>
          <w:color w:val="auto"/>
          <w:sz w:val="21"/>
          <w:szCs w:val="21"/>
        </w:rPr>
        <w:t>外的其他加分优惠，则投标人应按照招标文件要求提供相应证明材料。</w:t>
      </w:r>
    </w:p>
    <w:p w14:paraId="7A7804B3">
      <w:pPr>
        <w:pStyle w:val="27"/>
        <w:widowControl/>
        <w:rPr>
          <w:color w:val="auto"/>
        </w:rPr>
      </w:pPr>
      <w:r>
        <w:rPr>
          <w:rFonts w:hint="eastAsia" w:ascii="宋体" w:hAnsi="宋体" w:eastAsia="宋体" w:cs="宋体"/>
          <w:color w:val="auto"/>
          <w:sz w:val="21"/>
          <w:szCs w:val="21"/>
        </w:rPr>
        <w:t> </w:t>
      </w:r>
    </w:p>
    <w:p w14:paraId="5AAFDF26">
      <w:pPr>
        <w:pStyle w:val="27"/>
        <w:widowControl/>
        <w:rPr>
          <w:color w:val="auto"/>
        </w:rPr>
      </w:pPr>
      <w:r>
        <w:rPr>
          <w:rFonts w:hint="eastAsia" w:ascii="宋体" w:hAnsi="宋体" w:eastAsia="宋体" w:cs="宋体"/>
          <w:color w:val="auto"/>
          <w:sz w:val="21"/>
          <w:szCs w:val="21"/>
        </w:rPr>
        <w:t> </w:t>
      </w:r>
    </w:p>
    <w:p w14:paraId="31BD58A0">
      <w:pPr>
        <w:pStyle w:val="27"/>
        <w:widowControl/>
        <w:rPr>
          <w:color w:val="auto"/>
        </w:rPr>
      </w:pPr>
    </w:p>
    <w:p w14:paraId="123B5F6F">
      <w:pPr>
        <w:pStyle w:val="27"/>
        <w:widowControl/>
        <w:rPr>
          <w:color w:val="auto"/>
        </w:rPr>
      </w:pPr>
      <w:r>
        <w:rPr>
          <w:rFonts w:hint="eastAsia" w:ascii="宋体" w:hAnsi="宋体" w:eastAsia="宋体" w:cs="宋体"/>
          <w:color w:val="auto"/>
          <w:sz w:val="21"/>
          <w:szCs w:val="21"/>
        </w:rPr>
        <w:t> </w:t>
      </w:r>
    </w:p>
    <w:p w14:paraId="5D9E631A">
      <w:pPr>
        <w:pStyle w:val="27"/>
        <w:widowControl/>
        <w:rPr>
          <w:color w:val="auto"/>
        </w:rPr>
      </w:pPr>
      <w:r>
        <w:rPr>
          <w:rFonts w:hint="eastAsia" w:ascii="宋体" w:hAnsi="宋体" w:eastAsia="宋体" w:cs="宋体"/>
          <w:color w:val="auto"/>
          <w:sz w:val="21"/>
          <w:szCs w:val="21"/>
        </w:rPr>
        <w:t> </w:t>
      </w:r>
    </w:p>
    <w:p w14:paraId="014ABE3C">
      <w:pPr>
        <w:pStyle w:val="27"/>
        <w:widowControl/>
        <w:jc w:val="center"/>
        <w:rPr>
          <w:rStyle w:val="32"/>
          <w:rFonts w:ascii="宋体" w:hAnsi="宋体" w:eastAsia="宋体" w:cs="宋体"/>
          <w:color w:val="auto"/>
          <w:sz w:val="28"/>
          <w:szCs w:val="28"/>
        </w:rPr>
      </w:pPr>
      <w:r>
        <w:rPr>
          <w:rStyle w:val="32"/>
          <w:rFonts w:hint="eastAsia" w:ascii="宋体" w:hAnsi="宋体" w:eastAsia="宋体" w:cs="宋体"/>
          <w:color w:val="auto"/>
          <w:sz w:val="28"/>
          <w:szCs w:val="28"/>
        </w:rPr>
        <w:br w:type="page"/>
      </w:r>
    </w:p>
    <w:p w14:paraId="616215F9">
      <w:pPr>
        <w:pStyle w:val="27"/>
        <w:widowControl/>
        <w:jc w:val="center"/>
        <w:rPr>
          <w:color w:val="auto"/>
        </w:rPr>
      </w:pPr>
      <w:r>
        <w:rPr>
          <w:rStyle w:val="32"/>
          <w:rFonts w:hint="eastAsia" w:ascii="宋体" w:hAnsi="宋体" w:eastAsia="宋体" w:cs="宋体"/>
          <w:color w:val="auto"/>
          <w:sz w:val="28"/>
          <w:szCs w:val="28"/>
        </w:rPr>
        <w:t>封面格式</w:t>
      </w:r>
    </w:p>
    <w:p w14:paraId="32DD363E">
      <w:pPr>
        <w:pStyle w:val="27"/>
        <w:widowControl/>
        <w:rPr>
          <w:color w:val="auto"/>
        </w:rPr>
      </w:pPr>
      <w:r>
        <w:rPr>
          <w:rFonts w:hint="eastAsia" w:ascii="宋体" w:hAnsi="宋体" w:eastAsia="宋体" w:cs="宋体"/>
          <w:color w:val="auto"/>
          <w:sz w:val="36"/>
          <w:szCs w:val="36"/>
        </w:rPr>
        <w:t> </w:t>
      </w:r>
    </w:p>
    <w:p w14:paraId="586F03A6">
      <w:pPr>
        <w:pStyle w:val="27"/>
        <w:widowControl/>
        <w:jc w:val="center"/>
        <w:rPr>
          <w:color w:val="auto"/>
        </w:rPr>
      </w:pPr>
      <w:r>
        <w:rPr>
          <w:rStyle w:val="32"/>
          <w:rFonts w:hint="eastAsia" w:ascii="宋体" w:hAnsi="宋体" w:eastAsia="宋体" w:cs="宋体"/>
          <w:color w:val="auto"/>
          <w:sz w:val="48"/>
          <w:szCs w:val="48"/>
        </w:rPr>
        <w:t>福建省政府采购投标文件</w:t>
      </w:r>
    </w:p>
    <w:p w14:paraId="44E5589E">
      <w:pPr>
        <w:pStyle w:val="27"/>
        <w:widowControl/>
        <w:jc w:val="center"/>
        <w:outlineLvl w:val="0"/>
        <w:rPr>
          <w:color w:val="auto"/>
        </w:rPr>
      </w:pPr>
      <w:bookmarkStart w:id="238" w:name="_Toc5229"/>
      <w:bookmarkStart w:id="239" w:name="_Toc17315"/>
      <w:r>
        <w:rPr>
          <w:rStyle w:val="32"/>
          <w:rFonts w:hint="eastAsia" w:ascii="宋体" w:hAnsi="宋体" w:eastAsia="宋体" w:cs="宋体"/>
          <w:color w:val="auto"/>
          <w:sz w:val="48"/>
          <w:szCs w:val="48"/>
        </w:rPr>
        <w:t>（技术商务部分）</w:t>
      </w:r>
      <w:bookmarkEnd w:id="238"/>
      <w:bookmarkEnd w:id="239"/>
    </w:p>
    <w:p w14:paraId="4DFA8D13">
      <w:pPr>
        <w:pStyle w:val="27"/>
        <w:widowControl/>
        <w:rPr>
          <w:color w:val="auto"/>
        </w:rPr>
      </w:pPr>
      <w:r>
        <w:rPr>
          <w:rFonts w:hint="eastAsia" w:ascii="宋体" w:hAnsi="宋体" w:eastAsia="宋体" w:cs="宋体"/>
          <w:color w:val="auto"/>
          <w:sz w:val="36"/>
          <w:szCs w:val="36"/>
        </w:rPr>
        <w:t> </w:t>
      </w:r>
    </w:p>
    <w:p w14:paraId="66B18032">
      <w:pPr>
        <w:pStyle w:val="27"/>
        <w:widowControl/>
        <w:jc w:val="center"/>
        <w:rPr>
          <w:color w:val="auto"/>
        </w:rPr>
      </w:pPr>
      <w:r>
        <w:rPr>
          <w:rStyle w:val="32"/>
          <w:rFonts w:hint="eastAsia" w:ascii="宋体" w:hAnsi="宋体" w:eastAsia="宋体" w:cs="宋体"/>
          <w:color w:val="auto"/>
          <w:sz w:val="36"/>
          <w:szCs w:val="36"/>
          <w:u w:val="single"/>
        </w:rPr>
        <w:t>（填写正本或副本）</w:t>
      </w:r>
    </w:p>
    <w:p w14:paraId="68EEFBBC">
      <w:pPr>
        <w:pStyle w:val="27"/>
        <w:widowControl/>
        <w:rPr>
          <w:color w:val="auto"/>
        </w:rPr>
      </w:pPr>
      <w:r>
        <w:rPr>
          <w:rFonts w:hint="eastAsia" w:ascii="宋体" w:hAnsi="宋体" w:eastAsia="宋体" w:cs="宋体"/>
          <w:color w:val="auto"/>
          <w:sz w:val="36"/>
          <w:szCs w:val="36"/>
        </w:rPr>
        <w:t> </w:t>
      </w:r>
    </w:p>
    <w:p w14:paraId="0B5C7D85">
      <w:pPr>
        <w:pStyle w:val="27"/>
        <w:widowControl/>
        <w:ind w:firstLine="1920"/>
        <w:rPr>
          <w:color w:val="auto"/>
        </w:rPr>
      </w:pPr>
      <w:r>
        <w:rPr>
          <w:rStyle w:val="32"/>
          <w:rFonts w:hint="eastAsia" w:ascii="宋体" w:hAnsi="宋体" w:eastAsia="宋体" w:cs="宋体"/>
          <w:color w:val="auto"/>
          <w:sz w:val="31"/>
          <w:szCs w:val="31"/>
        </w:rPr>
        <w:t>项目名称：</w:t>
      </w:r>
      <w:r>
        <w:rPr>
          <w:rStyle w:val="32"/>
          <w:rFonts w:hint="eastAsia" w:ascii="宋体" w:hAnsi="宋体" w:eastAsia="宋体" w:cs="宋体"/>
          <w:color w:val="auto"/>
          <w:sz w:val="31"/>
          <w:szCs w:val="31"/>
          <w:u w:val="single"/>
        </w:rPr>
        <w:t>（由投标人填写）</w:t>
      </w:r>
    </w:p>
    <w:p w14:paraId="5E9CFD66">
      <w:pPr>
        <w:pStyle w:val="27"/>
        <w:widowControl/>
        <w:ind w:firstLine="1920"/>
        <w:rPr>
          <w:color w:val="auto"/>
        </w:rPr>
      </w:pPr>
      <w:r>
        <w:rPr>
          <w:rStyle w:val="32"/>
          <w:rFonts w:hint="eastAsia" w:ascii="宋体" w:hAnsi="宋体" w:eastAsia="宋体" w:cs="宋体"/>
          <w:color w:val="auto"/>
          <w:sz w:val="31"/>
          <w:szCs w:val="31"/>
        </w:rPr>
        <w:t>备案编号：</w:t>
      </w:r>
      <w:r>
        <w:rPr>
          <w:rStyle w:val="32"/>
          <w:rFonts w:hint="eastAsia" w:ascii="宋体" w:hAnsi="宋体" w:eastAsia="宋体" w:cs="宋体"/>
          <w:color w:val="auto"/>
          <w:sz w:val="31"/>
          <w:szCs w:val="31"/>
          <w:u w:val="single"/>
        </w:rPr>
        <w:t>（由投标人填写）</w:t>
      </w:r>
    </w:p>
    <w:p w14:paraId="2466F829">
      <w:pPr>
        <w:pStyle w:val="27"/>
        <w:widowControl/>
        <w:ind w:firstLine="1920"/>
        <w:rPr>
          <w:color w:val="auto"/>
        </w:rPr>
      </w:pPr>
      <w:r>
        <w:rPr>
          <w:rStyle w:val="32"/>
          <w:rFonts w:hint="eastAsia" w:ascii="宋体" w:hAnsi="宋体" w:eastAsia="宋体" w:cs="宋体"/>
          <w:color w:val="auto"/>
          <w:sz w:val="31"/>
          <w:szCs w:val="31"/>
        </w:rPr>
        <w:t>招标编号：</w:t>
      </w:r>
      <w:r>
        <w:rPr>
          <w:rStyle w:val="32"/>
          <w:rFonts w:hint="eastAsia" w:ascii="宋体" w:hAnsi="宋体" w:eastAsia="宋体" w:cs="宋体"/>
          <w:color w:val="auto"/>
          <w:sz w:val="31"/>
          <w:szCs w:val="31"/>
          <w:u w:val="single"/>
        </w:rPr>
        <w:t>（由投标人填写）</w:t>
      </w:r>
    </w:p>
    <w:p w14:paraId="5BE0C0CB">
      <w:pPr>
        <w:pStyle w:val="27"/>
        <w:widowControl/>
        <w:ind w:firstLine="1920"/>
        <w:rPr>
          <w:color w:val="auto"/>
        </w:rPr>
      </w:pPr>
      <w:r>
        <w:rPr>
          <w:rStyle w:val="32"/>
          <w:rFonts w:hint="eastAsia" w:ascii="宋体" w:hAnsi="宋体" w:eastAsia="宋体" w:cs="宋体"/>
          <w:color w:val="auto"/>
          <w:sz w:val="31"/>
          <w:szCs w:val="31"/>
        </w:rPr>
        <w:t>所投合同包：</w:t>
      </w:r>
      <w:r>
        <w:rPr>
          <w:rStyle w:val="32"/>
          <w:rFonts w:hint="eastAsia" w:ascii="宋体" w:hAnsi="宋体" w:eastAsia="宋体" w:cs="宋体"/>
          <w:color w:val="auto"/>
          <w:sz w:val="31"/>
          <w:szCs w:val="31"/>
          <w:u w:val="single"/>
        </w:rPr>
        <w:t>（由投标人填写）</w:t>
      </w:r>
    </w:p>
    <w:p w14:paraId="12ED36AF">
      <w:pPr>
        <w:pStyle w:val="27"/>
        <w:widowControl/>
        <w:rPr>
          <w:color w:val="auto"/>
        </w:rPr>
      </w:pPr>
      <w:r>
        <w:rPr>
          <w:rFonts w:hint="eastAsia" w:ascii="宋体" w:hAnsi="宋体" w:eastAsia="宋体" w:cs="宋体"/>
          <w:color w:val="auto"/>
          <w:sz w:val="36"/>
          <w:szCs w:val="36"/>
        </w:rPr>
        <w:t> </w:t>
      </w:r>
    </w:p>
    <w:p w14:paraId="42C87F51">
      <w:pPr>
        <w:pStyle w:val="27"/>
        <w:widowControl/>
        <w:jc w:val="center"/>
        <w:rPr>
          <w:color w:val="auto"/>
        </w:rPr>
      </w:pPr>
      <w:r>
        <w:rPr>
          <w:rStyle w:val="32"/>
          <w:rFonts w:hint="eastAsia" w:ascii="宋体" w:hAnsi="宋体" w:eastAsia="宋体" w:cs="宋体"/>
          <w:color w:val="auto"/>
          <w:sz w:val="31"/>
          <w:szCs w:val="31"/>
        </w:rPr>
        <w:t>投标人：</w:t>
      </w:r>
      <w:r>
        <w:rPr>
          <w:rStyle w:val="32"/>
          <w:rFonts w:hint="eastAsia" w:ascii="宋体" w:hAnsi="宋体" w:eastAsia="宋体" w:cs="宋体"/>
          <w:color w:val="auto"/>
          <w:sz w:val="31"/>
          <w:szCs w:val="31"/>
          <w:u w:val="single"/>
        </w:rPr>
        <w:t>（填写“全称”）</w:t>
      </w:r>
    </w:p>
    <w:p w14:paraId="5D6CC79E">
      <w:pPr>
        <w:pStyle w:val="27"/>
        <w:widowControl/>
        <w:jc w:val="center"/>
        <w:rPr>
          <w:color w:val="auto"/>
        </w:rPr>
      </w:pPr>
      <w:r>
        <w:rPr>
          <w:rStyle w:val="32"/>
          <w:rFonts w:hint="eastAsia" w:ascii="宋体" w:hAnsi="宋体" w:eastAsia="宋体" w:cs="宋体"/>
          <w:color w:val="auto"/>
          <w:sz w:val="31"/>
          <w:szCs w:val="31"/>
          <w:u w:val="single"/>
        </w:rPr>
        <w:t>（由投标人填写）</w:t>
      </w:r>
      <w:r>
        <w:rPr>
          <w:rStyle w:val="32"/>
          <w:rFonts w:hint="eastAsia" w:ascii="宋体" w:hAnsi="宋体" w:eastAsia="宋体" w:cs="宋体"/>
          <w:color w:val="auto"/>
          <w:sz w:val="31"/>
          <w:szCs w:val="31"/>
        </w:rPr>
        <w:t>年</w:t>
      </w:r>
      <w:r>
        <w:rPr>
          <w:rStyle w:val="32"/>
          <w:rFonts w:hint="eastAsia" w:ascii="宋体" w:hAnsi="宋体" w:eastAsia="宋体" w:cs="宋体"/>
          <w:color w:val="auto"/>
          <w:sz w:val="31"/>
          <w:szCs w:val="31"/>
          <w:u w:val="single"/>
        </w:rPr>
        <w:t>（由投标人填写）</w:t>
      </w:r>
      <w:r>
        <w:rPr>
          <w:rStyle w:val="32"/>
          <w:rFonts w:hint="eastAsia" w:ascii="宋体" w:hAnsi="宋体" w:eastAsia="宋体" w:cs="宋体"/>
          <w:color w:val="auto"/>
          <w:sz w:val="31"/>
          <w:szCs w:val="31"/>
        </w:rPr>
        <w:t>月</w:t>
      </w:r>
    </w:p>
    <w:p w14:paraId="4969A1F9">
      <w:pPr>
        <w:pStyle w:val="27"/>
        <w:widowControl/>
        <w:rPr>
          <w:color w:val="auto"/>
        </w:rPr>
      </w:pPr>
      <w:r>
        <w:rPr>
          <w:color w:val="auto"/>
        </w:rPr>
        <w:br w:type="page"/>
      </w:r>
    </w:p>
    <w:p w14:paraId="7BC8DD0C">
      <w:pPr>
        <w:pStyle w:val="27"/>
        <w:widowControl/>
        <w:jc w:val="center"/>
        <w:rPr>
          <w:color w:val="auto"/>
        </w:rPr>
      </w:pPr>
      <w:r>
        <w:rPr>
          <w:rStyle w:val="32"/>
          <w:rFonts w:hint="eastAsia" w:ascii="宋体" w:hAnsi="宋体" w:eastAsia="宋体" w:cs="宋体"/>
          <w:color w:val="auto"/>
          <w:sz w:val="28"/>
          <w:szCs w:val="28"/>
        </w:rPr>
        <w:t>索引</w:t>
      </w:r>
    </w:p>
    <w:p w14:paraId="52EA4B46">
      <w:pPr>
        <w:pStyle w:val="27"/>
        <w:widowControl/>
        <w:rPr>
          <w:color w:val="auto"/>
        </w:rPr>
      </w:pPr>
      <w:r>
        <w:rPr>
          <w:rFonts w:hint="eastAsia" w:ascii="宋体" w:hAnsi="宋体" w:eastAsia="宋体" w:cs="宋体"/>
          <w:color w:val="auto"/>
          <w:sz w:val="28"/>
          <w:szCs w:val="28"/>
        </w:rPr>
        <w:t>一、标的说明一览表</w:t>
      </w:r>
    </w:p>
    <w:p w14:paraId="03D558D7">
      <w:pPr>
        <w:pStyle w:val="27"/>
        <w:widowControl/>
        <w:rPr>
          <w:color w:val="auto"/>
        </w:rPr>
      </w:pPr>
      <w:r>
        <w:rPr>
          <w:rFonts w:hint="eastAsia" w:ascii="宋体" w:hAnsi="宋体" w:eastAsia="宋体" w:cs="宋体"/>
          <w:color w:val="auto"/>
          <w:sz w:val="28"/>
          <w:szCs w:val="28"/>
        </w:rPr>
        <w:t>二、技术和服务要求响应表</w:t>
      </w:r>
    </w:p>
    <w:p w14:paraId="566B52F5">
      <w:pPr>
        <w:pStyle w:val="27"/>
        <w:widowControl/>
        <w:rPr>
          <w:color w:val="auto"/>
        </w:rPr>
      </w:pPr>
      <w:r>
        <w:rPr>
          <w:rFonts w:hint="eastAsia" w:ascii="宋体" w:hAnsi="宋体" w:eastAsia="宋体" w:cs="宋体"/>
          <w:color w:val="auto"/>
          <w:sz w:val="28"/>
          <w:szCs w:val="28"/>
        </w:rPr>
        <w:t>三、商务条件响应表</w:t>
      </w:r>
    </w:p>
    <w:p w14:paraId="26B8DE7B">
      <w:pPr>
        <w:pStyle w:val="27"/>
        <w:widowControl/>
        <w:rPr>
          <w:color w:val="auto"/>
        </w:rPr>
      </w:pPr>
      <w:r>
        <w:rPr>
          <w:rFonts w:hint="eastAsia" w:ascii="宋体" w:hAnsi="宋体" w:eastAsia="宋体" w:cs="宋体"/>
          <w:color w:val="auto"/>
          <w:sz w:val="28"/>
          <w:szCs w:val="28"/>
        </w:rPr>
        <w:t>四、投标人提交的其他资料（若有）</w:t>
      </w:r>
    </w:p>
    <w:p w14:paraId="31611737">
      <w:pPr>
        <w:pStyle w:val="27"/>
        <w:widowControl/>
        <w:rPr>
          <w:color w:val="auto"/>
        </w:rPr>
      </w:pPr>
      <w:r>
        <w:rPr>
          <w:rFonts w:hint="eastAsia" w:ascii="宋体" w:hAnsi="宋体" w:eastAsia="宋体" w:cs="宋体"/>
          <w:color w:val="auto"/>
          <w:sz w:val="21"/>
          <w:szCs w:val="21"/>
        </w:rPr>
        <w:t> </w:t>
      </w:r>
    </w:p>
    <w:p w14:paraId="0907B2C8">
      <w:pPr>
        <w:pStyle w:val="27"/>
        <w:widowControl/>
        <w:rPr>
          <w:color w:val="auto"/>
        </w:rPr>
      </w:pPr>
      <w:r>
        <w:rPr>
          <w:rFonts w:hint="eastAsia" w:ascii="宋体" w:hAnsi="宋体" w:eastAsia="宋体" w:cs="宋体"/>
          <w:color w:val="auto"/>
          <w:sz w:val="21"/>
          <w:szCs w:val="21"/>
        </w:rPr>
        <w:t> </w:t>
      </w:r>
    </w:p>
    <w:p w14:paraId="4A36CA79">
      <w:pPr>
        <w:pStyle w:val="27"/>
        <w:widowControl/>
        <w:jc w:val="center"/>
        <w:rPr>
          <w:color w:val="auto"/>
        </w:rPr>
      </w:pPr>
      <w:r>
        <w:rPr>
          <w:rFonts w:hint="eastAsia" w:ascii="宋体" w:hAnsi="宋体" w:eastAsia="宋体" w:cs="宋体"/>
          <w:color w:val="auto"/>
          <w:sz w:val="21"/>
          <w:szCs w:val="21"/>
        </w:rPr>
        <w:t>★注意</w:t>
      </w:r>
    </w:p>
    <w:p w14:paraId="40F3DB6B">
      <w:pPr>
        <w:pStyle w:val="27"/>
        <w:widowControl/>
        <w:ind w:firstLine="420"/>
        <w:rPr>
          <w:color w:val="auto"/>
        </w:rPr>
      </w:pPr>
      <w:r>
        <w:rPr>
          <w:rFonts w:hint="eastAsia" w:ascii="宋体" w:hAnsi="宋体" w:eastAsia="宋体" w:cs="宋体"/>
          <w:color w:val="auto"/>
          <w:sz w:val="21"/>
          <w:szCs w:val="21"/>
        </w:rPr>
        <w:t>技术商务部分中不得出现报价部分的全部或部分的投标报价信息（或组成资料），否则</w:t>
      </w:r>
      <w:r>
        <w:rPr>
          <w:rStyle w:val="32"/>
          <w:rFonts w:hint="eastAsia" w:ascii="宋体" w:hAnsi="宋体" w:eastAsia="宋体" w:cs="宋体"/>
          <w:color w:val="auto"/>
          <w:sz w:val="21"/>
          <w:szCs w:val="21"/>
        </w:rPr>
        <w:t>符合性审查不合格</w:t>
      </w:r>
      <w:r>
        <w:rPr>
          <w:rFonts w:hint="eastAsia" w:ascii="宋体" w:hAnsi="宋体" w:eastAsia="宋体" w:cs="宋体"/>
          <w:color w:val="auto"/>
          <w:sz w:val="21"/>
          <w:szCs w:val="21"/>
        </w:rPr>
        <w:t>。</w:t>
      </w:r>
    </w:p>
    <w:p w14:paraId="75DFBF78">
      <w:pPr>
        <w:pStyle w:val="27"/>
        <w:widowControl/>
        <w:ind w:firstLine="420"/>
        <w:rPr>
          <w:color w:val="auto"/>
        </w:rPr>
      </w:pPr>
      <w:r>
        <w:rPr>
          <w:rFonts w:hint="eastAsia" w:ascii="宋体" w:hAnsi="宋体" w:eastAsia="宋体" w:cs="宋体"/>
          <w:color w:val="auto"/>
          <w:sz w:val="21"/>
          <w:szCs w:val="21"/>
        </w:rPr>
        <w:t> </w:t>
      </w:r>
    </w:p>
    <w:p w14:paraId="10C15B9A">
      <w:pPr>
        <w:pStyle w:val="27"/>
        <w:widowControl/>
        <w:ind w:firstLine="420"/>
        <w:rPr>
          <w:color w:val="auto"/>
        </w:rPr>
      </w:pPr>
      <w:r>
        <w:rPr>
          <w:rFonts w:hint="eastAsia" w:ascii="宋体" w:hAnsi="宋体" w:eastAsia="宋体" w:cs="宋体"/>
          <w:color w:val="auto"/>
          <w:sz w:val="21"/>
          <w:szCs w:val="21"/>
        </w:rPr>
        <w:t> </w:t>
      </w:r>
    </w:p>
    <w:p w14:paraId="7CCC7B7D">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54CC136C">
      <w:pPr>
        <w:pStyle w:val="27"/>
        <w:widowControl/>
        <w:jc w:val="center"/>
        <w:outlineLvl w:val="1"/>
        <w:rPr>
          <w:color w:val="auto"/>
        </w:rPr>
      </w:pPr>
      <w:r>
        <w:rPr>
          <w:rStyle w:val="32"/>
          <w:rFonts w:hint="eastAsia" w:ascii="宋体" w:hAnsi="宋体" w:eastAsia="宋体" w:cs="宋体"/>
          <w:color w:val="auto"/>
          <w:sz w:val="21"/>
          <w:szCs w:val="21"/>
        </w:rPr>
        <w:t>一、标的说明一览表</w:t>
      </w:r>
    </w:p>
    <w:p w14:paraId="21293ED9">
      <w:pPr>
        <w:pStyle w:val="27"/>
        <w:widowControl/>
        <w:rPr>
          <w:color w:val="auto"/>
        </w:rPr>
      </w:pPr>
      <w:r>
        <w:rPr>
          <w:rFonts w:hint="eastAsia" w:ascii="宋体" w:hAnsi="宋体" w:eastAsia="宋体" w:cs="宋体"/>
          <w:color w:val="auto"/>
          <w:sz w:val="21"/>
          <w:szCs w:val="21"/>
        </w:rPr>
        <w:t> </w:t>
      </w:r>
    </w:p>
    <w:p w14:paraId="7E890E13">
      <w:pPr>
        <w:pStyle w:val="27"/>
        <w:widowControl/>
        <w:rPr>
          <w:color w:val="auto"/>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w:t>
      </w:r>
    </w:p>
    <w:tbl>
      <w:tblPr>
        <w:tblStyle w:val="30"/>
        <w:tblW w:w="8515" w:type="dxa"/>
        <w:tblCellSpacing w:w="15"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79"/>
        <w:gridCol w:w="869"/>
        <w:gridCol w:w="1665"/>
        <w:gridCol w:w="864"/>
        <w:gridCol w:w="1136"/>
        <w:gridCol w:w="1136"/>
        <w:gridCol w:w="1866"/>
      </w:tblGrid>
      <w:tr w14:paraId="3906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34" w:type="dxa"/>
            <w:shd w:val="clear" w:color="auto" w:fill="auto"/>
            <w:tcMar>
              <w:top w:w="0" w:type="dxa"/>
              <w:left w:w="105" w:type="dxa"/>
              <w:bottom w:w="0" w:type="dxa"/>
              <w:right w:w="105" w:type="dxa"/>
            </w:tcMar>
            <w:vAlign w:val="center"/>
          </w:tcPr>
          <w:p w14:paraId="5B7B009F">
            <w:pPr>
              <w:pStyle w:val="27"/>
              <w:widowControl/>
              <w:jc w:val="center"/>
              <w:rPr>
                <w:color w:val="auto"/>
              </w:rPr>
            </w:pPr>
            <w:r>
              <w:rPr>
                <w:rFonts w:hint="eastAsia" w:ascii="宋体" w:hAnsi="宋体" w:eastAsia="宋体" w:cs="宋体"/>
                <w:color w:val="auto"/>
                <w:sz w:val="21"/>
                <w:szCs w:val="21"/>
              </w:rPr>
              <w:t>合同包</w:t>
            </w:r>
          </w:p>
        </w:tc>
        <w:tc>
          <w:tcPr>
            <w:tcW w:w="839" w:type="dxa"/>
            <w:shd w:val="clear" w:color="auto" w:fill="auto"/>
            <w:tcMar>
              <w:top w:w="0" w:type="dxa"/>
              <w:left w:w="105" w:type="dxa"/>
              <w:bottom w:w="0" w:type="dxa"/>
              <w:right w:w="105" w:type="dxa"/>
            </w:tcMar>
            <w:vAlign w:val="center"/>
          </w:tcPr>
          <w:p w14:paraId="416E52BB">
            <w:pPr>
              <w:pStyle w:val="27"/>
              <w:widowControl/>
              <w:jc w:val="center"/>
              <w:rPr>
                <w:color w:val="auto"/>
              </w:rPr>
            </w:pPr>
            <w:r>
              <w:rPr>
                <w:rFonts w:hint="eastAsia" w:ascii="宋体" w:hAnsi="宋体" w:eastAsia="宋体" w:cs="宋体"/>
                <w:color w:val="auto"/>
                <w:sz w:val="21"/>
                <w:szCs w:val="21"/>
              </w:rPr>
              <w:t>品目号</w:t>
            </w:r>
          </w:p>
        </w:tc>
        <w:tc>
          <w:tcPr>
            <w:tcW w:w="1635" w:type="dxa"/>
            <w:shd w:val="clear" w:color="auto" w:fill="auto"/>
            <w:tcMar>
              <w:top w:w="0" w:type="dxa"/>
              <w:left w:w="105" w:type="dxa"/>
              <w:bottom w:w="0" w:type="dxa"/>
              <w:right w:w="105" w:type="dxa"/>
            </w:tcMar>
            <w:vAlign w:val="center"/>
          </w:tcPr>
          <w:p w14:paraId="70FDE2AF">
            <w:pPr>
              <w:pStyle w:val="27"/>
              <w:widowControl/>
              <w:jc w:val="center"/>
              <w:rPr>
                <w:color w:val="auto"/>
              </w:rPr>
            </w:pPr>
            <w:r>
              <w:rPr>
                <w:rFonts w:hint="eastAsia" w:ascii="宋体" w:hAnsi="宋体" w:eastAsia="宋体" w:cs="宋体"/>
                <w:color w:val="auto"/>
                <w:sz w:val="21"/>
                <w:szCs w:val="21"/>
              </w:rPr>
              <w:t>投标标的</w:t>
            </w:r>
          </w:p>
        </w:tc>
        <w:tc>
          <w:tcPr>
            <w:tcW w:w="834" w:type="dxa"/>
            <w:shd w:val="clear" w:color="auto" w:fill="auto"/>
            <w:tcMar>
              <w:top w:w="0" w:type="dxa"/>
              <w:left w:w="105" w:type="dxa"/>
              <w:bottom w:w="0" w:type="dxa"/>
              <w:right w:w="105" w:type="dxa"/>
            </w:tcMar>
            <w:vAlign w:val="center"/>
          </w:tcPr>
          <w:p w14:paraId="5D92EC14">
            <w:pPr>
              <w:pStyle w:val="27"/>
              <w:widowControl/>
              <w:jc w:val="center"/>
              <w:rPr>
                <w:color w:val="auto"/>
              </w:rPr>
            </w:pPr>
            <w:r>
              <w:rPr>
                <w:rFonts w:hint="eastAsia" w:ascii="宋体" w:hAnsi="宋体" w:eastAsia="宋体" w:cs="宋体"/>
                <w:color w:val="auto"/>
                <w:sz w:val="21"/>
                <w:szCs w:val="21"/>
              </w:rPr>
              <w:t>数量</w:t>
            </w:r>
          </w:p>
        </w:tc>
        <w:tc>
          <w:tcPr>
            <w:tcW w:w="1106" w:type="dxa"/>
            <w:shd w:val="clear" w:color="auto" w:fill="auto"/>
            <w:tcMar>
              <w:top w:w="0" w:type="dxa"/>
              <w:left w:w="105" w:type="dxa"/>
              <w:bottom w:w="0" w:type="dxa"/>
              <w:right w:w="105" w:type="dxa"/>
            </w:tcMar>
            <w:vAlign w:val="center"/>
          </w:tcPr>
          <w:p w14:paraId="16A1F71D">
            <w:pPr>
              <w:pStyle w:val="27"/>
              <w:widowControl/>
              <w:jc w:val="center"/>
              <w:rPr>
                <w:color w:val="auto"/>
              </w:rPr>
            </w:pPr>
            <w:r>
              <w:rPr>
                <w:rFonts w:hint="eastAsia" w:ascii="宋体" w:hAnsi="宋体" w:eastAsia="宋体" w:cs="宋体"/>
                <w:color w:val="auto"/>
                <w:sz w:val="21"/>
                <w:szCs w:val="21"/>
              </w:rPr>
              <w:t>规格</w:t>
            </w:r>
          </w:p>
        </w:tc>
        <w:tc>
          <w:tcPr>
            <w:tcW w:w="1106" w:type="dxa"/>
            <w:shd w:val="clear" w:color="auto" w:fill="auto"/>
            <w:tcMar>
              <w:top w:w="0" w:type="dxa"/>
              <w:left w:w="105" w:type="dxa"/>
              <w:bottom w:w="0" w:type="dxa"/>
              <w:right w:w="105" w:type="dxa"/>
            </w:tcMar>
            <w:vAlign w:val="center"/>
          </w:tcPr>
          <w:p w14:paraId="39A5FA5E">
            <w:pPr>
              <w:pStyle w:val="27"/>
              <w:widowControl/>
              <w:jc w:val="center"/>
              <w:rPr>
                <w:color w:val="auto"/>
              </w:rPr>
            </w:pPr>
            <w:r>
              <w:rPr>
                <w:rFonts w:hint="eastAsia" w:ascii="宋体" w:hAnsi="宋体" w:eastAsia="宋体" w:cs="宋体"/>
                <w:color w:val="auto"/>
                <w:sz w:val="21"/>
                <w:szCs w:val="21"/>
              </w:rPr>
              <w:t>来源地</w:t>
            </w:r>
          </w:p>
        </w:tc>
        <w:tc>
          <w:tcPr>
            <w:tcW w:w="1821" w:type="dxa"/>
            <w:shd w:val="clear" w:color="auto" w:fill="auto"/>
            <w:tcMar>
              <w:top w:w="0" w:type="dxa"/>
              <w:left w:w="105" w:type="dxa"/>
              <w:bottom w:w="0" w:type="dxa"/>
              <w:right w:w="105" w:type="dxa"/>
            </w:tcMar>
            <w:vAlign w:val="center"/>
          </w:tcPr>
          <w:p w14:paraId="762BC7B5">
            <w:pPr>
              <w:pStyle w:val="27"/>
              <w:widowControl/>
              <w:jc w:val="center"/>
              <w:rPr>
                <w:color w:val="auto"/>
              </w:rPr>
            </w:pPr>
            <w:r>
              <w:rPr>
                <w:rFonts w:hint="eastAsia" w:ascii="宋体" w:hAnsi="宋体" w:eastAsia="宋体" w:cs="宋体"/>
                <w:color w:val="auto"/>
                <w:sz w:val="21"/>
                <w:szCs w:val="21"/>
              </w:rPr>
              <w:t>备注</w:t>
            </w:r>
          </w:p>
        </w:tc>
      </w:tr>
      <w:tr w14:paraId="045C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34" w:type="dxa"/>
            <w:vMerge w:val="restart"/>
            <w:shd w:val="clear" w:color="auto" w:fill="auto"/>
            <w:tcMar>
              <w:top w:w="0" w:type="dxa"/>
              <w:left w:w="105" w:type="dxa"/>
              <w:bottom w:w="0" w:type="dxa"/>
              <w:right w:w="105" w:type="dxa"/>
            </w:tcMar>
            <w:vAlign w:val="center"/>
          </w:tcPr>
          <w:p w14:paraId="5D94E476">
            <w:pPr>
              <w:pStyle w:val="27"/>
              <w:widowControl/>
              <w:jc w:val="center"/>
              <w:rPr>
                <w:color w:val="auto"/>
              </w:rPr>
            </w:pPr>
            <w:r>
              <w:rPr>
                <w:rFonts w:hint="eastAsia" w:ascii="宋体" w:hAnsi="宋体" w:eastAsia="宋体" w:cs="宋体"/>
                <w:color w:val="auto"/>
                <w:sz w:val="21"/>
                <w:szCs w:val="21"/>
              </w:rPr>
              <w:t>*</w:t>
            </w:r>
          </w:p>
        </w:tc>
        <w:tc>
          <w:tcPr>
            <w:tcW w:w="839" w:type="dxa"/>
            <w:shd w:val="clear" w:color="auto" w:fill="auto"/>
            <w:tcMar>
              <w:top w:w="0" w:type="dxa"/>
              <w:left w:w="105" w:type="dxa"/>
              <w:bottom w:w="0" w:type="dxa"/>
              <w:right w:w="105" w:type="dxa"/>
            </w:tcMar>
            <w:vAlign w:val="center"/>
          </w:tcPr>
          <w:p w14:paraId="381902E8">
            <w:pPr>
              <w:pStyle w:val="27"/>
              <w:widowControl/>
              <w:jc w:val="center"/>
              <w:rPr>
                <w:color w:val="auto"/>
              </w:rPr>
            </w:pPr>
            <w:r>
              <w:rPr>
                <w:rFonts w:hint="eastAsia" w:ascii="宋体" w:hAnsi="宋体" w:eastAsia="宋体" w:cs="宋体"/>
                <w:color w:val="auto"/>
                <w:sz w:val="21"/>
                <w:szCs w:val="21"/>
              </w:rPr>
              <w:t>*-1</w:t>
            </w:r>
          </w:p>
        </w:tc>
        <w:tc>
          <w:tcPr>
            <w:tcW w:w="1635" w:type="dxa"/>
            <w:shd w:val="clear" w:color="auto" w:fill="auto"/>
            <w:tcMar>
              <w:top w:w="0" w:type="dxa"/>
              <w:left w:w="105" w:type="dxa"/>
              <w:bottom w:w="0" w:type="dxa"/>
              <w:right w:w="105" w:type="dxa"/>
            </w:tcMar>
          </w:tcPr>
          <w:p w14:paraId="6D2643D6">
            <w:pPr>
              <w:widowControl/>
              <w:jc w:val="left"/>
              <w:rPr>
                <w:color w:val="auto"/>
              </w:rPr>
            </w:pPr>
          </w:p>
        </w:tc>
        <w:tc>
          <w:tcPr>
            <w:tcW w:w="834" w:type="dxa"/>
            <w:shd w:val="clear" w:color="auto" w:fill="auto"/>
            <w:tcMar>
              <w:top w:w="0" w:type="dxa"/>
              <w:left w:w="105" w:type="dxa"/>
              <w:bottom w:w="0" w:type="dxa"/>
              <w:right w:w="105" w:type="dxa"/>
            </w:tcMar>
          </w:tcPr>
          <w:p w14:paraId="7EDF0FEB">
            <w:pPr>
              <w:widowControl/>
              <w:jc w:val="left"/>
              <w:rPr>
                <w:color w:val="auto"/>
              </w:rPr>
            </w:pPr>
          </w:p>
        </w:tc>
        <w:tc>
          <w:tcPr>
            <w:tcW w:w="1106" w:type="dxa"/>
            <w:shd w:val="clear" w:color="auto" w:fill="auto"/>
            <w:tcMar>
              <w:top w:w="0" w:type="dxa"/>
              <w:left w:w="105" w:type="dxa"/>
              <w:bottom w:w="0" w:type="dxa"/>
              <w:right w:w="105" w:type="dxa"/>
            </w:tcMar>
          </w:tcPr>
          <w:p w14:paraId="6951A892">
            <w:pPr>
              <w:widowControl/>
              <w:jc w:val="left"/>
              <w:rPr>
                <w:color w:val="auto"/>
              </w:rPr>
            </w:pPr>
          </w:p>
        </w:tc>
        <w:tc>
          <w:tcPr>
            <w:tcW w:w="1106" w:type="dxa"/>
            <w:shd w:val="clear" w:color="auto" w:fill="auto"/>
            <w:tcMar>
              <w:top w:w="0" w:type="dxa"/>
              <w:left w:w="105" w:type="dxa"/>
              <w:bottom w:w="0" w:type="dxa"/>
              <w:right w:w="105" w:type="dxa"/>
            </w:tcMar>
          </w:tcPr>
          <w:p w14:paraId="59C5D5E3">
            <w:pPr>
              <w:widowControl/>
              <w:jc w:val="left"/>
              <w:rPr>
                <w:color w:val="auto"/>
              </w:rPr>
            </w:pPr>
          </w:p>
        </w:tc>
        <w:tc>
          <w:tcPr>
            <w:tcW w:w="1821" w:type="dxa"/>
            <w:shd w:val="clear" w:color="auto" w:fill="auto"/>
            <w:tcMar>
              <w:top w:w="0" w:type="dxa"/>
              <w:left w:w="105" w:type="dxa"/>
              <w:bottom w:w="0" w:type="dxa"/>
              <w:right w:w="105" w:type="dxa"/>
            </w:tcMar>
          </w:tcPr>
          <w:p w14:paraId="6580A5B6">
            <w:pPr>
              <w:widowControl/>
              <w:jc w:val="left"/>
              <w:rPr>
                <w:color w:val="auto"/>
              </w:rPr>
            </w:pPr>
          </w:p>
        </w:tc>
      </w:tr>
      <w:tr w14:paraId="021E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34" w:type="dxa"/>
            <w:vMerge w:val="continue"/>
            <w:shd w:val="clear" w:color="auto" w:fill="auto"/>
            <w:tcMar>
              <w:top w:w="0" w:type="dxa"/>
              <w:left w:w="105" w:type="dxa"/>
              <w:bottom w:w="0" w:type="dxa"/>
              <w:right w:w="105" w:type="dxa"/>
            </w:tcMar>
            <w:vAlign w:val="center"/>
          </w:tcPr>
          <w:p w14:paraId="35F61808">
            <w:pPr>
              <w:rPr>
                <w:rFonts w:ascii="宋体"/>
                <w:color w:val="auto"/>
                <w:sz w:val="24"/>
              </w:rPr>
            </w:pPr>
          </w:p>
        </w:tc>
        <w:tc>
          <w:tcPr>
            <w:tcW w:w="839" w:type="dxa"/>
            <w:shd w:val="clear" w:color="auto" w:fill="auto"/>
            <w:tcMar>
              <w:top w:w="0" w:type="dxa"/>
              <w:left w:w="105" w:type="dxa"/>
              <w:bottom w:w="0" w:type="dxa"/>
              <w:right w:w="105" w:type="dxa"/>
            </w:tcMar>
            <w:vAlign w:val="center"/>
          </w:tcPr>
          <w:p w14:paraId="4B260A7E">
            <w:pPr>
              <w:pStyle w:val="27"/>
              <w:widowControl/>
              <w:jc w:val="center"/>
              <w:rPr>
                <w:color w:val="auto"/>
              </w:rPr>
            </w:pPr>
            <w:r>
              <w:rPr>
                <w:rFonts w:ascii="Calibri" w:hAnsi="Calibri" w:cs="Calibri"/>
                <w:color w:val="auto"/>
                <w:sz w:val="21"/>
                <w:szCs w:val="21"/>
              </w:rPr>
              <w:t>…</w:t>
            </w:r>
          </w:p>
        </w:tc>
        <w:tc>
          <w:tcPr>
            <w:tcW w:w="1635" w:type="dxa"/>
            <w:shd w:val="clear" w:color="auto" w:fill="auto"/>
            <w:tcMar>
              <w:top w:w="0" w:type="dxa"/>
              <w:left w:w="105" w:type="dxa"/>
              <w:bottom w:w="0" w:type="dxa"/>
              <w:right w:w="105" w:type="dxa"/>
            </w:tcMar>
          </w:tcPr>
          <w:p w14:paraId="786EE7EA">
            <w:pPr>
              <w:widowControl/>
              <w:jc w:val="left"/>
              <w:rPr>
                <w:color w:val="auto"/>
              </w:rPr>
            </w:pPr>
          </w:p>
        </w:tc>
        <w:tc>
          <w:tcPr>
            <w:tcW w:w="834" w:type="dxa"/>
            <w:shd w:val="clear" w:color="auto" w:fill="auto"/>
            <w:tcMar>
              <w:top w:w="0" w:type="dxa"/>
              <w:left w:w="105" w:type="dxa"/>
              <w:bottom w:w="0" w:type="dxa"/>
              <w:right w:w="105" w:type="dxa"/>
            </w:tcMar>
          </w:tcPr>
          <w:p w14:paraId="209B8D25">
            <w:pPr>
              <w:widowControl/>
              <w:jc w:val="left"/>
              <w:rPr>
                <w:color w:val="auto"/>
              </w:rPr>
            </w:pPr>
          </w:p>
        </w:tc>
        <w:tc>
          <w:tcPr>
            <w:tcW w:w="1106" w:type="dxa"/>
            <w:shd w:val="clear" w:color="auto" w:fill="auto"/>
            <w:tcMar>
              <w:top w:w="0" w:type="dxa"/>
              <w:left w:w="105" w:type="dxa"/>
              <w:bottom w:w="0" w:type="dxa"/>
              <w:right w:w="105" w:type="dxa"/>
            </w:tcMar>
          </w:tcPr>
          <w:p w14:paraId="61F6AA9A">
            <w:pPr>
              <w:widowControl/>
              <w:jc w:val="left"/>
              <w:rPr>
                <w:color w:val="auto"/>
              </w:rPr>
            </w:pPr>
          </w:p>
        </w:tc>
        <w:tc>
          <w:tcPr>
            <w:tcW w:w="1106" w:type="dxa"/>
            <w:shd w:val="clear" w:color="auto" w:fill="auto"/>
            <w:tcMar>
              <w:top w:w="0" w:type="dxa"/>
              <w:left w:w="105" w:type="dxa"/>
              <w:bottom w:w="0" w:type="dxa"/>
              <w:right w:w="105" w:type="dxa"/>
            </w:tcMar>
          </w:tcPr>
          <w:p w14:paraId="2D37DF54">
            <w:pPr>
              <w:widowControl/>
              <w:jc w:val="left"/>
              <w:rPr>
                <w:color w:val="auto"/>
              </w:rPr>
            </w:pPr>
          </w:p>
        </w:tc>
        <w:tc>
          <w:tcPr>
            <w:tcW w:w="1821" w:type="dxa"/>
            <w:shd w:val="clear" w:color="auto" w:fill="auto"/>
            <w:tcMar>
              <w:top w:w="0" w:type="dxa"/>
              <w:left w:w="105" w:type="dxa"/>
              <w:bottom w:w="0" w:type="dxa"/>
              <w:right w:w="105" w:type="dxa"/>
            </w:tcMar>
          </w:tcPr>
          <w:p w14:paraId="331742A1">
            <w:pPr>
              <w:widowControl/>
              <w:jc w:val="left"/>
              <w:rPr>
                <w:color w:val="auto"/>
              </w:rPr>
            </w:pPr>
          </w:p>
        </w:tc>
      </w:tr>
      <w:tr w14:paraId="20AD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34" w:type="dxa"/>
            <w:shd w:val="clear" w:color="auto" w:fill="auto"/>
            <w:tcMar>
              <w:top w:w="0" w:type="dxa"/>
              <w:left w:w="105" w:type="dxa"/>
              <w:bottom w:w="0" w:type="dxa"/>
              <w:right w:w="105" w:type="dxa"/>
            </w:tcMar>
            <w:vAlign w:val="center"/>
          </w:tcPr>
          <w:p w14:paraId="2101C0F8">
            <w:pPr>
              <w:pStyle w:val="27"/>
              <w:widowControl/>
              <w:jc w:val="center"/>
              <w:rPr>
                <w:color w:val="auto"/>
              </w:rPr>
            </w:pPr>
            <w:r>
              <w:rPr>
                <w:rFonts w:ascii="Calibri" w:hAnsi="Calibri" w:cs="Calibri"/>
                <w:color w:val="auto"/>
                <w:sz w:val="21"/>
                <w:szCs w:val="21"/>
              </w:rPr>
              <w:t>…</w:t>
            </w:r>
          </w:p>
        </w:tc>
        <w:tc>
          <w:tcPr>
            <w:tcW w:w="839" w:type="dxa"/>
            <w:shd w:val="clear" w:color="auto" w:fill="auto"/>
            <w:tcMar>
              <w:top w:w="0" w:type="dxa"/>
              <w:left w:w="105" w:type="dxa"/>
              <w:bottom w:w="0" w:type="dxa"/>
              <w:right w:w="105" w:type="dxa"/>
            </w:tcMar>
            <w:vAlign w:val="center"/>
          </w:tcPr>
          <w:p w14:paraId="20C32EDE">
            <w:pPr>
              <w:widowControl/>
              <w:jc w:val="left"/>
              <w:rPr>
                <w:color w:val="auto"/>
              </w:rPr>
            </w:pPr>
          </w:p>
        </w:tc>
        <w:tc>
          <w:tcPr>
            <w:tcW w:w="1635" w:type="dxa"/>
            <w:shd w:val="clear" w:color="auto" w:fill="auto"/>
            <w:tcMar>
              <w:top w:w="0" w:type="dxa"/>
              <w:left w:w="105" w:type="dxa"/>
              <w:bottom w:w="0" w:type="dxa"/>
              <w:right w:w="105" w:type="dxa"/>
            </w:tcMar>
          </w:tcPr>
          <w:p w14:paraId="31AF983C">
            <w:pPr>
              <w:widowControl/>
              <w:jc w:val="left"/>
              <w:rPr>
                <w:color w:val="auto"/>
              </w:rPr>
            </w:pPr>
          </w:p>
        </w:tc>
        <w:tc>
          <w:tcPr>
            <w:tcW w:w="834" w:type="dxa"/>
            <w:shd w:val="clear" w:color="auto" w:fill="auto"/>
            <w:tcMar>
              <w:top w:w="0" w:type="dxa"/>
              <w:left w:w="105" w:type="dxa"/>
              <w:bottom w:w="0" w:type="dxa"/>
              <w:right w:w="105" w:type="dxa"/>
            </w:tcMar>
          </w:tcPr>
          <w:p w14:paraId="47AE514F">
            <w:pPr>
              <w:widowControl/>
              <w:jc w:val="left"/>
              <w:rPr>
                <w:color w:val="auto"/>
              </w:rPr>
            </w:pPr>
          </w:p>
        </w:tc>
        <w:tc>
          <w:tcPr>
            <w:tcW w:w="1106" w:type="dxa"/>
            <w:shd w:val="clear" w:color="auto" w:fill="auto"/>
            <w:tcMar>
              <w:top w:w="0" w:type="dxa"/>
              <w:left w:w="105" w:type="dxa"/>
              <w:bottom w:w="0" w:type="dxa"/>
              <w:right w:w="105" w:type="dxa"/>
            </w:tcMar>
          </w:tcPr>
          <w:p w14:paraId="2D1CE264">
            <w:pPr>
              <w:widowControl/>
              <w:jc w:val="left"/>
              <w:rPr>
                <w:color w:val="auto"/>
              </w:rPr>
            </w:pPr>
          </w:p>
        </w:tc>
        <w:tc>
          <w:tcPr>
            <w:tcW w:w="1106" w:type="dxa"/>
            <w:shd w:val="clear" w:color="auto" w:fill="auto"/>
            <w:tcMar>
              <w:top w:w="0" w:type="dxa"/>
              <w:left w:w="105" w:type="dxa"/>
              <w:bottom w:w="0" w:type="dxa"/>
              <w:right w:w="105" w:type="dxa"/>
            </w:tcMar>
          </w:tcPr>
          <w:p w14:paraId="6D43AF13">
            <w:pPr>
              <w:widowControl/>
              <w:jc w:val="left"/>
              <w:rPr>
                <w:color w:val="auto"/>
              </w:rPr>
            </w:pPr>
          </w:p>
        </w:tc>
        <w:tc>
          <w:tcPr>
            <w:tcW w:w="1821" w:type="dxa"/>
            <w:shd w:val="clear" w:color="auto" w:fill="auto"/>
            <w:tcMar>
              <w:top w:w="0" w:type="dxa"/>
              <w:left w:w="105" w:type="dxa"/>
              <w:bottom w:w="0" w:type="dxa"/>
              <w:right w:w="105" w:type="dxa"/>
            </w:tcMar>
          </w:tcPr>
          <w:p w14:paraId="16195345">
            <w:pPr>
              <w:widowControl/>
              <w:jc w:val="left"/>
              <w:rPr>
                <w:color w:val="auto"/>
              </w:rPr>
            </w:pPr>
          </w:p>
        </w:tc>
      </w:tr>
    </w:tbl>
    <w:p w14:paraId="37027B4A">
      <w:pPr>
        <w:pStyle w:val="27"/>
        <w:widowControl/>
        <w:rPr>
          <w:color w:val="auto"/>
        </w:rPr>
      </w:pPr>
      <w:r>
        <w:rPr>
          <w:rFonts w:hint="eastAsia" w:ascii="宋体" w:hAnsi="宋体" w:eastAsia="宋体" w:cs="宋体"/>
          <w:color w:val="auto"/>
          <w:sz w:val="21"/>
          <w:szCs w:val="21"/>
        </w:rPr>
        <w:t>★注意：</w:t>
      </w:r>
    </w:p>
    <w:p w14:paraId="4B6A2F50">
      <w:pPr>
        <w:pStyle w:val="27"/>
        <w:widowControl/>
        <w:rPr>
          <w:color w:val="auto"/>
        </w:rPr>
      </w:pPr>
      <w:r>
        <w:rPr>
          <w:rFonts w:hint="eastAsia" w:ascii="宋体" w:hAnsi="宋体" w:eastAsia="宋体" w:cs="宋体"/>
          <w:color w:val="auto"/>
          <w:sz w:val="21"/>
          <w:szCs w:val="21"/>
        </w:rPr>
        <w:t>1、本表应按照下列规定填写：</w:t>
      </w:r>
    </w:p>
    <w:p w14:paraId="732080A7">
      <w:pPr>
        <w:pStyle w:val="27"/>
        <w:widowControl/>
        <w:rPr>
          <w:color w:val="auto"/>
        </w:rPr>
      </w:pPr>
      <w:r>
        <w:rPr>
          <w:rFonts w:hint="eastAsia" w:ascii="宋体" w:hAnsi="宋体" w:eastAsia="宋体" w:cs="宋体"/>
          <w:color w:val="auto"/>
          <w:sz w:val="21"/>
          <w:szCs w:val="21"/>
        </w:rPr>
        <w:t>1.1“合同包”、“品目号”、“投标标的”及“数量”应与招标文件《采购标的一览表》中的有关内容（“合同包”、“品目号”、“采购标的”及“数量”）保持一致。</w:t>
      </w:r>
    </w:p>
    <w:p w14:paraId="0D756FCB">
      <w:pPr>
        <w:pStyle w:val="27"/>
        <w:widowControl/>
        <w:rPr>
          <w:color w:val="auto"/>
        </w:rPr>
      </w:pPr>
      <w:r>
        <w:rPr>
          <w:rFonts w:hint="eastAsia" w:ascii="宋体" w:hAnsi="宋体" w:eastAsia="宋体" w:cs="宋体"/>
          <w:color w:val="auto"/>
          <w:sz w:val="21"/>
          <w:szCs w:val="21"/>
        </w:rPr>
        <w:t>1.2“投标标的”为货物的：</w:t>
      </w:r>
      <w:r>
        <w:rPr>
          <w:rStyle w:val="32"/>
          <w:rFonts w:hint="eastAsia" w:ascii="宋体" w:hAnsi="宋体" w:eastAsia="宋体" w:cs="宋体"/>
          <w:color w:val="auto"/>
          <w:sz w:val="21"/>
          <w:szCs w:val="21"/>
        </w:rPr>
        <w:t>“规格”</w:t>
      </w:r>
      <w:r>
        <w:rPr>
          <w:rFonts w:hint="eastAsia" w:ascii="宋体" w:hAnsi="宋体" w:eastAsia="宋体" w:cs="宋体"/>
          <w:color w:val="auto"/>
          <w:sz w:val="21"/>
          <w:szCs w:val="21"/>
        </w:rPr>
        <w:t>项下应填写货物制造厂商赋予的品牌（属于节能、环保清单产品的货物，填写的品牌名称应与清单载明的品牌名称保持一致）及具体型号。</w:t>
      </w:r>
      <w:r>
        <w:rPr>
          <w:rStyle w:val="32"/>
          <w:rFonts w:hint="eastAsia" w:ascii="宋体" w:hAnsi="宋体" w:eastAsia="宋体" w:cs="宋体"/>
          <w:color w:val="auto"/>
          <w:sz w:val="21"/>
          <w:szCs w:val="21"/>
        </w:rPr>
        <w:t>“来源地”</w:t>
      </w:r>
      <w:r>
        <w:rPr>
          <w:rFonts w:hint="eastAsia" w:ascii="宋体" w:hAnsi="宋体" w:eastAsia="宋体" w:cs="宋体"/>
          <w:color w:val="auto"/>
          <w:sz w:val="21"/>
          <w:szCs w:val="21"/>
        </w:rPr>
        <w:t>应填写货物的原产地。</w:t>
      </w:r>
      <w:r>
        <w:rPr>
          <w:rStyle w:val="32"/>
          <w:rFonts w:hint="eastAsia" w:ascii="宋体" w:hAnsi="宋体" w:eastAsia="宋体" w:cs="宋体"/>
          <w:color w:val="auto"/>
          <w:sz w:val="21"/>
          <w:szCs w:val="21"/>
        </w:rPr>
        <w:t>“备注”</w:t>
      </w:r>
      <w:r>
        <w:rPr>
          <w:rFonts w:hint="eastAsia" w:ascii="宋体" w:hAnsi="宋体" w:eastAsia="宋体" w:cs="宋体"/>
          <w:color w:val="auto"/>
          <w:sz w:val="21"/>
          <w:szCs w:val="21"/>
        </w:rPr>
        <w:t>项下应填写货物的详细性能说明及供货范围清单（若有），其中供货范围清单包括但不限于：组成货物的主要件和关键件的名称、数量、原产地，专用工具（若有）的名称、数量、原产地，备品备件（若有）的名称、数量、原产地等。</w:t>
      </w:r>
    </w:p>
    <w:p w14:paraId="14F373F6">
      <w:pPr>
        <w:pStyle w:val="27"/>
        <w:widowControl/>
        <w:rPr>
          <w:color w:val="auto"/>
        </w:rPr>
      </w:pPr>
      <w:r>
        <w:rPr>
          <w:rFonts w:hint="eastAsia" w:ascii="宋体" w:hAnsi="宋体" w:eastAsia="宋体" w:cs="宋体"/>
          <w:color w:val="auto"/>
          <w:sz w:val="21"/>
          <w:szCs w:val="21"/>
        </w:rPr>
        <w:t>1.3“投标标的”为服务的：</w:t>
      </w:r>
      <w:r>
        <w:rPr>
          <w:rStyle w:val="32"/>
          <w:rFonts w:hint="eastAsia" w:ascii="宋体" w:hAnsi="宋体" w:eastAsia="宋体" w:cs="宋体"/>
          <w:color w:val="auto"/>
          <w:sz w:val="21"/>
          <w:szCs w:val="21"/>
        </w:rPr>
        <w:t>“规格”</w:t>
      </w:r>
      <w:r>
        <w:rPr>
          <w:rFonts w:hint="eastAsia" w:ascii="宋体" w:hAnsi="宋体" w:eastAsia="宋体" w:cs="宋体"/>
          <w:color w:val="auto"/>
          <w:sz w:val="21"/>
          <w:szCs w:val="21"/>
        </w:rPr>
        <w:t>项下应填写服务提供者提供的服务标准及品牌（若有）。</w:t>
      </w:r>
      <w:r>
        <w:rPr>
          <w:rStyle w:val="32"/>
          <w:rFonts w:hint="eastAsia" w:ascii="宋体" w:hAnsi="宋体" w:eastAsia="宋体" w:cs="宋体"/>
          <w:color w:val="auto"/>
          <w:sz w:val="21"/>
          <w:szCs w:val="21"/>
        </w:rPr>
        <w:t>“来源地”</w:t>
      </w:r>
      <w:r>
        <w:rPr>
          <w:rFonts w:hint="eastAsia" w:ascii="宋体" w:hAnsi="宋体" w:eastAsia="宋体" w:cs="宋体"/>
          <w:color w:val="auto"/>
          <w:sz w:val="21"/>
          <w:szCs w:val="21"/>
        </w:rPr>
        <w:t>应填写服务提供者的所在地。</w:t>
      </w:r>
      <w:r>
        <w:rPr>
          <w:rStyle w:val="32"/>
          <w:rFonts w:hint="eastAsia" w:ascii="宋体" w:hAnsi="宋体" w:eastAsia="宋体" w:cs="宋体"/>
          <w:color w:val="auto"/>
          <w:sz w:val="21"/>
          <w:szCs w:val="21"/>
        </w:rPr>
        <w:t>“备注”</w:t>
      </w:r>
      <w:r>
        <w:rPr>
          <w:rFonts w:hint="eastAsia" w:ascii="宋体" w:hAnsi="宋体" w:eastAsia="宋体" w:cs="宋体"/>
          <w:color w:val="auto"/>
          <w:sz w:val="21"/>
          <w:szCs w:val="21"/>
        </w:rPr>
        <w:t>项下应填写关于服务标准所涵盖的具体项目或内容的说明等。</w:t>
      </w:r>
    </w:p>
    <w:p w14:paraId="24E8B507">
      <w:pPr>
        <w:pStyle w:val="27"/>
        <w:widowControl/>
        <w:rPr>
          <w:color w:val="auto"/>
        </w:rPr>
      </w:pPr>
      <w:r>
        <w:rPr>
          <w:rFonts w:hint="eastAsia" w:ascii="宋体" w:hAnsi="宋体" w:eastAsia="宋体" w:cs="宋体"/>
          <w:color w:val="auto"/>
          <w:sz w:val="21"/>
          <w:szCs w:val="21"/>
        </w:rPr>
        <w:t>2、投标人需要说明的内容若需特殊表达，应先在本表中进行相应说明，再另页应答，否则</w:t>
      </w:r>
      <w:r>
        <w:rPr>
          <w:rStyle w:val="32"/>
          <w:rFonts w:hint="eastAsia" w:ascii="宋体" w:hAnsi="宋体" w:eastAsia="宋体" w:cs="宋体"/>
          <w:color w:val="auto"/>
          <w:sz w:val="21"/>
          <w:szCs w:val="21"/>
        </w:rPr>
        <w:t>投标无效</w:t>
      </w:r>
      <w:r>
        <w:rPr>
          <w:rFonts w:hint="eastAsia" w:ascii="宋体" w:hAnsi="宋体" w:eastAsia="宋体" w:cs="宋体"/>
          <w:color w:val="auto"/>
          <w:sz w:val="21"/>
          <w:szCs w:val="21"/>
        </w:rPr>
        <w:t>。</w:t>
      </w:r>
    </w:p>
    <w:p w14:paraId="5E6E21A8">
      <w:pPr>
        <w:pStyle w:val="27"/>
        <w:widowControl/>
        <w:rPr>
          <w:color w:val="auto"/>
        </w:rPr>
      </w:pPr>
      <w:r>
        <w:rPr>
          <w:rFonts w:hint="eastAsia" w:ascii="宋体" w:hAnsi="宋体" w:eastAsia="宋体" w:cs="宋体"/>
          <w:color w:val="auto"/>
          <w:sz w:val="21"/>
          <w:szCs w:val="21"/>
        </w:rPr>
        <w:t>3、投标文件中涉及</w:t>
      </w:r>
      <w:r>
        <w:rPr>
          <w:rStyle w:val="32"/>
          <w:rFonts w:hint="eastAsia" w:ascii="宋体" w:hAnsi="宋体" w:eastAsia="宋体" w:cs="宋体"/>
          <w:color w:val="auto"/>
          <w:sz w:val="21"/>
          <w:szCs w:val="21"/>
        </w:rPr>
        <w:t>“投标标的”、“数量”、“规格”、“来源地”</w:t>
      </w:r>
      <w:r>
        <w:rPr>
          <w:rFonts w:hint="eastAsia" w:ascii="宋体" w:hAnsi="宋体" w:eastAsia="宋体" w:cs="宋体"/>
          <w:color w:val="auto"/>
          <w:sz w:val="21"/>
          <w:szCs w:val="21"/>
        </w:rPr>
        <w:t>的内容若不一致，</w:t>
      </w:r>
      <w:r>
        <w:rPr>
          <w:rStyle w:val="32"/>
          <w:rFonts w:hint="eastAsia" w:ascii="宋体" w:hAnsi="宋体" w:eastAsia="宋体" w:cs="宋体"/>
          <w:color w:val="auto"/>
          <w:sz w:val="21"/>
          <w:szCs w:val="21"/>
        </w:rPr>
        <w:t>应以本表为准</w:t>
      </w:r>
      <w:r>
        <w:rPr>
          <w:rFonts w:hint="eastAsia" w:ascii="宋体" w:hAnsi="宋体" w:eastAsia="宋体" w:cs="宋体"/>
          <w:color w:val="auto"/>
          <w:sz w:val="21"/>
          <w:szCs w:val="21"/>
        </w:rPr>
        <w:t>。</w:t>
      </w:r>
    </w:p>
    <w:p w14:paraId="45A8D2B7">
      <w:pPr>
        <w:pStyle w:val="27"/>
        <w:widowControl/>
        <w:rPr>
          <w:color w:val="auto"/>
        </w:rPr>
      </w:pPr>
      <w:r>
        <w:rPr>
          <w:rFonts w:hint="eastAsia" w:ascii="宋体" w:hAnsi="宋体" w:eastAsia="宋体" w:cs="宋体"/>
          <w:color w:val="auto"/>
          <w:sz w:val="21"/>
          <w:szCs w:val="21"/>
        </w:rPr>
        <w:t>4、纸质投标文件正本中的本表应为原件。</w:t>
      </w:r>
    </w:p>
    <w:p w14:paraId="26C499B6">
      <w:pPr>
        <w:pStyle w:val="27"/>
        <w:widowControl/>
        <w:rPr>
          <w:color w:val="auto"/>
        </w:rPr>
      </w:pPr>
      <w:r>
        <w:rPr>
          <w:rFonts w:hint="eastAsia" w:ascii="宋体" w:hAnsi="宋体" w:eastAsia="宋体" w:cs="宋体"/>
          <w:color w:val="auto"/>
          <w:sz w:val="21"/>
          <w:szCs w:val="21"/>
        </w:rPr>
        <w:t> </w:t>
      </w:r>
    </w:p>
    <w:p w14:paraId="0B51972C">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5E797BB3">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3AB50A95">
      <w:pPr>
        <w:pStyle w:val="27"/>
        <w:widowControl/>
        <w:rPr>
          <w:rFonts w:ascii="宋体" w:hAnsi="宋体" w:eastAsia="宋体" w:cs="宋体"/>
          <w:color w:val="auto"/>
          <w:sz w:val="21"/>
          <w:szCs w:val="21"/>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30FA51C3">
      <w:pPr>
        <w:pStyle w:val="27"/>
        <w:widowControl/>
        <w:rPr>
          <w:rFonts w:ascii="宋体" w:hAnsi="宋体" w:eastAsia="宋体" w:cs="宋体"/>
          <w:color w:val="auto"/>
          <w:sz w:val="21"/>
          <w:szCs w:val="21"/>
        </w:rPr>
      </w:pPr>
      <w:r>
        <w:rPr>
          <w:rFonts w:hint="eastAsia" w:ascii="宋体" w:hAnsi="宋体" w:eastAsia="宋体" w:cs="宋体"/>
          <w:color w:val="auto"/>
          <w:sz w:val="21"/>
          <w:szCs w:val="21"/>
        </w:rPr>
        <w:br w:type="page"/>
      </w:r>
    </w:p>
    <w:p w14:paraId="62CCA7A7">
      <w:pPr>
        <w:pStyle w:val="27"/>
        <w:widowControl/>
        <w:jc w:val="center"/>
        <w:outlineLvl w:val="1"/>
        <w:rPr>
          <w:color w:val="auto"/>
        </w:rPr>
      </w:pPr>
      <w:r>
        <w:rPr>
          <w:rStyle w:val="32"/>
          <w:rFonts w:hint="eastAsia" w:ascii="宋体" w:hAnsi="宋体" w:eastAsia="宋体" w:cs="宋体"/>
          <w:color w:val="auto"/>
          <w:sz w:val="21"/>
          <w:szCs w:val="21"/>
        </w:rPr>
        <w:t>二、技术和服务要求响应表</w:t>
      </w:r>
    </w:p>
    <w:p w14:paraId="3A4AB44B">
      <w:pPr>
        <w:pStyle w:val="27"/>
        <w:widowControl/>
        <w:rPr>
          <w:color w:val="auto"/>
        </w:rPr>
      </w:pPr>
      <w:r>
        <w:rPr>
          <w:rFonts w:hint="eastAsia" w:ascii="宋体" w:hAnsi="宋体" w:eastAsia="宋体" w:cs="宋体"/>
          <w:color w:val="auto"/>
          <w:sz w:val="21"/>
          <w:szCs w:val="21"/>
        </w:rPr>
        <w:t> </w:t>
      </w:r>
    </w:p>
    <w:p w14:paraId="62A6B69D">
      <w:pPr>
        <w:pStyle w:val="27"/>
        <w:widowControl/>
        <w:rPr>
          <w:color w:val="auto"/>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w:t>
      </w:r>
    </w:p>
    <w:tbl>
      <w:tblPr>
        <w:tblStyle w:val="30"/>
        <w:tblW w:w="8518" w:type="dxa"/>
        <w:tblCellSpacing w:w="15"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89"/>
        <w:gridCol w:w="875"/>
        <w:gridCol w:w="2927"/>
        <w:gridCol w:w="1834"/>
        <w:gridCol w:w="1893"/>
      </w:tblGrid>
      <w:tr w14:paraId="7E8E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5" w:hRule="atLeast"/>
          <w:tblCellSpacing w:w="15" w:type="dxa"/>
        </w:trPr>
        <w:tc>
          <w:tcPr>
            <w:tcW w:w="944" w:type="dxa"/>
            <w:shd w:val="clear" w:color="auto" w:fill="auto"/>
            <w:tcMar>
              <w:top w:w="0" w:type="dxa"/>
              <w:left w:w="105" w:type="dxa"/>
              <w:bottom w:w="0" w:type="dxa"/>
              <w:right w:w="105" w:type="dxa"/>
            </w:tcMar>
            <w:vAlign w:val="center"/>
          </w:tcPr>
          <w:p w14:paraId="2A658BE4">
            <w:pPr>
              <w:pStyle w:val="27"/>
              <w:widowControl/>
              <w:jc w:val="center"/>
              <w:rPr>
                <w:color w:val="auto"/>
              </w:rPr>
            </w:pPr>
            <w:r>
              <w:rPr>
                <w:rFonts w:hint="eastAsia" w:ascii="宋体" w:hAnsi="宋体" w:eastAsia="宋体" w:cs="宋体"/>
                <w:color w:val="auto"/>
                <w:sz w:val="21"/>
                <w:szCs w:val="21"/>
              </w:rPr>
              <w:t>合同包</w:t>
            </w:r>
          </w:p>
        </w:tc>
        <w:tc>
          <w:tcPr>
            <w:tcW w:w="845" w:type="dxa"/>
            <w:shd w:val="clear" w:color="auto" w:fill="auto"/>
            <w:tcMar>
              <w:top w:w="0" w:type="dxa"/>
              <w:left w:w="105" w:type="dxa"/>
              <w:bottom w:w="0" w:type="dxa"/>
              <w:right w:w="105" w:type="dxa"/>
            </w:tcMar>
            <w:vAlign w:val="center"/>
          </w:tcPr>
          <w:p w14:paraId="16635038">
            <w:pPr>
              <w:pStyle w:val="27"/>
              <w:widowControl/>
              <w:jc w:val="center"/>
              <w:rPr>
                <w:color w:val="auto"/>
              </w:rPr>
            </w:pPr>
            <w:r>
              <w:rPr>
                <w:rFonts w:hint="eastAsia" w:ascii="宋体" w:hAnsi="宋体" w:eastAsia="宋体" w:cs="宋体"/>
                <w:color w:val="auto"/>
                <w:sz w:val="21"/>
                <w:szCs w:val="21"/>
              </w:rPr>
              <w:t>品目号</w:t>
            </w:r>
          </w:p>
        </w:tc>
        <w:tc>
          <w:tcPr>
            <w:tcW w:w="2897" w:type="dxa"/>
            <w:shd w:val="clear" w:color="auto" w:fill="auto"/>
            <w:tcMar>
              <w:top w:w="0" w:type="dxa"/>
              <w:left w:w="105" w:type="dxa"/>
              <w:bottom w:w="0" w:type="dxa"/>
              <w:right w:w="105" w:type="dxa"/>
            </w:tcMar>
            <w:vAlign w:val="center"/>
          </w:tcPr>
          <w:p w14:paraId="07EB757A">
            <w:pPr>
              <w:pStyle w:val="27"/>
              <w:widowControl/>
              <w:jc w:val="center"/>
              <w:rPr>
                <w:color w:val="auto"/>
              </w:rPr>
            </w:pPr>
            <w:r>
              <w:rPr>
                <w:rFonts w:hint="eastAsia" w:ascii="宋体" w:hAnsi="宋体" w:eastAsia="宋体" w:cs="宋体"/>
                <w:color w:val="auto"/>
                <w:sz w:val="21"/>
                <w:szCs w:val="21"/>
              </w:rPr>
              <w:t>技术和服务要求</w:t>
            </w:r>
          </w:p>
        </w:tc>
        <w:tc>
          <w:tcPr>
            <w:tcW w:w="1804" w:type="dxa"/>
            <w:shd w:val="clear" w:color="auto" w:fill="auto"/>
            <w:tcMar>
              <w:top w:w="0" w:type="dxa"/>
              <w:left w:w="105" w:type="dxa"/>
              <w:bottom w:w="0" w:type="dxa"/>
              <w:right w:w="105" w:type="dxa"/>
            </w:tcMar>
            <w:vAlign w:val="center"/>
          </w:tcPr>
          <w:p w14:paraId="725B2B37">
            <w:pPr>
              <w:pStyle w:val="27"/>
              <w:widowControl/>
              <w:jc w:val="center"/>
              <w:rPr>
                <w:color w:val="auto"/>
              </w:rPr>
            </w:pPr>
            <w:r>
              <w:rPr>
                <w:rFonts w:hint="eastAsia" w:ascii="宋体" w:hAnsi="宋体" w:eastAsia="宋体" w:cs="宋体"/>
                <w:color w:val="auto"/>
                <w:sz w:val="21"/>
                <w:szCs w:val="21"/>
              </w:rPr>
              <w:t>投标响应</w:t>
            </w:r>
          </w:p>
        </w:tc>
        <w:tc>
          <w:tcPr>
            <w:tcW w:w="1848" w:type="dxa"/>
            <w:shd w:val="clear" w:color="auto" w:fill="auto"/>
            <w:tcMar>
              <w:top w:w="0" w:type="dxa"/>
              <w:left w:w="105" w:type="dxa"/>
              <w:bottom w:w="0" w:type="dxa"/>
              <w:right w:w="105" w:type="dxa"/>
            </w:tcMar>
            <w:vAlign w:val="center"/>
          </w:tcPr>
          <w:p w14:paraId="6482EDD8">
            <w:pPr>
              <w:pStyle w:val="27"/>
              <w:widowControl/>
              <w:jc w:val="center"/>
              <w:rPr>
                <w:color w:val="auto"/>
              </w:rPr>
            </w:pPr>
            <w:r>
              <w:rPr>
                <w:rFonts w:hint="eastAsia" w:ascii="宋体" w:hAnsi="宋体" w:eastAsia="宋体" w:cs="宋体"/>
                <w:color w:val="auto"/>
                <w:sz w:val="21"/>
                <w:szCs w:val="21"/>
              </w:rPr>
              <w:t>是否偏离及说明</w:t>
            </w:r>
          </w:p>
        </w:tc>
      </w:tr>
      <w:tr w14:paraId="4AAF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4" w:type="dxa"/>
            <w:vMerge w:val="restart"/>
            <w:shd w:val="clear" w:color="auto" w:fill="auto"/>
            <w:tcMar>
              <w:top w:w="0" w:type="dxa"/>
              <w:left w:w="105" w:type="dxa"/>
              <w:bottom w:w="0" w:type="dxa"/>
              <w:right w:w="105" w:type="dxa"/>
            </w:tcMar>
            <w:vAlign w:val="center"/>
          </w:tcPr>
          <w:p w14:paraId="06DC86E5">
            <w:pPr>
              <w:pStyle w:val="27"/>
              <w:widowControl/>
              <w:jc w:val="center"/>
              <w:rPr>
                <w:color w:val="auto"/>
              </w:rPr>
            </w:pPr>
            <w:r>
              <w:rPr>
                <w:rFonts w:hint="eastAsia" w:ascii="宋体" w:hAnsi="宋体" w:eastAsia="宋体" w:cs="宋体"/>
                <w:color w:val="auto"/>
                <w:sz w:val="21"/>
                <w:szCs w:val="21"/>
              </w:rPr>
              <w:t>*</w:t>
            </w:r>
          </w:p>
        </w:tc>
        <w:tc>
          <w:tcPr>
            <w:tcW w:w="845" w:type="dxa"/>
            <w:shd w:val="clear" w:color="auto" w:fill="auto"/>
            <w:tcMar>
              <w:top w:w="0" w:type="dxa"/>
              <w:left w:w="105" w:type="dxa"/>
              <w:bottom w:w="0" w:type="dxa"/>
              <w:right w:w="105" w:type="dxa"/>
            </w:tcMar>
            <w:vAlign w:val="center"/>
          </w:tcPr>
          <w:p w14:paraId="2A3EBB56">
            <w:pPr>
              <w:pStyle w:val="27"/>
              <w:widowControl/>
              <w:jc w:val="center"/>
              <w:rPr>
                <w:color w:val="auto"/>
              </w:rPr>
            </w:pPr>
            <w:r>
              <w:rPr>
                <w:rFonts w:hint="eastAsia" w:ascii="宋体" w:hAnsi="宋体" w:eastAsia="宋体" w:cs="宋体"/>
                <w:color w:val="auto"/>
                <w:sz w:val="21"/>
                <w:szCs w:val="21"/>
              </w:rPr>
              <w:t>*-1</w:t>
            </w:r>
          </w:p>
        </w:tc>
        <w:tc>
          <w:tcPr>
            <w:tcW w:w="2897" w:type="dxa"/>
            <w:shd w:val="clear" w:color="auto" w:fill="auto"/>
            <w:tcMar>
              <w:top w:w="0" w:type="dxa"/>
              <w:left w:w="105" w:type="dxa"/>
              <w:bottom w:w="0" w:type="dxa"/>
              <w:right w:w="105" w:type="dxa"/>
            </w:tcMar>
          </w:tcPr>
          <w:p w14:paraId="06652349">
            <w:pPr>
              <w:widowControl/>
              <w:jc w:val="left"/>
              <w:rPr>
                <w:color w:val="auto"/>
              </w:rPr>
            </w:pPr>
          </w:p>
        </w:tc>
        <w:tc>
          <w:tcPr>
            <w:tcW w:w="1804" w:type="dxa"/>
            <w:shd w:val="clear" w:color="auto" w:fill="auto"/>
            <w:tcMar>
              <w:top w:w="0" w:type="dxa"/>
              <w:left w:w="105" w:type="dxa"/>
              <w:bottom w:w="0" w:type="dxa"/>
              <w:right w:w="105" w:type="dxa"/>
            </w:tcMar>
          </w:tcPr>
          <w:p w14:paraId="28E29D02">
            <w:pPr>
              <w:widowControl/>
              <w:jc w:val="left"/>
              <w:rPr>
                <w:color w:val="auto"/>
              </w:rPr>
            </w:pPr>
          </w:p>
        </w:tc>
        <w:tc>
          <w:tcPr>
            <w:tcW w:w="1848" w:type="dxa"/>
            <w:shd w:val="clear" w:color="auto" w:fill="auto"/>
            <w:tcMar>
              <w:top w:w="0" w:type="dxa"/>
              <w:left w:w="105" w:type="dxa"/>
              <w:bottom w:w="0" w:type="dxa"/>
              <w:right w:w="105" w:type="dxa"/>
            </w:tcMar>
          </w:tcPr>
          <w:p w14:paraId="70A92F27">
            <w:pPr>
              <w:widowControl/>
              <w:jc w:val="left"/>
              <w:rPr>
                <w:color w:val="auto"/>
              </w:rPr>
            </w:pPr>
          </w:p>
        </w:tc>
      </w:tr>
      <w:tr w14:paraId="1074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4" w:type="dxa"/>
            <w:vMerge w:val="continue"/>
            <w:shd w:val="clear" w:color="auto" w:fill="auto"/>
            <w:tcMar>
              <w:top w:w="0" w:type="dxa"/>
              <w:left w:w="105" w:type="dxa"/>
              <w:bottom w:w="0" w:type="dxa"/>
              <w:right w:w="105" w:type="dxa"/>
            </w:tcMar>
            <w:vAlign w:val="center"/>
          </w:tcPr>
          <w:p w14:paraId="249F6B34">
            <w:pPr>
              <w:rPr>
                <w:rFonts w:ascii="宋体"/>
                <w:color w:val="auto"/>
                <w:sz w:val="24"/>
              </w:rPr>
            </w:pPr>
          </w:p>
        </w:tc>
        <w:tc>
          <w:tcPr>
            <w:tcW w:w="845" w:type="dxa"/>
            <w:shd w:val="clear" w:color="auto" w:fill="auto"/>
            <w:tcMar>
              <w:top w:w="0" w:type="dxa"/>
              <w:left w:w="105" w:type="dxa"/>
              <w:bottom w:w="0" w:type="dxa"/>
              <w:right w:w="105" w:type="dxa"/>
            </w:tcMar>
            <w:vAlign w:val="center"/>
          </w:tcPr>
          <w:p w14:paraId="7BB486C3">
            <w:pPr>
              <w:pStyle w:val="27"/>
              <w:widowControl/>
              <w:jc w:val="center"/>
              <w:rPr>
                <w:color w:val="auto"/>
              </w:rPr>
            </w:pPr>
            <w:r>
              <w:rPr>
                <w:rFonts w:ascii="Calibri" w:hAnsi="Calibri" w:cs="Calibri"/>
                <w:color w:val="auto"/>
                <w:sz w:val="21"/>
                <w:szCs w:val="21"/>
              </w:rPr>
              <w:t>…</w:t>
            </w:r>
          </w:p>
        </w:tc>
        <w:tc>
          <w:tcPr>
            <w:tcW w:w="2897" w:type="dxa"/>
            <w:shd w:val="clear" w:color="auto" w:fill="auto"/>
            <w:tcMar>
              <w:top w:w="0" w:type="dxa"/>
              <w:left w:w="105" w:type="dxa"/>
              <w:bottom w:w="0" w:type="dxa"/>
              <w:right w:w="105" w:type="dxa"/>
            </w:tcMar>
          </w:tcPr>
          <w:p w14:paraId="5C1AC0C0">
            <w:pPr>
              <w:widowControl/>
              <w:jc w:val="left"/>
              <w:rPr>
                <w:color w:val="auto"/>
              </w:rPr>
            </w:pPr>
          </w:p>
        </w:tc>
        <w:tc>
          <w:tcPr>
            <w:tcW w:w="1804" w:type="dxa"/>
            <w:shd w:val="clear" w:color="auto" w:fill="auto"/>
            <w:tcMar>
              <w:top w:w="0" w:type="dxa"/>
              <w:left w:w="105" w:type="dxa"/>
              <w:bottom w:w="0" w:type="dxa"/>
              <w:right w:w="105" w:type="dxa"/>
            </w:tcMar>
          </w:tcPr>
          <w:p w14:paraId="5090E222">
            <w:pPr>
              <w:widowControl/>
              <w:jc w:val="left"/>
              <w:rPr>
                <w:color w:val="auto"/>
              </w:rPr>
            </w:pPr>
          </w:p>
        </w:tc>
        <w:tc>
          <w:tcPr>
            <w:tcW w:w="1848" w:type="dxa"/>
            <w:shd w:val="clear" w:color="auto" w:fill="auto"/>
            <w:tcMar>
              <w:top w:w="0" w:type="dxa"/>
              <w:left w:w="105" w:type="dxa"/>
              <w:bottom w:w="0" w:type="dxa"/>
              <w:right w:w="105" w:type="dxa"/>
            </w:tcMar>
          </w:tcPr>
          <w:p w14:paraId="5C86D3AD">
            <w:pPr>
              <w:widowControl/>
              <w:jc w:val="left"/>
              <w:rPr>
                <w:color w:val="auto"/>
              </w:rPr>
            </w:pPr>
          </w:p>
        </w:tc>
      </w:tr>
      <w:tr w14:paraId="4578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4" w:type="dxa"/>
            <w:shd w:val="clear" w:color="auto" w:fill="auto"/>
            <w:tcMar>
              <w:top w:w="0" w:type="dxa"/>
              <w:left w:w="105" w:type="dxa"/>
              <w:bottom w:w="0" w:type="dxa"/>
              <w:right w:w="105" w:type="dxa"/>
            </w:tcMar>
            <w:vAlign w:val="center"/>
          </w:tcPr>
          <w:p w14:paraId="432E7DBF">
            <w:pPr>
              <w:pStyle w:val="27"/>
              <w:widowControl/>
              <w:jc w:val="center"/>
              <w:rPr>
                <w:color w:val="auto"/>
              </w:rPr>
            </w:pPr>
            <w:r>
              <w:rPr>
                <w:rFonts w:ascii="Calibri" w:hAnsi="Calibri" w:cs="Calibri"/>
                <w:color w:val="auto"/>
                <w:sz w:val="21"/>
                <w:szCs w:val="21"/>
              </w:rPr>
              <w:t>…</w:t>
            </w:r>
          </w:p>
        </w:tc>
        <w:tc>
          <w:tcPr>
            <w:tcW w:w="845" w:type="dxa"/>
            <w:shd w:val="clear" w:color="auto" w:fill="auto"/>
            <w:tcMar>
              <w:top w:w="0" w:type="dxa"/>
              <w:left w:w="105" w:type="dxa"/>
              <w:bottom w:w="0" w:type="dxa"/>
              <w:right w:w="105" w:type="dxa"/>
            </w:tcMar>
            <w:vAlign w:val="center"/>
          </w:tcPr>
          <w:p w14:paraId="3A4C00EA">
            <w:pPr>
              <w:widowControl/>
              <w:jc w:val="left"/>
              <w:rPr>
                <w:color w:val="auto"/>
              </w:rPr>
            </w:pPr>
          </w:p>
        </w:tc>
        <w:tc>
          <w:tcPr>
            <w:tcW w:w="2897" w:type="dxa"/>
            <w:shd w:val="clear" w:color="auto" w:fill="auto"/>
            <w:tcMar>
              <w:top w:w="0" w:type="dxa"/>
              <w:left w:w="105" w:type="dxa"/>
              <w:bottom w:w="0" w:type="dxa"/>
              <w:right w:w="105" w:type="dxa"/>
            </w:tcMar>
            <w:vAlign w:val="center"/>
          </w:tcPr>
          <w:p w14:paraId="34B0FAEA">
            <w:pPr>
              <w:widowControl/>
              <w:jc w:val="left"/>
              <w:rPr>
                <w:color w:val="auto"/>
              </w:rPr>
            </w:pPr>
          </w:p>
        </w:tc>
        <w:tc>
          <w:tcPr>
            <w:tcW w:w="1804" w:type="dxa"/>
            <w:shd w:val="clear" w:color="auto" w:fill="auto"/>
            <w:tcMar>
              <w:top w:w="0" w:type="dxa"/>
              <w:left w:w="105" w:type="dxa"/>
              <w:bottom w:w="0" w:type="dxa"/>
              <w:right w:w="105" w:type="dxa"/>
            </w:tcMar>
            <w:vAlign w:val="center"/>
          </w:tcPr>
          <w:p w14:paraId="7C055586">
            <w:pPr>
              <w:widowControl/>
              <w:jc w:val="left"/>
              <w:rPr>
                <w:color w:val="auto"/>
              </w:rPr>
            </w:pPr>
          </w:p>
        </w:tc>
        <w:tc>
          <w:tcPr>
            <w:tcW w:w="1848" w:type="dxa"/>
            <w:shd w:val="clear" w:color="auto" w:fill="auto"/>
            <w:tcMar>
              <w:top w:w="0" w:type="dxa"/>
              <w:left w:w="105" w:type="dxa"/>
              <w:bottom w:w="0" w:type="dxa"/>
              <w:right w:w="105" w:type="dxa"/>
            </w:tcMar>
            <w:vAlign w:val="center"/>
          </w:tcPr>
          <w:p w14:paraId="0DC15CE1">
            <w:pPr>
              <w:widowControl/>
              <w:jc w:val="left"/>
              <w:rPr>
                <w:color w:val="auto"/>
              </w:rPr>
            </w:pPr>
          </w:p>
        </w:tc>
      </w:tr>
    </w:tbl>
    <w:p w14:paraId="6154EAE6">
      <w:pPr>
        <w:pStyle w:val="27"/>
        <w:widowControl/>
        <w:rPr>
          <w:color w:val="auto"/>
        </w:rPr>
      </w:pPr>
      <w:r>
        <w:rPr>
          <w:rFonts w:hint="eastAsia" w:ascii="宋体" w:hAnsi="宋体" w:eastAsia="宋体" w:cs="宋体"/>
          <w:color w:val="auto"/>
          <w:sz w:val="21"/>
          <w:szCs w:val="21"/>
        </w:rPr>
        <w:t>★注意：</w:t>
      </w:r>
    </w:p>
    <w:p w14:paraId="59CE18B3">
      <w:pPr>
        <w:pStyle w:val="27"/>
        <w:widowControl/>
        <w:rPr>
          <w:color w:val="auto"/>
        </w:rPr>
      </w:pPr>
      <w:r>
        <w:rPr>
          <w:rFonts w:hint="eastAsia" w:ascii="宋体" w:hAnsi="宋体" w:eastAsia="宋体" w:cs="宋体"/>
          <w:color w:val="auto"/>
          <w:sz w:val="21"/>
          <w:szCs w:val="21"/>
        </w:rPr>
        <w:t>1、本表应按照下列规定填写：</w:t>
      </w:r>
    </w:p>
    <w:p w14:paraId="650C1127">
      <w:pPr>
        <w:pStyle w:val="27"/>
        <w:widowControl/>
        <w:rPr>
          <w:color w:val="auto"/>
        </w:rPr>
      </w:pPr>
      <w:r>
        <w:rPr>
          <w:rFonts w:hint="eastAsia" w:ascii="宋体" w:hAnsi="宋体" w:eastAsia="宋体" w:cs="宋体"/>
          <w:color w:val="auto"/>
          <w:sz w:val="21"/>
          <w:szCs w:val="21"/>
        </w:rPr>
        <w:t>1.1“技术和服务要求”项下填写的内容应与招标文件第五章“技术和服务要求”的内容保持一致。</w:t>
      </w:r>
    </w:p>
    <w:p w14:paraId="6501D40A">
      <w:pPr>
        <w:pStyle w:val="27"/>
        <w:widowControl/>
        <w:rPr>
          <w:color w:val="auto"/>
        </w:rPr>
      </w:pPr>
      <w:r>
        <w:rPr>
          <w:rFonts w:hint="eastAsia" w:ascii="宋体" w:hAnsi="宋体" w:eastAsia="宋体" w:cs="宋体"/>
          <w:color w:val="auto"/>
          <w:sz w:val="21"/>
          <w:szCs w:val="21"/>
        </w:rPr>
        <w:t>1.2“投标响应”项下应填写具体的响应内容并与“技术和服务要求”项下填写的内容逐项对应；对“技术和服务要求”项下涉及“≥或＞”、“≤或＜”及某个区间值范围内的内容，应填写具体的数值。</w:t>
      </w:r>
    </w:p>
    <w:p w14:paraId="35EB6BBC">
      <w:pPr>
        <w:pStyle w:val="27"/>
        <w:widowControl/>
        <w:rPr>
          <w:color w:val="auto"/>
        </w:rPr>
      </w:pPr>
      <w:r>
        <w:rPr>
          <w:rFonts w:hint="eastAsia" w:ascii="宋体" w:hAnsi="宋体" w:eastAsia="宋体" w:cs="宋体"/>
          <w:color w:val="auto"/>
          <w:sz w:val="21"/>
          <w:szCs w:val="21"/>
        </w:rPr>
        <w:t>1.3“是否偏离及说明”项下应按下列规定填写：优于的，填写“正偏离”；符合的，填写“无偏离”；低于的，填写“负偏离”。</w:t>
      </w:r>
    </w:p>
    <w:p w14:paraId="3E7D0E70">
      <w:pPr>
        <w:pStyle w:val="27"/>
        <w:widowControl/>
        <w:rPr>
          <w:color w:val="auto"/>
        </w:rPr>
      </w:pPr>
      <w:r>
        <w:rPr>
          <w:rFonts w:hint="eastAsia" w:ascii="宋体" w:hAnsi="宋体" w:eastAsia="宋体" w:cs="宋体"/>
          <w:color w:val="auto"/>
          <w:sz w:val="21"/>
          <w:szCs w:val="21"/>
        </w:rPr>
        <w:t>2、投标人需要说明的内容若需特殊表达，应先在本表中进行相应说明，再    另页应答，否则</w:t>
      </w:r>
      <w:r>
        <w:rPr>
          <w:rStyle w:val="32"/>
          <w:rFonts w:hint="eastAsia" w:ascii="宋体" w:hAnsi="宋体" w:eastAsia="宋体" w:cs="宋体"/>
          <w:color w:val="auto"/>
          <w:sz w:val="21"/>
          <w:szCs w:val="21"/>
        </w:rPr>
        <w:t>投标无效</w:t>
      </w:r>
      <w:r>
        <w:rPr>
          <w:rFonts w:hint="eastAsia" w:ascii="宋体" w:hAnsi="宋体" w:eastAsia="宋体" w:cs="宋体"/>
          <w:color w:val="auto"/>
          <w:sz w:val="21"/>
          <w:szCs w:val="21"/>
        </w:rPr>
        <w:t>。</w:t>
      </w:r>
    </w:p>
    <w:p w14:paraId="25A92980">
      <w:pPr>
        <w:pStyle w:val="27"/>
        <w:widowControl/>
        <w:rPr>
          <w:color w:val="auto"/>
        </w:rPr>
      </w:pPr>
      <w:r>
        <w:rPr>
          <w:rFonts w:hint="eastAsia" w:ascii="宋体" w:hAnsi="宋体" w:eastAsia="宋体" w:cs="宋体"/>
          <w:color w:val="auto"/>
          <w:sz w:val="21"/>
          <w:szCs w:val="21"/>
        </w:rPr>
        <w:t>3、纸质投标文件正本中的本表应为原件。</w:t>
      </w:r>
    </w:p>
    <w:p w14:paraId="1C42C095">
      <w:pPr>
        <w:pStyle w:val="27"/>
        <w:widowControl/>
        <w:rPr>
          <w:color w:val="auto"/>
        </w:rPr>
      </w:pPr>
      <w:r>
        <w:rPr>
          <w:rFonts w:hint="eastAsia" w:ascii="宋体" w:hAnsi="宋体" w:eastAsia="宋体" w:cs="宋体"/>
          <w:color w:val="auto"/>
          <w:sz w:val="21"/>
          <w:szCs w:val="21"/>
        </w:rPr>
        <w:t> </w:t>
      </w:r>
    </w:p>
    <w:p w14:paraId="00C4E058">
      <w:pPr>
        <w:pStyle w:val="27"/>
        <w:widowControl/>
        <w:rPr>
          <w:color w:val="auto"/>
        </w:rPr>
      </w:pPr>
      <w:r>
        <w:rPr>
          <w:rFonts w:hint="eastAsia" w:ascii="宋体" w:hAnsi="宋体" w:eastAsia="宋体" w:cs="宋体"/>
          <w:color w:val="auto"/>
          <w:sz w:val="21"/>
          <w:szCs w:val="21"/>
        </w:rPr>
        <w:t> </w:t>
      </w:r>
    </w:p>
    <w:p w14:paraId="72204ECD">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29A6E200">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335BF4BE">
      <w:pPr>
        <w:pStyle w:val="27"/>
        <w:widowControl/>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1385BC5F">
      <w:pPr>
        <w:pStyle w:val="27"/>
        <w:widowControl/>
        <w:rPr>
          <w:color w:val="auto"/>
        </w:rPr>
      </w:pPr>
      <w:r>
        <w:rPr>
          <w:rFonts w:hint="eastAsia" w:ascii="宋体" w:hAnsi="宋体" w:eastAsia="宋体" w:cs="宋体"/>
          <w:color w:val="auto"/>
          <w:sz w:val="21"/>
          <w:szCs w:val="21"/>
        </w:rPr>
        <w:t> </w:t>
      </w:r>
    </w:p>
    <w:p w14:paraId="2C5CFABB">
      <w:pPr>
        <w:pStyle w:val="27"/>
        <w:widowControl/>
        <w:rPr>
          <w:color w:val="auto"/>
        </w:rPr>
      </w:pPr>
      <w:r>
        <w:rPr>
          <w:rFonts w:hint="eastAsia" w:ascii="宋体" w:hAnsi="宋体" w:eastAsia="宋体" w:cs="宋体"/>
          <w:color w:val="auto"/>
          <w:sz w:val="21"/>
          <w:szCs w:val="21"/>
        </w:rPr>
        <w:t> </w:t>
      </w:r>
    </w:p>
    <w:p w14:paraId="2556DF01">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115C767B">
      <w:pPr>
        <w:pStyle w:val="27"/>
        <w:widowControl/>
        <w:jc w:val="center"/>
        <w:outlineLvl w:val="1"/>
        <w:rPr>
          <w:color w:val="auto"/>
        </w:rPr>
      </w:pPr>
      <w:r>
        <w:rPr>
          <w:rStyle w:val="32"/>
          <w:rFonts w:hint="eastAsia" w:ascii="宋体" w:hAnsi="宋体" w:eastAsia="宋体" w:cs="宋体"/>
          <w:color w:val="auto"/>
          <w:sz w:val="21"/>
          <w:szCs w:val="21"/>
        </w:rPr>
        <w:t>三、商务条件响应表</w:t>
      </w:r>
    </w:p>
    <w:p w14:paraId="1BFA7F63">
      <w:pPr>
        <w:pStyle w:val="27"/>
        <w:widowControl/>
        <w:rPr>
          <w:color w:val="auto"/>
        </w:rPr>
      </w:pPr>
      <w:r>
        <w:rPr>
          <w:rFonts w:hint="eastAsia" w:ascii="宋体" w:hAnsi="宋体" w:eastAsia="宋体" w:cs="宋体"/>
          <w:color w:val="auto"/>
          <w:sz w:val="21"/>
          <w:szCs w:val="21"/>
        </w:rPr>
        <w:t> </w:t>
      </w:r>
    </w:p>
    <w:p w14:paraId="54D05EBE">
      <w:pPr>
        <w:pStyle w:val="27"/>
        <w:widowControl/>
        <w:rPr>
          <w:color w:val="auto"/>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w:t>
      </w:r>
    </w:p>
    <w:tbl>
      <w:tblPr>
        <w:tblStyle w:val="30"/>
        <w:tblW w:w="8518" w:type="dxa"/>
        <w:tblCellSpacing w:w="15"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89"/>
        <w:gridCol w:w="875"/>
        <w:gridCol w:w="2927"/>
        <w:gridCol w:w="1834"/>
        <w:gridCol w:w="1893"/>
      </w:tblGrid>
      <w:tr w14:paraId="4222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4" w:type="dxa"/>
            <w:shd w:val="clear" w:color="auto" w:fill="auto"/>
            <w:tcMar>
              <w:top w:w="0" w:type="dxa"/>
              <w:left w:w="105" w:type="dxa"/>
              <w:bottom w:w="0" w:type="dxa"/>
              <w:right w:w="105" w:type="dxa"/>
            </w:tcMar>
            <w:vAlign w:val="center"/>
          </w:tcPr>
          <w:p w14:paraId="6BE6E502">
            <w:pPr>
              <w:pStyle w:val="27"/>
              <w:widowControl/>
              <w:jc w:val="center"/>
              <w:rPr>
                <w:color w:val="auto"/>
              </w:rPr>
            </w:pPr>
            <w:r>
              <w:rPr>
                <w:rFonts w:hint="eastAsia" w:ascii="宋体" w:hAnsi="宋体" w:eastAsia="宋体" w:cs="宋体"/>
                <w:color w:val="auto"/>
                <w:sz w:val="21"/>
                <w:szCs w:val="21"/>
              </w:rPr>
              <w:t>合同包</w:t>
            </w:r>
          </w:p>
        </w:tc>
        <w:tc>
          <w:tcPr>
            <w:tcW w:w="845" w:type="dxa"/>
            <w:shd w:val="clear" w:color="auto" w:fill="auto"/>
            <w:tcMar>
              <w:top w:w="0" w:type="dxa"/>
              <w:left w:w="105" w:type="dxa"/>
              <w:bottom w:w="0" w:type="dxa"/>
              <w:right w:w="105" w:type="dxa"/>
            </w:tcMar>
            <w:vAlign w:val="center"/>
          </w:tcPr>
          <w:p w14:paraId="419A4E78">
            <w:pPr>
              <w:pStyle w:val="27"/>
              <w:widowControl/>
              <w:jc w:val="center"/>
              <w:rPr>
                <w:color w:val="auto"/>
              </w:rPr>
            </w:pPr>
            <w:r>
              <w:rPr>
                <w:rFonts w:hint="eastAsia" w:ascii="宋体" w:hAnsi="宋体" w:eastAsia="宋体" w:cs="宋体"/>
                <w:color w:val="auto"/>
                <w:sz w:val="21"/>
                <w:szCs w:val="21"/>
              </w:rPr>
              <w:t>品目号</w:t>
            </w:r>
          </w:p>
        </w:tc>
        <w:tc>
          <w:tcPr>
            <w:tcW w:w="2897" w:type="dxa"/>
            <w:shd w:val="clear" w:color="auto" w:fill="auto"/>
            <w:tcMar>
              <w:top w:w="0" w:type="dxa"/>
              <w:left w:w="105" w:type="dxa"/>
              <w:bottom w:w="0" w:type="dxa"/>
              <w:right w:w="105" w:type="dxa"/>
            </w:tcMar>
            <w:vAlign w:val="center"/>
          </w:tcPr>
          <w:p w14:paraId="07D115E9">
            <w:pPr>
              <w:pStyle w:val="27"/>
              <w:widowControl/>
              <w:jc w:val="center"/>
              <w:rPr>
                <w:color w:val="auto"/>
              </w:rPr>
            </w:pPr>
            <w:r>
              <w:rPr>
                <w:rFonts w:hint="eastAsia" w:ascii="宋体" w:hAnsi="宋体" w:eastAsia="宋体" w:cs="宋体"/>
                <w:color w:val="auto"/>
                <w:sz w:val="21"/>
                <w:szCs w:val="21"/>
              </w:rPr>
              <w:t>商务条件</w:t>
            </w:r>
          </w:p>
        </w:tc>
        <w:tc>
          <w:tcPr>
            <w:tcW w:w="1804" w:type="dxa"/>
            <w:shd w:val="clear" w:color="auto" w:fill="auto"/>
            <w:tcMar>
              <w:top w:w="0" w:type="dxa"/>
              <w:left w:w="105" w:type="dxa"/>
              <w:bottom w:w="0" w:type="dxa"/>
              <w:right w:w="105" w:type="dxa"/>
            </w:tcMar>
            <w:vAlign w:val="center"/>
          </w:tcPr>
          <w:p w14:paraId="5EBF2D99">
            <w:pPr>
              <w:pStyle w:val="27"/>
              <w:widowControl/>
              <w:jc w:val="center"/>
              <w:rPr>
                <w:color w:val="auto"/>
              </w:rPr>
            </w:pPr>
            <w:r>
              <w:rPr>
                <w:rFonts w:hint="eastAsia" w:ascii="宋体" w:hAnsi="宋体" w:eastAsia="宋体" w:cs="宋体"/>
                <w:color w:val="auto"/>
                <w:sz w:val="21"/>
                <w:szCs w:val="21"/>
              </w:rPr>
              <w:t>投标响应</w:t>
            </w:r>
          </w:p>
        </w:tc>
        <w:tc>
          <w:tcPr>
            <w:tcW w:w="1848" w:type="dxa"/>
            <w:shd w:val="clear" w:color="auto" w:fill="auto"/>
            <w:tcMar>
              <w:top w:w="0" w:type="dxa"/>
              <w:left w:w="105" w:type="dxa"/>
              <w:bottom w:w="0" w:type="dxa"/>
              <w:right w:w="105" w:type="dxa"/>
            </w:tcMar>
            <w:vAlign w:val="center"/>
          </w:tcPr>
          <w:p w14:paraId="538A2558">
            <w:pPr>
              <w:pStyle w:val="27"/>
              <w:widowControl/>
              <w:jc w:val="center"/>
              <w:rPr>
                <w:color w:val="auto"/>
              </w:rPr>
            </w:pPr>
            <w:r>
              <w:rPr>
                <w:rFonts w:hint="eastAsia" w:ascii="宋体" w:hAnsi="宋体" w:eastAsia="宋体" w:cs="宋体"/>
                <w:color w:val="auto"/>
                <w:sz w:val="21"/>
                <w:szCs w:val="21"/>
              </w:rPr>
              <w:t>是否偏离及说明</w:t>
            </w:r>
          </w:p>
        </w:tc>
      </w:tr>
      <w:tr w14:paraId="261A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4" w:type="dxa"/>
            <w:vMerge w:val="restart"/>
            <w:shd w:val="clear" w:color="auto" w:fill="auto"/>
            <w:tcMar>
              <w:top w:w="0" w:type="dxa"/>
              <w:left w:w="105" w:type="dxa"/>
              <w:bottom w:w="0" w:type="dxa"/>
              <w:right w:w="105" w:type="dxa"/>
            </w:tcMar>
            <w:vAlign w:val="center"/>
          </w:tcPr>
          <w:p w14:paraId="50F4B412">
            <w:pPr>
              <w:pStyle w:val="27"/>
              <w:widowControl/>
              <w:jc w:val="center"/>
              <w:rPr>
                <w:color w:val="auto"/>
              </w:rPr>
            </w:pPr>
            <w:r>
              <w:rPr>
                <w:rFonts w:hint="eastAsia" w:ascii="宋体" w:hAnsi="宋体" w:eastAsia="宋体" w:cs="宋体"/>
                <w:color w:val="auto"/>
                <w:sz w:val="21"/>
                <w:szCs w:val="21"/>
              </w:rPr>
              <w:t>*</w:t>
            </w:r>
          </w:p>
        </w:tc>
        <w:tc>
          <w:tcPr>
            <w:tcW w:w="845" w:type="dxa"/>
            <w:shd w:val="clear" w:color="auto" w:fill="auto"/>
            <w:tcMar>
              <w:top w:w="0" w:type="dxa"/>
              <w:left w:w="105" w:type="dxa"/>
              <w:bottom w:w="0" w:type="dxa"/>
              <w:right w:w="105" w:type="dxa"/>
            </w:tcMar>
            <w:vAlign w:val="center"/>
          </w:tcPr>
          <w:p w14:paraId="0CB9F657">
            <w:pPr>
              <w:pStyle w:val="27"/>
              <w:widowControl/>
              <w:jc w:val="center"/>
              <w:rPr>
                <w:color w:val="auto"/>
              </w:rPr>
            </w:pPr>
            <w:r>
              <w:rPr>
                <w:rFonts w:hint="eastAsia" w:ascii="宋体" w:hAnsi="宋体" w:eastAsia="宋体" w:cs="宋体"/>
                <w:color w:val="auto"/>
                <w:sz w:val="21"/>
                <w:szCs w:val="21"/>
              </w:rPr>
              <w:t>*-1</w:t>
            </w:r>
          </w:p>
        </w:tc>
        <w:tc>
          <w:tcPr>
            <w:tcW w:w="2897" w:type="dxa"/>
            <w:shd w:val="clear" w:color="auto" w:fill="auto"/>
            <w:tcMar>
              <w:top w:w="0" w:type="dxa"/>
              <w:left w:w="105" w:type="dxa"/>
              <w:bottom w:w="0" w:type="dxa"/>
              <w:right w:w="105" w:type="dxa"/>
            </w:tcMar>
          </w:tcPr>
          <w:p w14:paraId="6FA80618">
            <w:pPr>
              <w:widowControl/>
              <w:jc w:val="left"/>
              <w:rPr>
                <w:color w:val="auto"/>
              </w:rPr>
            </w:pPr>
          </w:p>
        </w:tc>
        <w:tc>
          <w:tcPr>
            <w:tcW w:w="1804" w:type="dxa"/>
            <w:shd w:val="clear" w:color="auto" w:fill="auto"/>
            <w:tcMar>
              <w:top w:w="0" w:type="dxa"/>
              <w:left w:w="105" w:type="dxa"/>
              <w:bottom w:w="0" w:type="dxa"/>
              <w:right w:w="105" w:type="dxa"/>
            </w:tcMar>
          </w:tcPr>
          <w:p w14:paraId="51FB6466">
            <w:pPr>
              <w:widowControl/>
              <w:jc w:val="left"/>
              <w:rPr>
                <w:color w:val="auto"/>
              </w:rPr>
            </w:pPr>
          </w:p>
        </w:tc>
        <w:tc>
          <w:tcPr>
            <w:tcW w:w="1848" w:type="dxa"/>
            <w:shd w:val="clear" w:color="auto" w:fill="auto"/>
            <w:tcMar>
              <w:top w:w="0" w:type="dxa"/>
              <w:left w:w="105" w:type="dxa"/>
              <w:bottom w:w="0" w:type="dxa"/>
              <w:right w:w="105" w:type="dxa"/>
            </w:tcMar>
          </w:tcPr>
          <w:p w14:paraId="28B1438B">
            <w:pPr>
              <w:widowControl/>
              <w:jc w:val="left"/>
              <w:rPr>
                <w:color w:val="auto"/>
              </w:rPr>
            </w:pPr>
          </w:p>
        </w:tc>
      </w:tr>
      <w:tr w14:paraId="5372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4" w:type="dxa"/>
            <w:vMerge w:val="continue"/>
            <w:shd w:val="clear" w:color="auto" w:fill="auto"/>
            <w:tcMar>
              <w:top w:w="0" w:type="dxa"/>
              <w:left w:w="105" w:type="dxa"/>
              <w:bottom w:w="0" w:type="dxa"/>
              <w:right w:w="105" w:type="dxa"/>
            </w:tcMar>
            <w:vAlign w:val="center"/>
          </w:tcPr>
          <w:p w14:paraId="2A938BDE">
            <w:pPr>
              <w:rPr>
                <w:rFonts w:ascii="宋体"/>
                <w:color w:val="auto"/>
                <w:sz w:val="24"/>
              </w:rPr>
            </w:pPr>
          </w:p>
        </w:tc>
        <w:tc>
          <w:tcPr>
            <w:tcW w:w="845" w:type="dxa"/>
            <w:shd w:val="clear" w:color="auto" w:fill="auto"/>
            <w:tcMar>
              <w:top w:w="0" w:type="dxa"/>
              <w:left w:w="105" w:type="dxa"/>
              <w:bottom w:w="0" w:type="dxa"/>
              <w:right w:w="105" w:type="dxa"/>
            </w:tcMar>
            <w:vAlign w:val="center"/>
          </w:tcPr>
          <w:p w14:paraId="395BDC90">
            <w:pPr>
              <w:pStyle w:val="27"/>
              <w:widowControl/>
              <w:jc w:val="center"/>
              <w:rPr>
                <w:color w:val="auto"/>
              </w:rPr>
            </w:pPr>
            <w:r>
              <w:rPr>
                <w:rFonts w:ascii="Calibri" w:hAnsi="Calibri" w:cs="Calibri"/>
                <w:color w:val="auto"/>
                <w:sz w:val="21"/>
                <w:szCs w:val="21"/>
              </w:rPr>
              <w:t>…</w:t>
            </w:r>
          </w:p>
        </w:tc>
        <w:tc>
          <w:tcPr>
            <w:tcW w:w="2897" w:type="dxa"/>
            <w:shd w:val="clear" w:color="auto" w:fill="auto"/>
            <w:tcMar>
              <w:top w:w="0" w:type="dxa"/>
              <w:left w:w="105" w:type="dxa"/>
              <w:bottom w:w="0" w:type="dxa"/>
              <w:right w:w="105" w:type="dxa"/>
            </w:tcMar>
          </w:tcPr>
          <w:p w14:paraId="717B776A">
            <w:pPr>
              <w:widowControl/>
              <w:jc w:val="left"/>
              <w:rPr>
                <w:color w:val="auto"/>
              </w:rPr>
            </w:pPr>
          </w:p>
        </w:tc>
        <w:tc>
          <w:tcPr>
            <w:tcW w:w="1804" w:type="dxa"/>
            <w:shd w:val="clear" w:color="auto" w:fill="auto"/>
            <w:tcMar>
              <w:top w:w="0" w:type="dxa"/>
              <w:left w:w="105" w:type="dxa"/>
              <w:bottom w:w="0" w:type="dxa"/>
              <w:right w:w="105" w:type="dxa"/>
            </w:tcMar>
          </w:tcPr>
          <w:p w14:paraId="595B77DF">
            <w:pPr>
              <w:widowControl/>
              <w:jc w:val="left"/>
              <w:rPr>
                <w:color w:val="auto"/>
              </w:rPr>
            </w:pPr>
          </w:p>
        </w:tc>
        <w:tc>
          <w:tcPr>
            <w:tcW w:w="1848" w:type="dxa"/>
            <w:shd w:val="clear" w:color="auto" w:fill="auto"/>
            <w:tcMar>
              <w:top w:w="0" w:type="dxa"/>
              <w:left w:w="105" w:type="dxa"/>
              <w:bottom w:w="0" w:type="dxa"/>
              <w:right w:w="105" w:type="dxa"/>
            </w:tcMar>
          </w:tcPr>
          <w:p w14:paraId="0B26DFEC">
            <w:pPr>
              <w:widowControl/>
              <w:jc w:val="left"/>
              <w:rPr>
                <w:color w:val="auto"/>
              </w:rPr>
            </w:pPr>
          </w:p>
        </w:tc>
      </w:tr>
      <w:tr w14:paraId="3C6F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4" w:type="dxa"/>
            <w:shd w:val="clear" w:color="auto" w:fill="auto"/>
            <w:tcMar>
              <w:top w:w="0" w:type="dxa"/>
              <w:left w:w="105" w:type="dxa"/>
              <w:bottom w:w="0" w:type="dxa"/>
              <w:right w:w="105" w:type="dxa"/>
            </w:tcMar>
            <w:vAlign w:val="center"/>
          </w:tcPr>
          <w:p w14:paraId="6985FB91">
            <w:pPr>
              <w:pStyle w:val="27"/>
              <w:widowControl/>
              <w:jc w:val="center"/>
              <w:rPr>
                <w:color w:val="auto"/>
              </w:rPr>
            </w:pPr>
            <w:r>
              <w:rPr>
                <w:rFonts w:ascii="Calibri" w:hAnsi="Calibri" w:cs="Calibri"/>
                <w:color w:val="auto"/>
                <w:sz w:val="21"/>
                <w:szCs w:val="21"/>
              </w:rPr>
              <w:t>…</w:t>
            </w:r>
          </w:p>
        </w:tc>
        <w:tc>
          <w:tcPr>
            <w:tcW w:w="845" w:type="dxa"/>
            <w:shd w:val="clear" w:color="auto" w:fill="auto"/>
            <w:tcMar>
              <w:top w:w="0" w:type="dxa"/>
              <w:left w:w="105" w:type="dxa"/>
              <w:bottom w:w="0" w:type="dxa"/>
              <w:right w:w="105" w:type="dxa"/>
            </w:tcMar>
            <w:vAlign w:val="center"/>
          </w:tcPr>
          <w:p w14:paraId="2D89E5FC">
            <w:pPr>
              <w:widowControl/>
              <w:jc w:val="left"/>
              <w:rPr>
                <w:color w:val="auto"/>
              </w:rPr>
            </w:pPr>
          </w:p>
        </w:tc>
        <w:tc>
          <w:tcPr>
            <w:tcW w:w="2897" w:type="dxa"/>
            <w:shd w:val="clear" w:color="auto" w:fill="auto"/>
            <w:tcMar>
              <w:top w:w="0" w:type="dxa"/>
              <w:left w:w="105" w:type="dxa"/>
              <w:bottom w:w="0" w:type="dxa"/>
              <w:right w:w="105" w:type="dxa"/>
            </w:tcMar>
            <w:vAlign w:val="center"/>
          </w:tcPr>
          <w:p w14:paraId="639BAB97">
            <w:pPr>
              <w:widowControl/>
              <w:jc w:val="left"/>
              <w:rPr>
                <w:color w:val="auto"/>
              </w:rPr>
            </w:pPr>
          </w:p>
        </w:tc>
        <w:tc>
          <w:tcPr>
            <w:tcW w:w="1804" w:type="dxa"/>
            <w:shd w:val="clear" w:color="auto" w:fill="auto"/>
            <w:tcMar>
              <w:top w:w="0" w:type="dxa"/>
              <w:left w:w="105" w:type="dxa"/>
              <w:bottom w:w="0" w:type="dxa"/>
              <w:right w:w="105" w:type="dxa"/>
            </w:tcMar>
            <w:vAlign w:val="center"/>
          </w:tcPr>
          <w:p w14:paraId="42CCE0A7">
            <w:pPr>
              <w:widowControl/>
              <w:jc w:val="left"/>
              <w:rPr>
                <w:color w:val="auto"/>
              </w:rPr>
            </w:pPr>
          </w:p>
        </w:tc>
        <w:tc>
          <w:tcPr>
            <w:tcW w:w="1848" w:type="dxa"/>
            <w:shd w:val="clear" w:color="auto" w:fill="auto"/>
            <w:tcMar>
              <w:top w:w="0" w:type="dxa"/>
              <w:left w:w="105" w:type="dxa"/>
              <w:bottom w:w="0" w:type="dxa"/>
              <w:right w:w="105" w:type="dxa"/>
            </w:tcMar>
            <w:vAlign w:val="center"/>
          </w:tcPr>
          <w:p w14:paraId="3D38DD39">
            <w:pPr>
              <w:widowControl/>
              <w:jc w:val="left"/>
              <w:rPr>
                <w:color w:val="auto"/>
              </w:rPr>
            </w:pPr>
          </w:p>
        </w:tc>
      </w:tr>
    </w:tbl>
    <w:p w14:paraId="1E0F37FE">
      <w:pPr>
        <w:pStyle w:val="27"/>
        <w:widowControl/>
        <w:rPr>
          <w:color w:val="auto"/>
        </w:rPr>
      </w:pPr>
      <w:r>
        <w:rPr>
          <w:rFonts w:hint="eastAsia" w:ascii="宋体" w:hAnsi="宋体" w:eastAsia="宋体" w:cs="宋体"/>
          <w:color w:val="auto"/>
          <w:sz w:val="21"/>
          <w:szCs w:val="21"/>
        </w:rPr>
        <w:t>★注意：</w:t>
      </w:r>
    </w:p>
    <w:p w14:paraId="15DD5A46">
      <w:pPr>
        <w:pStyle w:val="27"/>
        <w:widowControl/>
        <w:rPr>
          <w:color w:val="auto"/>
        </w:rPr>
      </w:pPr>
      <w:r>
        <w:rPr>
          <w:rFonts w:hint="eastAsia" w:ascii="宋体" w:hAnsi="宋体" w:eastAsia="宋体" w:cs="宋体"/>
          <w:color w:val="auto"/>
          <w:sz w:val="21"/>
          <w:szCs w:val="21"/>
        </w:rPr>
        <w:t>1、本表应按照下列规定填写：</w:t>
      </w:r>
    </w:p>
    <w:p w14:paraId="31A3A091">
      <w:pPr>
        <w:pStyle w:val="27"/>
        <w:widowControl/>
        <w:rPr>
          <w:color w:val="auto"/>
        </w:rPr>
      </w:pPr>
      <w:r>
        <w:rPr>
          <w:rFonts w:hint="eastAsia" w:ascii="宋体" w:hAnsi="宋体" w:eastAsia="宋体" w:cs="宋体"/>
          <w:color w:val="auto"/>
          <w:sz w:val="21"/>
          <w:szCs w:val="21"/>
        </w:rPr>
        <w:t>1.1“商务条件”项下填写的内容应与招标文件第五章“商务条件”的内容保持一致。</w:t>
      </w:r>
    </w:p>
    <w:p w14:paraId="43BB9013">
      <w:pPr>
        <w:pStyle w:val="27"/>
        <w:widowControl/>
        <w:rPr>
          <w:color w:val="auto"/>
        </w:rPr>
      </w:pPr>
      <w:r>
        <w:rPr>
          <w:rFonts w:hint="eastAsia" w:ascii="宋体" w:hAnsi="宋体" w:eastAsia="宋体" w:cs="宋体"/>
          <w:color w:val="auto"/>
          <w:sz w:val="21"/>
          <w:szCs w:val="21"/>
        </w:rPr>
        <w:t>1.2“投标响应”项下应填写具体的响应内容并与“商务条件”项下填写的内容逐项对应；对“商务条件”项下涉及“≥或＞”、“≤或＜”及某个区间值范围内的内容，应填写具体的数值。</w:t>
      </w:r>
    </w:p>
    <w:p w14:paraId="3965C12D">
      <w:pPr>
        <w:pStyle w:val="27"/>
        <w:widowControl/>
        <w:rPr>
          <w:color w:val="auto"/>
        </w:rPr>
      </w:pPr>
      <w:r>
        <w:rPr>
          <w:rFonts w:hint="eastAsia" w:ascii="宋体" w:hAnsi="宋体" w:eastAsia="宋体" w:cs="宋体"/>
          <w:color w:val="auto"/>
          <w:sz w:val="21"/>
          <w:szCs w:val="21"/>
        </w:rPr>
        <w:t>1.3“是否偏离及说明”项下应按下列规定填写：优于的，填写“正偏离”；符合的，填写“无偏离”；低于的，填写“负偏离”。</w:t>
      </w:r>
    </w:p>
    <w:p w14:paraId="353DBEE8">
      <w:pPr>
        <w:pStyle w:val="27"/>
        <w:widowControl/>
        <w:rPr>
          <w:color w:val="auto"/>
        </w:rPr>
      </w:pPr>
      <w:r>
        <w:rPr>
          <w:rFonts w:hint="eastAsia" w:ascii="宋体" w:hAnsi="宋体" w:eastAsia="宋体" w:cs="宋体"/>
          <w:color w:val="auto"/>
          <w:sz w:val="21"/>
          <w:szCs w:val="21"/>
        </w:rPr>
        <w:t>2、投标人需要说明的内容若需特殊表达，应先在本表中进行相应说明，再另页应答，否则</w:t>
      </w:r>
      <w:r>
        <w:rPr>
          <w:rStyle w:val="32"/>
          <w:rFonts w:hint="eastAsia" w:ascii="宋体" w:hAnsi="宋体" w:eastAsia="宋体" w:cs="宋体"/>
          <w:color w:val="auto"/>
          <w:sz w:val="21"/>
          <w:szCs w:val="21"/>
        </w:rPr>
        <w:t>投标无效</w:t>
      </w:r>
      <w:r>
        <w:rPr>
          <w:rFonts w:hint="eastAsia" w:ascii="宋体" w:hAnsi="宋体" w:eastAsia="宋体" w:cs="宋体"/>
          <w:color w:val="auto"/>
          <w:sz w:val="21"/>
          <w:szCs w:val="21"/>
        </w:rPr>
        <w:t>。</w:t>
      </w:r>
    </w:p>
    <w:p w14:paraId="1FA4EC58">
      <w:pPr>
        <w:pStyle w:val="27"/>
        <w:widowControl/>
        <w:rPr>
          <w:color w:val="auto"/>
        </w:rPr>
      </w:pPr>
      <w:r>
        <w:rPr>
          <w:rFonts w:hint="eastAsia" w:ascii="宋体" w:hAnsi="宋体" w:eastAsia="宋体" w:cs="宋体"/>
          <w:color w:val="auto"/>
          <w:sz w:val="21"/>
          <w:szCs w:val="21"/>
        </w:rPr>
        <w:t>3、纸质投标文件正本中的本表应为原件。</w:t>
      </w:r>
    </w:p>
    <w:p w14:paraId="6A083374">
      <w:pPr>
        <w:pStyle w:val="27"/>
        <w:widowControl/>
        <w:rPr>
          <w:color w:val="auto"/>
        </w:rPr>
      </w:pPr>
      <w:r>
        <w:rPr>
          <w:rFonts w:hint="eastAsia" w:ascii="宋体" w:hAnsi="宋体" w:eastAsia="宋体" w:cs="宋体"/>
          <w:color w:val="auto"/>
          <w:sz w:val="21"/>
          <w:szCs w:val="21"/>
        </w:rPr>
        <w:t> </w:t>
      </w:r>
    </w:p>
    <w:p w14:paraId="6D7E54EF">
      <w:pPr>
        <w:pStyle w:val="27"/>
        <w:widowControl/>
        <w:rPr>
          <w:color w:val="auto"/>
        </w:rPr>
      </w:pPr>
      <w:r>
        <w:rPr>
          <w:rFonts w:hint="eastAsia" w:ascii="宋体" w:hAnsi="宋体" w:eastAsia="宋体" w:cs="宋体"/>
          <w:color w:val="auto"/>
          <w:sz w:val="21"/>
          <w:szCs w:val="21"/>
        </w:rPr>
        <w:t> </w:t>
      </w:r>
    </w:p>
    <w:p w14:paraId="18A3DF65">
      <w:pPr>
        <w:pStyle w:val="27"/>
        <w:widowControl/>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14:paraId="2714A076">
      <w:pPr>
        <w:pStyle w:val="27"/>
        <w:widowControl/>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14:paraId="6144884E">
      <w:pPr>
        <w:pStyle w:val="27"/>
        <w:widowControl/>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14:paraId="769677F4">
      <w:pPr>
        <w:pStyle w:val="27"/>
        <w:widowControl/>
        <w:rPr>
          <w:color w:val="auto"/>
        </w:rPr>
      </w:pPr>
      <w:r>
        <w:rPr>
          <w:rFonts w:hint="eastAsia" w:ascii="宋体" w:hAnsi="宋体" w:eastAsia="宋体" w:cs="宋体"/>
          <w:color w:val="auto"/>
          <w:sz w:val="21"/>
          <w:szCs w:val="21"/>
        </w:rPr>
        <w:t> </w:t>
      </w:r>
    </w:p>
    <w:p w14:paraId="4BFD0555">
      <w:pPr>
        <w:pStyle w:val="27"/>
        <w:widowControl/>
        <w:rPr>
          <w:color w:val="auto"/>
        </w:rPr>
      </w:pPr>
      <w:r>
        <w:rPr>
          <w:rFonts w:hint="eastAsia" w:ascii="宋体" w:hAnsi="宋体" w:eastAsia="宋体" w:cs="宋体"/>
          <w:color w:val="auto"/>
          <w:sz w:val="21"/>
          <w:szCs w:val="21"/>
        </w:rPr>
        <w:t> </w:t>
      </w:r>
    </w:p>
    <w:p w14:paraId="1BCCEA9B">
      <w:pPr>
        <w:pStyle w:val="27"/>
        <w:widowControl/>
        <w:jc w:val="center"/>
        <w:rPr>
          <w:rStyle w:val="32"/>
          <w:rFonts w:ascii="宋体" w:hAnsi="宋体" w:eastAsia="宋体" w:cs="宋体"/>
          <w:color w:val="auto"/>
          <w:sz w:val="21"/>
          <w:szCs w:val="21"/>
        </w:rPr>
      </w:pPr>
      <w:r>
        <w:rPr>
          <w:rStyle w:val="32"/>
          <w:rFonts w:hint="eastAsia" w:ascii="宋体" w:hAnsi="宋体" w:eastAsia="宋体" w:cs="宋体"/>
          <w:color w:val="auto"/>
          <w:sz w:val="21"/>
          <w:szCs w:val="21"/>
        </w:rPr>
        <w:br w:type="page"/>
      </w:r>
    </w:p>
    <w:p w14:paraId="0949E342">
      <w:pPr>
        <w:pStyle w:val="27"/>
        <w:widowControl/>
        <w:jc w:val="center"/>
        <w:outlineLvl w:val="1"/>
        <w:rPr>
          <w:color w:val="auto"/>
        </w:rPr>
      </w:pPr>
      <w:r>
        <w:rPr>
          <w:rStyle w:val="32"/>
          <w:rFonts w:hint="eastAsia" w:ascii="宋体" w:hAnsi="宋体" w:eastAsia="宋体" w:cs="宋体"/>
          <w:color w:val="auto"/>
          <w:sz w:val="21"/>
          <w:szCs w:val="21"/>
        </w:rPr>
        <w:t>四、投标人提交的其他资料（若有）</w:t>
      </w:r>
    </w:p>
    <w:p w14:paraId="327FE3A3">
      <w:pPr>
        <w:pStyle w:val="27"/>
        <w:widowControl/>
        <w:rPr>
          <w:color w:val="auto"/>
        </w:rPr>
      </w:pPr>
      <w:r>
        <w:rPr>
          <w:rFonts w:hint="eastAsia" w:ascii="宋体" w:hAnsi="宋体" w:eastAsia="宋体" w:cs="宋体"/>
          <w:color w:val="auto"/>
          <w:sz w:val="21"/>
          <w:szCs w:val="21"/>
        </w:rPr>
        <w:t> </w:t>
      </w:r>
    </w:p>
    <w:p w14:paraId="33F04729">
      <w:pPr>
        <w:pStyle w:val="27"/>
        <w:widowControl/>
        <w:rPr>
          <w:color w:val="auto"/>
        </w:rPr>
      </w:pPr>
      <w:r>
        <w:rPr>
          <w:rFonts w:hint="eastAsia" w:ascii="宋体" w:hAnsi="宋体" w:eastAsia="宋体" w:cs="宋体"/>
          <w:color w:val="auto"/>
          <w:sz w:val="21"/>
          <w:szCs w:val="21"/>
        </w:rPr>
        <w:t> </w:t>
      </w:r>
    </w:p>
    <w:p w14:paraId="6A1A1FE0">
      <w:pPr>
        <w:pStyle w:val="27"/>
        <w:widowControl/>
        <w:jc w:val="center"/>
        <w:rPr>
          <w:color w:val="auto"/>
        </w:rPr>
      </w:pPr>
      <w:r>
        <w:rPr>
          <w:rFonts w:hint="eastAsia" w:ascii="宋体" w:hAnsi="宋体" w:eastAsia="宋体" w:cs="宋体"/>
          <w:color w:val="auto"/>
          <w:sz w:val="21"/>
          <w:szCs w:val="21"/>
        </w:rPr>
        <w:t>编制说明</w:t>
      </w:r>
    </w:p>
    <w:p w14:paraId="33740185">
      <w:pPr>
        <w:pStyle w:val="27"/>
        <w:widowControl/>
        <w:rPr>
          <w:color w:val="auto"/>
        </w:rPr>
      </w:pPr>
      <w:r>
        <w:rPr>
          <w:rFonts w:hint="eastAsia" w:ascii="宋体" w:hAnsi="宋体" w:eastAsia="宋体" w:cs="宋体"/>
          <w:color w:val="auto"/>
          <w:sz w:val="21"/>
          <w:szCs w:val="21"/>
        </w:rPr>
        <w:t> </w:t>
      </w:r>
    </w:p>
    <w:p w14:paraId="6710E54A">
      <w:pPr>
        <w:pStyle w:val="27"/>
        <w:widowControl/>
        <w:rPr>
          <w:color w:val="auto"/>
        </w:rPr>
      </w:pPr>
      <w:r>
        <w:rPr>
          <w:rFonts w:hint="eastAsia" w:ascii="宋体" w:hAnsi="宋体" w:eastAsia="宋体" w:cs="宋体"/>
          <w:color w:val="auto"/>
          <w:sz w:val="21"/>
          <w:szCs w:val="21"/>
        </w:rPr>
        <w:t>1、招标文件要求提交的除</w:t>
      </w:r>
      <w:r>
        <w:rPr>
          <w:rStyle w:val="32"/>
          <w:rFonts w:hint="eastAsia" w:ascii="宋体" w:hAnsi="宋体" w:eastAsia="宋体" w:cs="宋体"/>
          <w:color w:val="auto"/>
          <w:sz w:val="21"/>
          <w:szCs w:val="21"/>
        </w:rPr>
        <w:t>“资格及资信证明部分”、“报价部分”</w:t>
      </w:r>
      <w:r>
        <w:rPr>
          <w:rFonts w:hint="eastAsia" w:ascii="宋体" w:hAnsi="宋体" w:eastAsia="宋体" w:cs="宋体"/>
          <w:color w:val="auto"/>
          <w:sz w:val="21"/>
          <w:szCs w:val="21"/>
        </w:rPr>
        <w:t>外的其他证明材料或资料加盖投标人的单位公章后应在此项下提交。</w:t>
      </w:r>
    </w:p>
    <w:p w14:paraId="631B346E">
      <w:pPr>
        <w:pStyle w:val="27"/>
        <w:widowControl/>
        <w:rPr>
          <w:color w:val="auto"/>
        </w:rPr>
      </w:pPr>
      <w:r>
        <w:rPr>
          <w:rFonts w:hint="eastAsia" w:ascii="宋体" w:hAnsi="宋体" w:eastAsia="宋体" w:cs="宋体"/>
          <w:color w:val="auto"/>
          <w:sz w:val="21"/>
          <w:szCs w:val="21"/>
        </w:rPr>
        <w:t>2、招标文件要求投标人提供方案（包括但不限于：组织、实施、技术、服务方案等）的，投标人应在此项下提交。</w:t>
      </w:r>
    </w:p>
    <w:p w14:paraId="499D3D55">
      <w:pPr>
        <w:pStyle w:val="27"/>
        <w:widowControl/>
        <w:rPr>
          <w:color w:val="auto"/>
        </w:rPr>
      </w:pPr>
      <w:r>
        <w:rPr>
          <w:rFonts w:hint="eastAsia" w:ascii="宋体" w:hAnsi="宋体" w:eastAsia="宋体" w:cs="宋体"/>
          <w:color w:val="auto"/>
          <w:sz w:val="21"/>
          <w:szCs w:val="21"/>
        </w:rPr>
        <w:t>3、除招标文件另有规定外，投标人认为需要提交的其他证明材料或资料加盖投标人的单位公章后应在此项下提交。</w:t>
      </w:r>
    </w:p>
    <w:p w14:paraId="0EFFD2F6">
      <w:pPr>
        <w:pStyle w:val="27"/>
        <w:widowControl/>
        <w:rPr>
          <w:color w:val="auto"/>
        </w:rPr>
      </w:pPr>
      <w:r>
        <w:rPr>
          <w:rFonts w:hint="eastAsia" w:ascii="宋体" w:hAnsi="宋体" w:eastAsia="宋体" w:cs="宋体"/>
          <w:color w:val="auto"/>
          <w:sz w:val="21"/>
          <w:szCs w:val="21"/>
        </w:rPr>
        <w:t> </w:t>
      </w:r>
    </w:p>
    <w:p w14:paraId="4017ADB9">
      <w:pPr>
        <w:pStyle w:val="27"/>
        <w:widowControl/>
        <w:rPr>
          <w:color w:val="auto"/>
        </w:rPr>
      </w:pPr>
      <w:r>
        <w:rPr>
          <w:rFonts w:hint="eastAsia" w:ascii="宋体" w:hAnsi="宋体" w:eastAsia="宋体" w:cs="宋体"/>
          <w:color w:val="auto"/>
          <w:sz w:val="21"/>
          <w:szCs w:val="21"/>
        </w:rPr>
        <w:t> </w:t>
      </w:r>
    </w:p>
    <w:p w14:paraId="2ED263BE">
      <w:pPr>
        <w:pStyle w:val="27"/>
        <w:widowControl/>
        <w:spacing w:before="75" w:beforeAutospacing="0" w:after="75" w:afterAutospacing="0"/>
        <w:rPr>
          <w:color w:val="auto"/>
        </w:rPr>
      </w:pPr>
      <w:r>
        <w:rPr>
          <w:rFonts w:hint="eastAsia" w:ascii="宋体" w:hAnsi="宋体" w:eastAsia="宋体" w:cs="宋体"/>
          <w:color w:val="auto"/>
          <w:sz w:val="21"/>
          <w:szCs w:val="21"/>
        </w:rPr>
        <w:t> </w:t>
      </w:r>
    </w:p>
    <w:p w14:paraId="06899307">
      <w:pPr>
        <w:pStyle w:val="5"/>
        <w:widowControl/>
        <w:rPr>
          <w:rFonts w:hint="default" w:ascii="微软雅黑" w:hAnsi="微软雅黑" w:eastAsia="微软雅黑" w:cs="微软雅黑"/>
          <w:color w:val="auto"/>
        </w:rPr>
      </w:pPr>
      <w:r>
        <w:rPr>
          <w:rFonts w:ascii="微软雅黑" w:hAnsi="微软雅黑" w:eastAsia="微软雅黑" w:cs="微软雅黑"/>
          <w:color w:val="auto"/>
        </w:rPr>
        <w:t>采购文件相关附件</w:t>
      </w:r>
    </w:p>
    <w:p w14:paraId="3D662EEC">
      <w:pPr>
        <w:rPr>
          <w:color w:val="auto"/>
        </w:rPr>
      </w:pPr>
    </w:p>
    <w:p w14:paraId="052A2941">
      <w:pPr>
        <w:rPr>
          <w:color w:val="auto"/>
        </w:rPr>
      </w:pPr>
    </w:p>
    <w:p w14:paraId="69A29271">
      <w:pPr>
        <w:rPr>
          <w:color w:val="auto"/>
        </w:rPr>
      </w:pPr>
    </w:p>
    <w:p w14:paraId="49F68FC0">
      <w:pPr>
        <w:rPr>
          <w:color w:val="auto"/>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166B">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1592C">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D0E4C">
                          <w:pPr>
                            <w:pStyle w:val="2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88D0E4C">
                    <w:pPr>
                      <w:pStyle w:val="2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699BD">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40E3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235</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2340E3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235</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11A1D">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0CD763"/>
    <w:multiLevelType w:val="singleLevel"/>
    <w:tmpl w:val="9E0CD763"/>
    <w:lvl w:ilvl="0" w:tentative="0">
      <w:start w:val="8"/>
      <w:numFmt w:val="decimal"/>
      <w:suff w:val="nothing"/>
      <w:lvlText w:val="%1、"/>
      <w:lvlJc w:val="left"/>
    </w:lvl>
  </w:abstractNum>
  <w:abstractNum w:abstractNumId="1">
    <w:nsid w:val="C198E6A3"/>
    <w:multiLevelType w:val="singleLevel"/>
    <w:tmpl w:val="C198E6A3"/>
    <w:lvl w:ilvl="0" w:tentative="0">
      <w:start w:val="1"/>
      <w:numFmt w:val="lowerLetter"/>
      <w:lvlText w:val="%1."/>
      <w:lvlJc w:val="left"/>
      <w:pPr>
        <w:ind w:left="425" w:hanging="425"/>
      </w:pPr>
      <w:rPr>
        <w:rFonts w:hint="default"/>
      </w:rPr>
    </w:lvl>
  </w:abstractNum>
  <w:abstractNum w:abstractNumId="2">
    <w:nsid w:val="CBAE2E5E"/>
    <w:multiLevelType w:val="singleLevel"/>
    <w:tmpl w:val="CBAE2E5E"/>
    <w:lvl w:ilvl="0" w:tentative="0">
      <w:start w:val="1"/>
      <w:numFmt w:val="bullet"/>
      <w:lvlText w:val=""/>
      <w:lvlJc w:val="left"/>
      <w:pPr>
        <w:tabs>
          <w:tab w:val="left" w:pos="-420"/>
        </w:tabs>
        <w:ind w:left="0" w:hanging="420"/>
      </w:pPr>
      <w:rPr>
        <w:rFonts w:hint="default" w:ascii="Wingdings" w:hAnsi="Wingdings"/>
      </w:rPr>
    </w:lvl>
  </w:abstractNum>
  <w:abstractNum w:abstractNumId="3">
    <w:nsid w:val="D6CD3130"/>
    <w:multiLevelType w:val="multilevel"/>
    <w:tmpl w:val="D6CD3130"/>
    <w:lvl w:ilvl="0" w:tentative="0">
      <w:start w:val="1"/>
      <w:numFmt w:val="decimal"/>
      <w:suff w:val="space"/>
      <w:lvlText w:val="第%1章"/>
      <w:lvlJc w:val="left"/>
      <w:pPr>
        <w:ind w:left="0" w:firstLine="0"/>
      </w:pPr>
      <w:rPr>
        <w:rFonts w:hint="eastAsia"/>
      </w:rPr>
    </w:lvl>
    <w:lvl w:ilvl="1" w:tentative="0">
      <w:start w:val="1"/>
      <w:numFmt w:val="decimal"/>
      <w:isLgl/>
      <w:suff w:val="space"/>
      <w:lvlText w:val="%1.%2"/>
      <w:lvlJc w:val="left"/>
      <w:pPr>
        <w:ind w:left="0" w:firstLine="0"/>
      </w:pPr>
      <w:rPr>
        <w:rFonts w:hint="eastAsia"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isLgl/>
      <w:suff w:val="space"/>
      <w:lvlText w:val="%1.%2.%3"/>
      <w:lvlJc w:val="left"/>
      <w:pPr>
        <w:ind w:left="0" w:firstLine="0"/>
      </w:pPr>
      <w:rPr>
        <w:rFonts w:hint="default"/>
        <w:b w:val="0"/>
        <w:bCs w:val="0"/>
        <w:i w:val="0"/>
        <w:iCs w:val="0"/>
        <w:caps w:val="0"/>
        <w:smallCaps w:val="0"/>
        <w:strike w:val="0"/>
        <w:dstrike w:val="0"/>
        <w:vanish w:val="0"/>
        <w:color w:val="000000"/>
        <w:spacing w:val="0"/>
        <w:kern w:val="0"/>
        <w:position w:val="0"/>
        <w:sz w:val="32"/>
        <w:szCs w:val="32"/>
        <w:u w:val="none"/>
        <w:vertAlign w:val="baseline"/>
        <w:lang w:bidi="zh-CN"/>
      </w:rPr>
    </w:lvl>
    <w:lvl w:ilvl="3" w:tentative="0">
      <w:start w:val="1"/>
      <w:numFmt w:val="decimal"/>
      <w:pStyle w:val="6"/>
      <w:isLgl/>
      <w:suff w:val="space"/>
      <w:lvlText w:val="%1.%2.%3.%4"/>
      <w:lvlJc w:val="left"/>
      <w:pPr>
        <w:ind w:left="0" w:firstLine="0"/>
      </w:pPr>
      <w:rPr>
        <w:rFonts w:hint="default"/>
        <w:b w:val="0"/>
        <w:bCs w:val="0"/>
        <w:i w:val="0"/>
        <w:iCs w:val="0"/>
        <w:caps w:val="0"/>
        <w:smallCaps w:val="0"/>
        <w:strike w:val="0"/>
        <w:dstrike w:val="0"/>
        <w:vanish w:val="0"/>
        <w:color w:val="000000"/>
        <w:spacing w:val="0"/>
        <w:position w:val="0"/>
        <w:sz w:val="30"/>
        <w:szCs w:val="30"/>
        <w:u w:val="none"/>
        <w:vertAlign w:val="baseline"/>
        <w:lang w:bidi="zh-CN"/>
      </w:rPr>
    </w:lvl>
    <w:lvl w:ilvl="4" w:tentative="0">
      <w:start w:val="1"/>
      <w:numFmt w:val="decimal"/>
      <w:pStyle w:val="7"/>
      <w:isLgl/>
      <w:suff w:val="space"/>
      <w:lvlText w:val="%1.%2.%3.%4.%5"/>
      <w:lvlJc w:val="left"/>
      <w:pPr>
        <w:ind w:left="0" w:firstLine="0"/>
      </w:pPr>
      <w:rPr>
        <w:rFonts w:hint="default"/>
        <w:b/>
        <w:bCs/>
        <w:i w:val="0"/>
        <w:iCs w:val="0"/>
        <w:caps w:val="0"/>
        <w:smallCaps w:val="0"/>
        <w:strike w:val="0"/>
        <w:dstrike w:val="0"/>
        <w:vanish w:val="0"/>
        <w:color w:val="000000"/>
        <w:spacing w:val="0"/>
        <w:position w:val="0"/>
        <w:u w:val="none"/>
        <w:vertAlign w:val="baseline"/>
        <w:lang w:bidi="zh-CN"/>
      </w:rPr>
    </w:lvl>
    <w:lvl w:ilvl="5" w:tentative="0">
      <w:start w:val="1"/>
      <w:numFmt w:val="decimal"/>
      <w:pStyle w:val="8"/>
      <w:isLgl/>
      <w:suff w:val="space"/>
      <w:lvlText w:val="%1.%2.%3.%4.%5.%6"/>
      <w:lvlJc w:val="left"/>
      <w:pPr>
        <w:ind w:left="0" w:firstLine="0"/>
      </w:pPr>
      <w:rPr>
        <w:rFonts w:hint="default" w:ascii="宋体" w:hAnsi="宋体" w:eastAsia="宋体"/>
        <w:b w:val="0"/>
        <w:bCs w:val="0"/>
        <w:i w:val="0"/>
        <w:iCs w:val="0"/>
        <w:caps w:val="0"/>
        <w:smallCaps w:val="0"/>
        <w:strike w:val="0"/>
        <w:dstrike w:val="0"/>
        <w:vanish w:val="0"/>
        <w:color w:val="000000"/>
        <w:spacing w:val="0"/>
        <w:position w:val="0"/>
        <w:u w:val="none"/>
        <w:vertAlign w:val="baseline"/>
        <w:lang w:bidi="zh-CN"/>
      </w:rPr>
    </w:lvl>
    <w:lvl w:ilvl="6" w:tentative="0">
      <w:start w:val="1"/>
      <w:numFmt w:val="decimal"/>
      <w:pStyle w:val="3"/>
      <w:isLgl/>
      <w:suff w:val="space"/>
      <w:lvlText w:val="%1.%2.%3.%4.%5.%6.%7"/>
      <w:lvlJc w:val="left"/>
      <w:rPr>
        <w:rFonts w:hint="default"/>
        <w:b w:val="0"/>
        <w:bCs w:val="0"/>
        <w:i w:val="0"/>
        <w:iCs w:val="0"/>
        <w:caps w:val="0"/>
        <w:smallCaps w:val="0"/>
        <w:strike w:val="0"/>
        <w:dstrike w:val="0"/>
        <w:vanish w:val="0"/>
        <w:color w:val="000000"/>
        <w:spacing w:val="0"/>
        <w:position w:val="0"/>
        <w:u w:val="none"/>
        <w:vertAlign w:val="baseline"/>
        <w:lang w:bidi="zh-CN"/>
        <w14:shadow w14:blurRad="0" w14:dist="0" w14:dir="0" w14:sx="0" w14:sy="0" w14:kx="0" w14:ky="0" w14:algn="none">
          <w14:srgbClr w14:val="000000"/>
        </w14:shadow>
      </w:rPr>
    </w:lvl>
    <w:lvl w:ilvl="7" w:tentative="0">
      <w:start w:val="1"/>
      <w:numFmt w:val="decimal"/>
      <w:pStyle w:val="9"/>
      <w:isLgl/>
      <w:suff w:val="space"/>
      <w:lvlText w:val="%1.%2.%3.%4.%5.%6.%7.%8"/>
      <w:lvlJc w:val="left"/>
      <w:pPr>
        <w:ind w:left="0" w:firstLine="0"/>
      </w:pPr>
      <w:rPr>
        <w:rFonts w:hint="eastAsia"/>
        <w:b w:val="0"/>
        <w:bCs w:val="0"/>
        <w:i w:val="0"/>
        <w:iCs w:val="0"/>
        <w:caps w:val="0"/>
        <w:smallCaps w:val="0"/>
        <w:strike w:val="0"/>
        <w:dstrike w:val="0"/>
        <w:vanish w:val="0"/>
        <w:color w:val="000000"/>
        <w:spacing w:val="0"/>
        <w:position w:val="0"/>
        <w:u w:val="none"/>
        <w:vertAlign w:val="baseline"/>
      </w:rPr>
    </w:lvl>
    <w:lvl w:ilvl="8" w:tentative="0">
      <w:start w:val="1"/>
      <w:numFmt w:val="decimal"/>
      <w:pStyle w:val="10"/>
      <w:isLgl/>
      <w:suff w:val="space"/>
      <w:lvlText w:val="%1.%2.%3.%4.%5.%6.%7.%8.%9"/>
      <w:lvlJc w:val="left"/>
      <w:pPr>
        <w:ind w:left="0" w:firstLine="0"/>
      </w:pPr>
      <w:rPr>
        <w:rFonts w:hint="eastAsia"/>
      </w:rPr>
    </w:lvl>
  </w:abstractNum>
  <w:abstractNum w:abstractNumId="4">
    <w:nsid w:val="DB86931E"/>
    <w:multiLevelType w:val="singleLevel"/>
    <w:tmpl w:val="DB86931E"/>
    <w:lvl w:ilvl="0" w:tentative="0">
      <w:start w:val="1"/>
      <w:numFmt w:val="decimal"/>
      <w:lvlText w:val="(%1)"/>
      <w:lvlJc w:val="left"/>
      <w:pPr>
        <w:tabs>
          <w:tab w:val="left" w:pos="312"/>
        </w:tabs>
      </w:pPr>
    </w:lvl>
  </w:abstractNum>
  <w:abstractNum w:abstractNumId="5">
    <w:nsid w:val="00AC7568"/>
    <w:multiLevelType w:val="multilevel"/>
    <w:tmpl w:val="00AC7568"/>
    <w:lvl w:ilvl="0" w:tentative="0">
      <w:start w:val="1"/>
      <w:numFmt w:val="decimal"/>
      <w:lvlText w:val="（%1）"/>
      <w:lvlJc w:val="left"/>
      <w:pPr>
        <w:ind w:left="861" w:hanging="420"/>
      </w:pPr>
      <w:rPr>
        <w:rFonts w:hint="default" w:ascii="Times New Roman" w:hAnsi="Times New Roman" w:eastAsia="宋体" w:cs="Times New Roman"/>
        <w:spacing w:val="0"/>
        <w:w w:val="100"/>
        <w:sz w:val="24"/>
        <w:szCs w:val="32"/>
      </w:rPr>
    </w:lvl>
    <w:lvl w:ilvl="1" w:tentative="0">
      <w:start w:val="1"/>
      <w:numFmt w:val="lowerLetter"/>
      <w:lvlText w:val="%2)"/>
      <w:lvlJc w:val="left"/>
      <w:pPr>
        <w:ind w:left="1281" w:hanging="420"/>
      </w:pPr>
    </w:lvl>
    <w:lvl w:ilvl="2" w:tentative="0">
      <w:start w:val="1"/>
      <w:numFmt w:val="lowerRoman"/>
      <w:lvlText w:val="%3."/>
      <w:lvlJc w:val="right"/>
      <w:pPr>
        <w:ind w:left="1701" w:hanging="420"/>
      </w:pPr>
    </w:lvl>
    <w:lvl w:ilvl="3" w:tentative="0">
      <w:start w:val="1"/>
      <w:numFmt w:val="decimal"/>
      <w:lvlText w:val="%4."/>
      <w:lvlJc w:val="left"/>
      <w:pPr>
        <w:ind w:left="2121" w:hanging="420"/>
      </w:pPr>
    </w:lvl>
    <w:lvl w:ilvl="4" w:tentative="0">
      <w:start w:val="1"/>
      <w:numFmt w:val="lowerLetter"/>
      <w:lvlText w:val="%5)"/>
      <w:lvlJc w:val="left"/>
      <w:pPr>
        <w:ind w:left="2541" w:hanging="420"/>
      </w:pPr>
    </w:lvl>
    <w:lvl w:ilvl="5" w:tentative="0">
      <w:start w:val="1"/>
      <w:numFmt w:val="lowerRoman"/>
      <w:lvlText w:val="%6."/>
      <w:lvlJc w:val="right"/>
      <w:pPr>
        <w:ind w:left="2961" w:hanging="420"/>
      </w:pPr>
    </w:lvl>
    <w:lvl w:ilvl="6" w:tentative="0">
      <w:start w:val="1"/>
      <w:numFmt w:val="decimal"/>
      <w:lvlText w:val="%7."/>
      <w:lvlJc w:val="left"/>
      <w:pPr>
        <w:ind w:left="3381" w:hanging="420"/>
      </w:pPr>
    </w:lvl>
    <w:lvl w:ilvl="7" w:tentative="0">
      <w:start w:val="1"/>
      <w:numFmt w:val="lowerLetter"/>
      <w:lvlText w:val="%8)"/>
      <w:lvlJc w:val="left"/>
      <w:pPr>
        <w:ind w:left="3801" w:hanging="420"/>
      </w:pPr>
    </w:lvl>
    <w:lvl w:ilvl="8" w:tentative="0">
      <w:start w:val="1"/>
      <w:numFmt w:val="lowerRoman"/>
      <w:lvlText w:val="%9."/>
      <w:lvlJc w:val="right"/>
      <w:pPr>
        <w:ind w:left="4221" w:hanging="420"/>
      </w:pPr>
    </w:lvl>
  </w:abstractNum>
  <w:abstractNum w:abstractNumId="6">
    <w:nsid w:val="0106643B"/>
    <w:multiLevelType w:val="multilevel"/>
    <w:tmpl w:val="0106643B"/>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08F5290B"/>
    <w:multiLevelType w:val="singleLevel"/>
    <w:tmpl w:val="08F5290B"/>
    <w:lvl w:ilvl="0" w:tentative="0">
      <w:start w:val="1"/>
      <w:numFmt w:val="decimal"/>
      <w:lvlText w:val="(%1)"/>
      <w:lvlJc w:val="left"/>
      <w:pPr>
        <w:ind w:left="425" w:hanging="425"/>
      </w:pPr>
      <w:rPr>
        <w:rFonts w:hint="default"/>
      </w:rPr>
    </w:lvl>
  </w:abstractNum>
  <w:abstractNum w:abstractNumId="8">
    <w:nsid w:val="0ED93C1F"/>
    <w:multiLevelType w:val="multilevel"/>
    <w:tmpl w:val="0ED93C1F"/>
    <w:lvl w:ilvl="0" w:tentative="0">
      <w:start w:val="1"/>
      <w:numFmt w:val="decimal"/>
      <w:lvlText w:val="%1."/>
      <w:lvlJc w:val="left"/>
      <w:pPr>
        <w:ind w:left="861" w:hanging="420"/>
      </w:pPr>
    </w:lvl>
    <w:lvl w:ilvl="1" w:tentative="0">
      <w:start w:val="1"/>
      <w:numFmt w:val="lowerLetter"/>
      <w:lvlText w:val="%2)"/>
      <w:lvlJc w:val="left"/>
      <w:pPr>
        <w:ind w:left="1281" w:hanging="420"/>
      </w:pPr>
    </w:lvl>
    <w:lvl w:ilvl="2" w:tentative="0">
      <w:start w:val="1"/>
      <w:numFmt w:val="lowerRoman"/>
      <w:lvlText w:val="%3."/>
      <w:lvlJc w:val="right"/>
      <w:pPr>
        <w:ind w:left="1701" w:hanging="420"/>
      </w:pPr>
    </w:lvl>
    <w:lvl w:ilvl="3" w:tentative="0">
      <w:start w:val="1"/>
      <w:numFmt w:val="decimal"/>
      <w:lvlText w:val="%4."/>
      <w:lvlJc w:val="left"/>
      <w:pPr>
        <w:ind w:left="2121" w:hanging="420"/>
      </w:pPr>
    </w:lvl>
    <w:lvl w:ilvl="4" w:tentative="0">
      <w:start w:val="1"/>
      <w:numFmt w:val="lowerLetter"/>
      <w:lvlText w:val="%5)"/>
      <w:lvlJc w:val="left"/>
      <w:pPr>
        <w:ind w:left="2541" w:hanging="420"/>
      </w:pPr>
    </w:lvl>
    <w:lvl w:ilvl="5" w:tentative="0">
      <w:start w:val="1"/>
      <w:numFmt w:val="lowerRoman"/>
      <w:lvlText w:val="%6."/>
      <w:lvlJc w:val="right"/>
      <w:pPr>
        <w:ind w:left="2961" w:hanging="420"/>
      </w:pPr>
    </w:lvl>
    <w:lvl w:ilvl="6" w:tentative="0">
      <w:start w:val="1"/>
      <w:numFmt w:val="decimal"/>
      <w:lvlText w:val="%7."/>
      <w:lvlJc w:val="left"/>
      <w:pPr>
        <w:ind w:left="3381" w:hanging="420"/>
      </w:pPr>
    </w:lvl>
    <w:lvl w:ilvl="7" w:tentative="0">
      <w:start w:val="1"/>
      <w:numFmt w:val="lowerLetter"/>
      <w:lvlText w:val="%8)"/>
      <w:lvlJc w:val="left"/>
      <w:pPr>
        <w:ind w:left="3801" w:hanging="420"/>
      </w:pPr>
    </w:lvl>
    <w:lvl w:ilvl="8" w:tentative="0">
      <w:start w:val="1"/>
      <w:numFmt w:val="lowerRoman"/>
      <w:lvlText w:val="%9."/>
      <w:lvlJc w:val="right"/>
      <w:pPr>
        <w:ind w:left="4221" w:hanging="420"/>
      </w:pPr>
    </w:lvl>
  </w:abstractNum>
  <w:abstractNum w:abstractNumId="9">
    <w:nsid w:val="0F2360A4"/>
    <w:multiLevelType w:val="multilevel"/>
    <w:tmpl w:val="0F2360A4"/>
    <w:lvl w:ilvl="0" w:tentative="0">
      <w:start w:val="1"/>
      <w:numFmt w:val="decimal"/>
      <w:lvlText w:val="（%1）"/>
      <w:lvlJc w:val="left"/>
      <w:pPr>
        <w:ind w:left="893" w:hanging="420"/>
      </w:pPr>
      <w:rPr>
        <w:rFonts w:hint="eastAsia" w:eastAsia="宋体" w:cs="Times New Roman"/>
        <w:spacing w:val="0"/>
        <w:w w:val="100"/>
        <w:sz w:val="24"/>
        <w:szCs w:val="32"/>
      </w:rPr>
    </w:lvl>
    <w:lvl w:ilvl="1" w:tentative="0">
      <w:start w:val="1"/>
      <w:numFmt w:val="lowerLetter"/>
      <w:lvlText w:val="%2)"/>
      <w:lvlJc w:val="left"/>
      <w:pPr>
        <w:ind w:left="1313" w:hanging="420"/>
      </w:pPr>
    </w:lvl>
    <w:lvl w:ilvl="2" w:tentative="0">
      <w:start w:val="1"/>
      <w:numFmt w:val="lowerRoman"/>
      <w:lvlText w:val="%3."/>
      <w:lvlJc w:val="right"/>
      <w:pPr>
        <w:ind w:left="1733" w:hanging="420"/>
      </w:pPr>
    </w:lvl>
    <w:lvl w:ilvl="3" w:tentative="0">
      <w:start w:val="1"/>
      <w:numFmt w:val="decimal"/>
      <w:lvlText w:val="%4."/>
      <w:lvlJc w:val="left"/>
      <w:pPr>
        <w:ind w:left="2153" w:hanging="420"/>
      </w:pPr>
    </w:lvl>
    <w:lvl w:ilvl="4" w:tentative="0">
      <w:start w:val="1"/>
      <w:numFmt w:val="lowerLetter"/>
      <w:lvlText w:val="%5)"/>
      <w:lvlJc w:val="left"/>
      <w:pPr>
        <w:ind w:left="2573" w:hanging="420"/>
      </w:pPr>
    </w:lvl>
    <w:lvl w:ilvl="5" w:tentative="0">
      <w:start w:val="1"/>
      <w:numFmt w:val="lowerRoman"/>
      <w:lvlText w:val="%6."/>
      <w:lvlJc w:val="right"/>
      <w:pPr>
        <w:ind w:left="2993" w:hanging="420"/>
      </w:pPr>
    </w:lvl>
    <w:lvl w:ilvl="6" w:tentative="0">
      <w:start w:val="1"/>
      <w:numFmt w:val="decimal"/>
      <w:lvlText w:val="%7."/>
      <w:lvlJc w:val="left"/>
      <w:pPr>
        <w:ind w:left="3413" w:hanging="420"/>
      </w:pPr>
    </w:lvl>
    <w:lvl w:ilvl="7" w:tentative="0">
      <w:start w:val="1"/>
      <w:numFmt w:val="lowerLetter"/>
      <w:lvlText w:val="%8)"/>
      <w:lvlJc w:val="left"/>
      <w:pPr>
        <w:ind w:left="3833" w:hanging="420"/>
      </w:pPr>
    </w:lvl>
    <w:lvl w:ilvl="8" w:tentative="0">
      <w:start w:val="1"/>
      <w:numFmt w:val="lowerRoman"/>
      <w:lvlText w:val="%9."/>
      <w:lvlJc w:val="right"/>
      <w:pPr>
        <w:ind w:left="4253" w:hanging="420"/>
      </w:pPr>
    </w:lvl>
  </w:abstractNum>
  <w:abstractNum w:abstractNumId="10">
    <w:nsid w:val="1498490E"/>
    <w:multiLevelType w:val="multilevel"/>
    <w:tmpl w:val="1498490E"/>
    <w:lvl w:ilvl="0" w:tentative="0">
      <w:start w:val="1"/>
      <w:numFmt w:val="decimal"/>
      <w:suff w:val="nothing"/>
      <w:lvlText w:val="（%1）"/>
      <w:lvlJc w:val="left"/>
      <w:pPr>
        <w:ind w:left="0" w:firstLine="0"/>
      </w:pPr>
      <w:rPr>
        <w:rFonts w:hint="default" w:cs="Times New Roman"/>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14CA489A"/>
    <w:multiLevelType w:val="multilevel"/>
    <w:tmpl w:val="14CA489A"/>
    <w:lvl w:ilvl="0" w:tentative="0">
      <w:start w:val="1"/>
      <w:numFmt w:val="decimal"/>
      <w:lvlText w:val="（%1）"/>
      <w:lvlJc w:val="left"/>
      <w:pPr>
        <w:ind w:left="893" w:hanging="420"/>
      </w:pPr>
      <w:rPr>
        <w:rFonts w:hint="eastAsia" w:eastAsia="宋体" w:cs="Times New Roman"/>
        <w:spacing w:val="0"/>
        <w:w w:val="100"/>
        <w:sz w:val="24"/>
        <w:szCs w:val="32"/>
        <w:lang w:val="en-US"/>
      </w:rPr>
    </w:lvl>
    <w:lvl w:ilvl="1" w:tentative="0">
      <w:start w:val="1"/>
      <w:numFmt w:val="lowerLetter"/>
      <w:lvlText w:val="%2)"/>
      <w:lvlJc w:val="left"/>
      <w:pPr>
        <w:ind w:left="1313" w:hanging="420"/>
      </w:pPr>
    </w:lvl>
    <w:lvl w:ilvl="2" w:tentative="0">
      <w:start w:val="1"/>
      <w:numFmt w:val="lowerRoman"/>
      <w:lvlText w:val="%3."/>
      <w:lvlJc w:val="right"/>
      <w:pPr>
        <w:ind w:left="1733" w:hanging="420"/>
      </w:pPr>
    </w:lvl>
    <w:lvl w:ilvl="3" w:tentative="0">
      <w:start w:val="1"/>
      <w:numFmt w:val="decimal"/>
      <w:lvlText w:val="%4."/>
      <w:lvlJc w:val="left"/>
      <w:pPr>
        <w:ind w:left="2153" w:hanging="420"/>
      </w:pPr>
    </w:lvl>
    <w:lvl w:ilvl="4" w:tentative="0">
      <w:start w:val="1"/>
      <w:numFmt w:val="lowerLetter"/>
      <w:lvlText w:val="%5)"/>
      <w:lvlJc w:val="left"/>
      <w:pPr>
        <w:ind w:left="2573" w:hanging="420"/>
      </w:pPr>
    </w:lvl>
    <w:lvl w:ilvl="5" w:tentative="0">
      <w:start w:val="1"/>
      <w:numFmt w:val="lowerRoman"/>
      <w:lvlText w:val="%6."/>
      <w:lvlJc w:val="right"/>
      <w:pPr>
        <w:ind w:left="2993" w:hanging="420"/>
      </w:pPr>
    </w:lvl>
    <w:lvl w:ilvl="6" w:tentative="0">
      <w:start w:val="1"/>
      <w:numFmt w:val="decimal"/>
      <w:lvlText w:val="%7."/>
      <w:lvlJc w:val="left"/>
      <w:pPr>
        <w:ind w:left="3413" w:hanging="420"/>
      </w:pPr>
    </w:lvl>
    <w:lvl w:ilvl="7" w:tentative="0">
      <w:start w:val="1"/>
      <w:numFmt w:val="lowerLetter"/>
      <w:lvlText w:val="%8)"/>
      <w:lvlJc w:val="left"/>
      <w:pPr>
        <w:ind w:left="3833" w:hanging="420"/>
      </w:pPr>
    </w:lvl>
    <w:lvl w:ilvl="8" w:tentative="0">
      <w:start w:val="1"/>
      <w:numFmt w:val="lowerRoman"/>
      <w:lvlText w:val="%9."/>
      <w:lvlJc w:val="right"/>
      <w:pPr>
        <w:ind w:left="4253" w:hanging="420"/>
      </w:pPr>
    </w:lvl>
  </w:abstractNum>
  <w:abstractNum w:abstractNumId="12">
    <w:nsid w:val="18D14D7A"/>
    <w:multiLevelType w:val="multilevel"/>
    <w:tmpl w:val="18D14D7A"/>
    <w:lvl w:ilvl="0" w:tentative="0">
      <w:start w:val="1"/>
      <w:numFmt w:val="decimal"/>
      <w:lvlText w:val="%1."/>
      <w:lvlJc w:val="left"/>
      <w:pPr>
        <w:ind w:left="861" w:hanging="420"/>
      </w:pPr>
    </w:lvl>
    <w:lvl w:ilvl="1" w:tentative="0">
      <w:start w:val="1"/>
      <w:numFmt w:val="lowerLetter"/>
      <w:lvlText w:val="%2)"/>
      <w:lvlJc w:val="left"/>
      <w:pPr>
        <w:ind w:left="1281" w:hanging="420"/>
      </w:pPr>
    </w:lvl>
    <w:lvl w:ilvl="2" w:tentative="0">
      <w:start w:val="1"/>
      <w:numFmt w:val="lowerRoman"/>
      <w:lvlText w:val="%3."/>
      <w:lvlJc w:val="right"/>
      <w:pPr>
        <w:ind w:left="1701" w:hanging="420"/>
      </w:pPr>
    </w:lvl>
    <w:lvl w:ilvl="3" w:tentative="0">
      <w:start w:val="1"/>
      <w:numFmt w:val="decimal"/>
      <w:lvlText w:val="%4."/>
      <w:lvlJc w:val="left"/>
      <w:pPr>
        <w:ind w:left="2121" w:hanging="420"/>
      </w:pPr>
    </w:lvl>
    <w:lvl w:ilvl="4" w:tentative="0">
      <w:start w:val="1"/>
      <w:numFmt w:val="lowerLetter"/>
      <w:lvlText w:val="%5)"/>
      <w:lvlJc w:val="left"/>
      <w:pPr>
        <w:ind w:left="2541" w:hanging="420"/>
      </w:pPr>
    </w:lvl>
    <w:lvl w:ilvl="5" w:tentative="0">
      <w:start w:val="1"/>
      <w:numFmt w:val="lowerRoman"/>
      <w:lvlText w:val="%6."/>
      <w:lvlJc w:val="right"/>
      <w:pPr>
        <w:ind w:left="2961" w:hanging="420"/>
      </w:pPr>
    </w:lvl>
    <w:lvl w:ilvl="6" w:tentative="0">
      <w:start w:val="1"/>
      <w:numFmt w:val="decimal"/>
      <w:lvlText w:val="%7."/>
      <w:lvlJc w:val="left"/>
      <w:pPr>
        <w:ind w:left="3381" w:hanging="420"/>
      </w:pPr>
    </w:lvl>
    <w:lvl w:ilvl="7" w:tentative="0">
      <w:start w:val="1"/>
      <w:numFmt w:val="lowerLetter"/>
      <w:lvlText w:val="%8)"/>
      <w:lvlJc w:val="left"/>
      <w:pPr>
        <w:ind w:left="3801" w:hanging="420"/>
      </w:pPr>
    </w:lvl>
    <w:lvl w:ilvl="8" w:tentative="0">
      <w:start w:val="1"/>
      <w:numFmt w:val="lowerRoman"/>
      <w:lvlText w:val="%9."/>
      <w:lvlJc w:val="right"/>
      <w:pPr>
        <w:ind w:left="4221" w:hanging="420"/>
      </w:pPr>
    </w:lvl>
  </w:abstractNum>
  <w:abstractNum w:abstractNumId="13">
    <w:nsid w:val="196E41D8"/>
    <w:multiLevelType w:val="multilevel"/>
    <w:tmpl w:val="196E41D8"/>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D410BC9"/>
    <w:multiLevelType w:val="multilevel"/>
    <w:tmpl w:val="1D410BC9"/>
    <w:lvl w:ilvl="0" w:tentative="0">
      <w:start w:val="1"/>
      <w:numFmt w:val="decimal"/>
      <w:suff w:val="nothing"/>
      <w:lvlText w:val="（%1）"/>
      <w:lvlJc w:val="left"/>
      <w:pPr>
        <w:ind w:left="0" w:firstLine="0"/>
      </w:pPr>
      <w:rPr>
        <w:rFonts w:hint="default" w:cs="Times New Roman"/>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1E22084C"/>
    <w:multiLevelType w:val="singleLevel"/>
    <w:tmpl w:val="1E22084C"/>
    <w:lvl w:ilvl="0" w:tentative="0">
      <w:start w:val="1"/>
      <w:numFmt w:val="decimal"/>
      <w:suff w:val="nothing"/>
      <w:lvlText w:val="（%1）"/>
      <w:lvlJc w:val="left"/>
    </w:lvl>
  </w:abstractNum>
  <w:abstractNum w:abstractNumId="16">
    <w:nsid w:val="24AF0E69"/>
    <w:multiLevelType w:val="singleLevel"/>
    <w:tmpl w:val="24AF0E69"/>
    <w:lvl w:ilvl="0" w:tentative="0">
      <w:start w:val="1"/>
      <w:numFmt w:val="upperLetter"/>
      <w:lvlText w:val="%1."/>
      <w:lvlJc w:val="left"/>
      <w:pPr>
        <w:ind w:left="425" w:hanging="425"/>
      </w:pPr>
      <w:rPr>
        <w:rFonts w:hint="default"/>
      </w:rPr>
    </w:lvl>
  </w:abstractNum>
  <w:abstractNum w:abstractNumId="17">
    <w:nsid w:val="27B87A96"/>
    <w:multiLevelType w:val="multilevel"/>
    <w:tmpl w:val="27B87A96"/>
    <w:lvl w:ilvl="0" w:tentative="0">
      <w:start w:val="1"/>
      <w:numFmt w:val="decimal"/>
      <w:lvlText w:val="（%1）"/>
      <w:lvlJc w:val="left"/>
      <w:pPr>
        <w:ind w:left="893" w:hanging="420"/>
      </w:pPr>
      <w:rPr>
        <w:rFonts w:hint="eastAsia" w:eastAsia="宋体" w:cs="Times New Roman"/>
        <w:spacing w:val="0"/>
        <w:w w:val="100"/>
        <w:sz w:val="24"/>
        <w:szCs w:val="32"/>
      </w:rPr>
    </w:lvl>
    <w:lvl w:ilvl="1" w:tentative="0">
      <w:start w:val="1"/>
      <w:numFmt w:val="lowerLetter"/>
      <w:lvlText w:val="%2)"/>
      <w:lvlJc w:val="left"/>
      <w:pPr>
        <w:ind w:left="1313" w:hanging="420"/>
      </w:pPr>
    </w:lvl>
    <w:lvl w:ilvl="2" w:tentative="0">
      <w:start w:val="1"/>
      <w:numFmt w:val="lowerRoman"/>
      <w:lvlText w:val="%3."/>
      <w:lvlJc w:val="right"/>
      <w:pPr>
        <w:ind w:left="1733" w:hanging="420"/>
      </w:pPr>
    </w:lvl>
    <w:lvl w:ilvl="3" w:tentative="0">
      <w:start w:val="1"/>
      <w:numFmt w:val="decimal"/>
      <w:lvlText w:val="%4."/>
      <w:lvlJc w:val="left"/>
      <w:pPr>
        <w:ind w:left="2153" w:hanging="420"/>
      </w:pPr>
    </w:lvl>
    <w:lvl w:ilvl="4" w:tentative="0">
      <w:start w:val="1"/>
      <w:numFmt w:val="lowerLetter"/>
      <w:lvlText w:val="%5)"/>
      <w:lvlJc w:val="left"/>
      <w:pPr>
        <w:ind w:left="2573" w:hanging="420"/>
      </w:pPr>
    </w:lvl>
    <w:lvl w:ilvl="5" w:tentative="0">
      <w:start w:val="1"/>
      <w:numFmt w:val="lowerRoman"/>
      <w:lvlText w:val="%6."/>
      <w:lvlJc w:val="right"/>
      <w:pPr>
        <w:ind w:left="2993" w:hanging="420"/>
      </w:pPr>
    </w:lvl>
    <w:lvl w:ilvl="6" w:tentative="0">
      <w:start w:val="1"/>
      <w:numFmt w:val="decimal"/>
      <w:lvlText w:val="%7."/>
      <w:lvlJc w:val="left"/>
      <w:pPr>
        <w:ind w:left="3413" w:hanging="420"/>
      </w:pPr>
    </w:lvl>
    <w:lvl w:ilvl="7" w:tentative="0">
      <w:start w:val="1"/>
      <w:numFmt w:val="lowerLetter"/>
      <w:lvlText w:val="%8)"/>
      <w:lvlJc w:val="left"/>
      <w:pPr>
        <w:ind w:left="3833" w:hanging="420"/>
      </w:pPr>
    </w:lvl>
    <w:lvl w:ilvl="8" w:tentative="0">
      <w:start w:val="1"/>
      <w:numFmt w:val="lowerRoman"/>
      <w:lvlText w:val="%9."/>
      <w:lvlJc w:val="right"/>
      <w:pPr>
        <w:ind w:left="4253" w:hanging="420"/>
      </w:pPr>
    </w:lvl>
  </w:abstractNum>
  <w:abstractNum w:abstractNumId="18">
    <w:nsid w:val="2CA27DB2"/>
    <w:multiLevelType w:val="multilevel"/>
    <w:tmpl w:val="2CA27DB2"/>
    <w:lvl w:ilvl="0" w:tentative="0">
      <w:start w:val="1"/>
      <w:numFmt w:val="decimal"/>
      <w:lvlText w:val="（%1）"/>
      <w:lvlJc w:val="left"/>
      <w:pPr>
        <w:ind w:left="893" w:hanging="420"/>
      </w:pPr>
      <w:rPr>
        <w:rFonts w:hint="eastAsia" w:eastAsia="宋体" w:cs="Times New Roman"/>
        <w:spacing w:val="0"/>
        <w:w w:val="100"/>
        <w:sz w:val="24"/>
        <w:szCs w:val="32"/>
      </w:rPr>
    </w:lvl>
    <w:lvl w:ilvl="1" w:tentative="0">
      <w:start w:val="1"/>
      <w:numFmt w:val="lowerLetter"/>
      <w:lvlText w:val="%2)"/>
      <w:lvlJc w:val="left"/>
      <w:pPr>
        <w:ind w:left="1313" w:hanging="420"/>
      </w:pPr>
    </w:lvl>
    <w:lvl w:ilvl="2" w:tentative="0">
      <w:start w:val="1"/>
      <w:numFmt w:val="lowerRoman"/>
      <w:lvlText w:val="%3."/>
      <w:lvlJc w:val="right"/>
      <w:pPr>
        <w:ind w:left="1733" w:hanging="420"/>
      </w:pPr>
    </w:lvl>
    <w:lvl w:ilvl="3" w:tentative="0">
      <w:start w:val="1"/>
      <w:numFmt w:val="decimal"/>
      <w:lvlText w:val="%4."/>
      <w:lvlJc w:val="left"/>
      <w:pPr>
        <w:ind w:left="2153" w:hanging="420"/>
      </w:pPr>
    </w:lvl>
    <w:lvl w:ilvl="4" w:tentative="0">
      <w:start w:val="1"/>
      <w:numFmt w:val="lowerLetter"/>
      <w:lvlText w:val="%5)"/>
      <w:lvlJc w:val="left"/>
      <w:pPr>
        <w:ind w:left="2573" w:hanging="420"/>
      </w:pPr>
    </w:lvl>
    <w:lvl w:ilvl="5" w:tentative="0">
      <w:start w:val="1"/>
      <w:numFmt w:val="lowerRoman"/>
      <w:lvlText w:val="%6."/>
      <w:lvlJc w:val="right"/>
      <w:pPr>
        <w:ind w:left="2993" w:hanging="420"/>
      </w:pPr>
    </w:lvl>
    <w:lvl w:ilvl="6" w:tentative="0">
      <w:start w:val="1"/>
      <w:numFmt w:val="decimal"/>
      <w:lvlText w:val="%7."/>
      <w:lvlJc w:val="left"/>
      <w:pPr>
        <w:ind w:left="3413" w:hanging="420"/>
      </w:pPr>
    </w:lvl>
    <w:lvl w:ilvl="7" w:tentative="0">
      <w:start w:val="1"/>
      <w:numFmt w:val="lowerLetter"/>
      <w:lvlText w:val="%8)"/>
      <w:lvlJc w:val="left"/>
      <w:pPr>
        <w:ind w:left="3833" w:hanging="420"/>
      </w:pPr>
    </w:lvl>
    <w:lvl w:ilvl="8" w:tentative="0">
      <w:start w:val="1"/>
      <w:numFmt w:val="lowerRoman"/>
      <w:lvlText w:val="%9."/>
      <w:lvlJc w:val="right"/>
      <w:pPr>
        <w:ind w:left="4253" w:hanging="420"/>
      </w:pPr>
    </w:lvl>
  </w:abstractNum>
  <w:abstractNum w:abstractNumId="19">
    <w:nsid w:val="2E3F752D"/>
    <w:multiLevelType w:val="multilevel"/>
    <w:tmpl w:val="2E3F752D"/>
    <w:lvl w:ilvl="0" w:tentative="0">
      <w:start w:val="1"/>
      <w:numFmt w:val="decimal"/>
      <w:lvlText w:val="（%1）"/>
      <w:lvlJc w:val="left"/>
      <w:pPr>
        <w:ind w:left="893" w:hanging="420"/>
      </w:pPr>
      <w:rPr>
        <w:rFonts w:hint="eastAsia" w:eastAsia="宋体" w:cs="Times New Roman"/>
        <w:spacing w:val="0"/>
        <w:w w:val="100"/>
        <w:sz w:val="24"/>
        <w:szCs w:val="32"/>
      </w:rPr>
    </w:lvl>
    <w:lvl w:ilvl="1" w:tentative="0">
      <w:start w:val="1"/>
      <w:numFmt w:val="lowerLetter"/>
      <w:lvlText w:val="%2)"/>
      <w:lvlJc w:val="left"/>
      <w:pPr>
        <w:ind w:left="1313" w:hanging="420"/>
      </w:pPr>
    </w:lvl>
    <w:lvl w:ilvl="2" w:tentative="0">
      <w:start w:val="1"/>
      <w:numFmt w:val="lowerRoman"/>
      <w:lvlText w:val="%3."/>
      <w:lvlJc w:val="right"/>
      <w:pPr>
        <w:ind w:left="1733" w:hanging="420"/>
      </w:pPr>
    </w:lvl>
    <w:lvl w:ilvl="3" w:tentative="0">
      <w:start w:val="1"/>
      <w:numFmt w:val="decimal"/>
      <w:lvlText w:val="%4."/>
      <w:lvlJc w:val="left"/>
      <w:pPr>
        <w:ind w:left="2153" w:hanging="420"/>
      </w:pPr>
    </w:lvl>
    <w:lvl w:ilvl="4" w:tentative="0">
      <w:start w:val="1"/>
      <w:numFmt w:val="lowerLetter"/>
      <w:lvlText w:val="%5)"/>
      <w:lvlJc w:val="left"/>
      <w:pPr>
        <w:ind w:left="2573" w:hanging="420"/>
      </w:pPr>
    </w:lvl>
    <w:lvl w:ilvl="5" w:tentative="0">
      <w:start w:val="1"/>
      <w:numFmt w:val="lowerRoman"/>
      <w:lvlText w:val="%6."/>
      <w:lvlJc w:val="right"/>
      <w:pPr>
        <w:ind w:left="2993" w:hanging="420"/>
      </w:pPr>
    </w:lvl>
    <w:lvl w:ilvl="6" w:tentative="0">
      <w:start w:val="1"/>
      <w:numFmt w:val="decimal"/>
      <w:lvlText w:val="%7."/>
      <w:lvlJc w:val="left"/>
      <w:pPr>
        <w:ind w:left="3413" w:hanging="420"/>
      </w:pPr>
    </w:lvl>
    <w:lvl w:ilvl="7" w:tentative="0">
      <w:start w:val="1"/>
      <w:numFmt w:val="lowerLetter"/>
      <w:lvlText w:val="%8)"/>
      <w:lvlJc w:val="left"/>
      <w:pPr>
        <w:ind w:left="3833" w:hanging="420"/>
      </w:pPr>
    </w:lvl>
    <w:lvl w:ilvl="8" w:tentative="0">
      <w:start w:val="1"/>
      <w:numFmt w:val="lowerRoman"/>
      <w:lvlText w:val="%9."/>
      <w:lvlJc w:val="right"/>
      <w:pPr>
        <w:ind w:left="4253" w:hanging="420"/>
      </w:pPr>
    </w:lvl>
  </w:abstractNum>
  <w:abstractNum w:abstractNumId="20">
    <w:nsid w:val="31C16472"/>
    <w:multiLevelType w:val="multilevel"/>
    <w:tmpl w:val="31C16472"/>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33F745FD"/>
    <w:multiLevelType w:val="multilevel"/>
    <w:tmpl w:val="33F745FD"/>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2">
    <w:nsid w:val="366336A3"/>
    <w:multiLevelType w:val="multilevel"/>
    <w:tmpl w:val="366336A3"/>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3A9A5EE6"/>
    <w:multiLevelType w:val="multilevel"/>
    <w:tmpl w:val="3A9A5EE6"/>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3D30D990"/>
    <w:multiLevelType w:val="singleLevel"/>
    <w:tmpl w:val="3D30D990"/>
    <w:lvl w:ilvl="0" w:tentative="0">
      <w:start w:val="13"/>
      <w:numFmt w:val="decimal"/>
      <w:suff w:val="nothing"/>
      <w:lvlText w:val="%1、"/>
      <w:lvlJc w:val="left"/>
    </w:lvl>
  </w:abstractNum>
  <w:abstractNum w:abstractNumId="25">
    <w:nsid w:val="3F838399"/>
    <w:multiLevelType w:val="singleLevel"/>
    <w:tmpl w:val="3F838399"/>
    <w:lvl w:ilvl="0" w:tentative="0">
      <w:start w:val="1"/>
      <w:numFmt w:val="decimal"/>
      <w:suff w:val="nothing"/>
      <w:lvlText w:val="（%1）"/>
      <w:lvlJc w:val="left"/>
    </w:lvl>
  </w:abstractNum>
  <w:abstractNum w:abstractNumId="26">
    <w:nsid w:val="3FD6450E"/>
    <w:multiLevelType w:val="multilevel"/>
    <w:tmpl w:val="3FD6450E"/>
    <w:lvl w:ilvl="0" w:tentative="0">
      <w:start w:val="1"/>
      <w:numFmt w:val="decimal"/>
      <w:suff w:val="nothing"/>
      <w:lvlText w:val="（%1）"/>
      <w:lvlJc w:val="left"/>
      <w:pPr>
        <w:ind w:left="0" w:firstLine="0"/>
      </w:pPr>
      <w:rPr>
        <w:rFonts w:hint="default" w:cs="Times New Roman"/>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7">
    <w:nsid w:val="41477E33"/>
    <w:multiLevelType w:val="multilevel"/>
    <w:tmpl w:val="41477E33"/>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8">
    <w:nsid w:val="45B15A9D"/>
    <w:multiLevelType w:val="multilevel"/>
    <w:tmpl w:val="45B15A9D"/>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9">
    <w:nsid w:val="47C93CC7"/>
    <w:multiLevelType w:val="multilevel"/>
    <w:tmpl w:val="47C93CC7"/>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0">
    <w:nsid w:val="48CA3265"/>
    <w:multiLevelType w:val="multilevel"/>
    <w:tmpl w:val="48CA3265"/>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1">
    <w:nsid w:val="49421CF3"/>
    <w:multiLevelType w:val="multilevel"/>
    <w:tmpl w:val="49421CF3"/>
    <w:lvl w:ilvl="0" w:tentative="0">
      <w:start w:val="1"/>
      <w:numFmt w:val="decimal"/>
      <w:lvlText w:val="（%1）"/>
      <w:lvlJc w:val="left"/>
      <w:pPr>
        <w:ind w:left="893" w:hanging="420"/>
      </w:pPr>
      <w:rPr>
        <w:rFonts w:hint="eastAsia" w:eastAsia="宋体" w:cs="Times New Roman"/>
        <w:spacing w:val="0"/>
        <w:w w:val="100"/>
        <w:sz w:val="24"/>
        <w:szCs w:val="32"/>
      </w:rPr>
    </w:lvl>
    <w:lvl w:ilvl="1" w:tentative="0">
      <w:start w:val="1"/>
      <w:numFmt w:val="lowerLetter"/>
      <w:lvlText w:val="%2)"/>
      <w:lvlJc w:val="left"/>
      <w:pPr>
        <w:ind w:left="1313" w:hanging="420"/>
      </w:pPr>
    </w:lvl>
    <w:lvl w:ilvl="2" w:tentative="0">
      <w:start w:val="1"/>
      <w:numFmt w:val="lowerRoman"/>
      <w:lvlText w:val="%3."/>
      <w:lvlJc w:val="right"/>
      <w:pPr>
        <w:ind w:left="1733" w:hanging="420"/>
      </w:pPr>
    </w:lvl>
    <w:lvl w:ilvl="3" w:tentative="0">
      <w:start w:val="1"/>
      <w:numFmt w:val="decimal"/>
      <w:lvlText w:val="%4."/>
      <w:lvlJc w:val="left"/>
      <w:pPr>
        <w:ind w:left="2153" w:hanging="420"/>
      </w:pPr>
    </w:lvl>
    <w:lvl w:ilvl="4" w:tentative="0">
      <w:start w:val="1"/>
      <w:numFmt w:val="lowerLetter"/>
      <w:lvlText w:val="%5)"/>
      <w:lvlJc w:val="left"/>
      <w:pPr>
        <w:ind w:left="2573" w:hanging="420"/>
      </w:pPr>
    </w:lvl>
    <w:lvl w:ilvl="5" w:tentative="0">
      <w:start w:val="1"/>
      <w:numFmt w:val="lowerRoman"/>
      <w:lvlText w:val="%6."/>
      <w:lvlJc w:val="right"/>
      <w:pPr>
        <w:ind w:left="2993" w:hanging="420"/>
      </w:pPr>
    </w:lvl>
    <w:lvl w:ilvl="6" w:tentative="0">
      <w:start w:val="1"/>
      <w:numFmt w:val="decimal"/>
      <w:lvlText w:val="%7."/>
      <w:lvlJc w:val="left"/>
      <w:pPr>
        <w:ind w:left="3413" w:hanging="420"/>
      </w:pPr>
    </w:lvl>
    <w:lvl w:ilvl="7" w:tentative="0">
      <w:start w:val="1"/>
      <w:numFmt w:val="lowerLetter"/>
      <w:lvlText w:val="%8)"/>
      <w:lvlJc w:val="left"/>
      <w:pPr>
        <w:ind w:left="3833" w:hanging="420"/>
      </w:pPr>
    </w:lvl>
    <w:lvl w:ilvl="8" w:tentative="0">
      <w:start w:val="1"/>
      <w:numFmt w:val="lowerRoman"/>
      <w:lvlText w:val="%9."/>
      <w:lvlJc w:val="right"/>
      <w:pPr>
        <w:ind w:left="4253" w:hanging="420"/>
      </w:pPr>
    </w:lvl>
  </w:abstractNum>
  <w:abstractNum w:abstractNumId="32">
    <w:nsid w:val="4B1533D0"/>
    <w:multiLevelType w:val="multilevel"/>
    <w:tmpl w:val="4B1533D0"/>
    <w:lvl w:ilvl="0" w:tentative="0">
      <w:start w:val="1"/>
      <w:numFmt w:val="decimal"/>
      <w:lvlText w:val="%1."/>
      <w:lvlJc w:val="left"/>
      <w:pPr>
        <w:ind w:left="861" w:hanging="420"/>
      </w:pPr>
    </w:lvl>
    <w:lvl w:ilvl="1" w:tentative="0">
      <w:start w:val="1"/>
      <w:numFmt w:val="lowerLetter"/>
      <w:lvlText w:val="%2)"/>
      <w:lvlJc w:val="left"/>
      <w:pPr>
        <w:ind w:left="1281" w:hanging="420"/>
      </w:pPr>
    </w:lvl>
    <w:lvl w:ilvl="2" w:tentative="0">
      <w:start w:val="1"/>
      <w:numFmt w:val="lowerRoman"/>
      <w:lvlText w:val="%3."/>
      <w:lvlJc w:val="right"/>
      <w:pPr>
        <w:ind w:left="1701" w:hanging="420"/>
      </w:pPr>
    </w:lvl>
    <w:lvl w:ilvl="3" w:tentative="0">
      <w:start w:val="1"/>
      <w:numFmt w:val="decimal"/>
      <w:lvlText w:val="%4."/>
      <w:lvlJc w:val="left"/>
      <w:pPr>
        <w:ind w:left="2121" w:hanging="420"/>
      </w:pPr>
    </w:lvl>
    <w:lvl w:ilvl="4" w:tentative="0">
      <w:start w:val="1"/>
      <w:numFmt w:val="lowerLetter"/>
      <w:lvlText w:val="%5)"/>
      <w:lvlJc w:val="left"/>
      <w:pPr>
        <w:ind w:left="2541" w:hanging="420"/>
      </w:pPr>
    </w:lvl>
    <w:lvl w:ilvl="5" w:tentative="0">
      <w:start w:val="1"/>
      <w:numFmt w:val="lowerRoman"/>
      <w:lvlText w:val="%6."/>
      <w:lvlJc w:val="right"/>
      <w:pPr>
        <w:ind w:left="2961" w:hanging="420"/>
      </w:pPr>
    </w:lvl>
    <w:lvl w:ilvl="6" w:tentative="0">
      <w:start w:val="1"/>
      <w:numFmt w:val="decimal"/>
      <w:lvlText w:val="%7."/>
      <w:lvlJc w:val="left"/>
      <w:pPr>
        <w:ind w:left="3381" w:hanging="420"/>
      </w:pPr>
    </w:lvl>
    <w:lvl w:ilvl="7" w:tentative="0">
      <w:start w:val="1"/>
      <w:numFmt w:val="lowerLetter"/>
      <w:lvlText w:val="%8)"/>
      <w:lvlJc w:val="left"/>
      <w:pPr>
        <w:ind w:left="3801" w:hanging="420"/>
      </w:pPr>
    </w:lvl>
    <w:lvl w:ilvl="8" w:tentative="0">
      <w:start w:val="1"/>
      <w:numFmt w:val="lowerRoman"/>
      <w:lvlText w:val="%9."/>
      <w:lvlJc w:val="right"/>
      <w:pPr>
        <w:ind w:left="4221" w:hanging="420"/>
      </w:pPr>
    </w:lvl>
  </w:abstractNum>
  <w:abstractNum w:abstractNumId="33">
    <w:nsid w:val="4C7FCFA8"/>
    <w:multiLevelType w:val="singleLevel"/>
    <w:tmpl w:val="4C7FCFA8"/>
    <w:lvl w:ilvl="0" w:tentative="0">
      <w:start w:val="1"/>
      <w:numFmt w:val="decimal"/>
      <w:lvlText w:val="%1)"/>
      <w:lvlJc w:val="left"/>
      <w:pPr>
        <w:ind w:left="425" w:hanging="425"/>
      </w:pPr>
      <w:rPr>
        <w:rFonts w:hint="default"/>
      </w:rPr>
    </w:lvl>
  </w:abstractNum>
  <w:abstractNum w:abstractNumId="34">
    <w:nsid w:val="4EFA0D85"/>
    <w:multiLevelType w:val="multilevel"/>
    <w:tmpl w:val="4EFA0D8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5">
    <w:nsid w:val="4FBDB4A2"/>
    <w:multiLevelType w:val="singleLevel"/>
    <w:tmpl w:val="4FBDB4A2"/>
    <w:lvl w:ilvl="0" w:tentative="0">
      <w:start w:val="1"/>
      <w:numFmt w:val="chineseCounting"/>
      <w:suff w:val="nothing"/>
      <w:lvlText w:val="%1、"/>
      <w:lvlJc w:val="left"/>
      <w:rPr>
        <w:rFonts w:hint="eastAsia"/>
      </w:rPr>
    </w:lvl>
  </w:abstractNum>
  <w:abstractNum w:abstractNumId="36">
    <w:nsid w:val="53104D16"/>
    <w:multiLevelType w:val="multilevel"/>
    <w:tmpl w:val="53104D16"/>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7">
    <w:nsid w:val="543C4743"/>
    <w:multiLevelType w:val="multilevel"/>
    <w:tmpl w:val="543C4743"/>
    <w:lvl w:ilvl="0" w:tentative="0">
      <w:start w:val="1"/>
      <w:numFmt w:val="decimal"/>
      <w:lvlText w:val="%1、"/>
      <w:lvlJc w:val="left"/>
      <w:pPr>
        <w:ind w:left="801" w:hanging="360"/>
      </w:pPr>
      <w:rPr>
        <w:rFonts w:hint="default"/>
      </w:rPr>
    </w:lvl>
    <w:lvl w:ilvl="1" w:tentative="0">
      <w:start w:val="1"/>
      <w:numFmt w:val="lowerLetter"/>
      <w:lvlText w:val="%2)"/>
      <w:lvlJc w:val="left"/>
      <w:pPr>
        <w:ind w:left="1281" w:hanging="420"/>
      </w:pPr>
    </w:lvl>
    <w:lvl w:ilvl="2" w:tentative="0">
      <w:start w:val="1"/>
      <w:numFmt w:val="lowerRoman"/>
      <w:lvlText w:val="%3."/>
      <w:lvlJc w:val="right"/>
      <w:pPr>
        <w:ind w:left="1701" w:hanging="420"/>
      </w:pPr>
    </w:lvl>
    <w:lvl w:ilvl="3" w:tentative="0">
      <w:start w:val="1"/>
      <w:numFmt w:val="decimal"/>
      <w:lvlText w:val="%4."/>
      <w:lvlJc w:val="left"/>
      <w:pPr>
        <w:ind w:left="2121" w:hanging="420"/>
      </w:pPr>
    </w:lvl>
    <w:lvl w:ilvl="4" w:tentative="0">
      <w:start w:val="1"/>
      <w:numFmt w:val="lowerLetter"/>
      <w:lvlText w:val="%5)"/>
      <w:lvlJc w:val="left"/>
      <w:pPr>
        <w:ind w:left="2541" w:hanging="420"/>
      </w:pPr>
    </w:lvl>
    <w:lvl w:ilvl="5" w:tentative="0">
      <w:start w:val="1"/>
      <w:numFmt w:val="lowerRoman"/>
      <w:lvlText w:val="%6."/>
      <w:lvlJc w:val="right"/>
      <w:pPr>
        <w:ind w:left="2961" w:hanging="420"/>
      </w:pPr>
    </w:lvl>
    <w:lvl w:ilvl="6" w:tentative="0">
      <w:start w:val="1"/>
      <w:numFmt w:val="decimal"/>
      <w:lvlText w:val="%7."/>
      <w:lvlJc w:val="left"/>
      <w:pPr>
        <w:ind w:left="3381" w:hanging="420"/>
      </w:pPr>
    </w:lvl>
    <w:lvl w:ilvl="7" w:tentative="0">
      <w:start w:val="1"/>
      <w:numFmt w:val="lowerLetter"/>
      <w:lvlText w:val="%8)"/>
      <w:lvlJc w:val="left"/>
      <w:pPr>
        <w:ind w:left="3801" w:hanging="420"/>
      </w:pPr>
    </w:lvl>
    <w:lvl w:ilvl="8" w:tentative="0">
      <w:start w:val="1"/>
      <w:numFmt w:val="lowerRoman"/>
      <w:lvlText w:val="%9."/>
      <w:lvlJc w:val="right"/>
      <w:pPr>
        <w:ind w:left="4221" w:hanging="420"/>
      </w:pPr>
    </w:lvl>
  </w:abstractNum>
  <w:abstractNum w:abstractNumId="38">
    <w:nsid w:val="548372C0"/>
    <w:multiLevelType w:val="multilevel"/>
    <w:tmpl w:val="548372C0"/>
    <w:lvl w:ilvl="0" w:tentative="0">
      <w:start w:val="1"/>
      <w:numFmt w:val="decimal"/>
      <w:lvlText w:val="%1、"/>
      <w:lvlJc w:val="left"/>
      <w:pPr>
        <w:ind w:left="803" w:hanging="360"/>
      </w:pPr>
      <w:rPr>
        <w:rFonts w:hint="default"/>
      </w:rPr>
    </w:lvl>
    <w:lvl w:ilvl="1" w:tentative="0">
      <w:start w:val="1"/>
      <w:numFmt w:val="lowerLetter"/>
      <w:lvlText w:val="%2)"/>
      <w:lvlJc w:val="left"/>
      <w:pPr>
        <w:ind w:left="1283" w:hanging="420"/>
      </w:pPr>
    </w:lvl>
    <w:lvl w:ilvl="2" w:tentative="0">
      <w:start w:val="1"/>
      <w:numFmt w:val="lowerRoman"/>
      <w:lvlText w:val="%3."/>
      <w:lvlJc w:val="right"/>
      <w:pPr>
        <w:ind w:left="1703" w:hanging="420"/>
      </w:pPr>
    </w:lvl>
    <w:lvl w:ilvl="3" w:tentative="0">
      <w:start w:val="1"/>
      <w:numFmt w:val="decimal"/>
      <w:lvlText w:val="%4."/>
      <w:lvlJc w:val="left"/>
      <w:pPr>
        <w:ind w:left="2123" w:hanging="420"/>
      </w:pPr>
    </w:lvl>
    <w:lvl w:ilvl="4" w:tentative="0">
      <w:start w:val="1"/>
      <w:numFmt w:val="lowerLetter"/>
      <w:lvlText w:val="%5)"/>
      <w:lvlJc w:val="left"/>
      <w:pPr>
        <w:ind w:left="2543" w:hanging="420"/>
      </w:pPr>
    </w:lvl>
    <w:lvl w:ilvl="5" w:tentative="0">
      <w:start w:val="1"/>
      <w:numFmt w:val="lowerRoman"/>
      <w:lvlText w:val="%6."/>
      <w:lvlJc w:val="right"/>
      <w:pPr>
        <w:ind w:left="2963" w:hanging="420"/>
      </w:pPr>
    </w:lvl>
    <w:lvl w:ilvl="6" w:tentative="0">
      <w:start w:val="1"/>
      <w:numFmt w:val="decimal"/>
      <w:lvlText w:val="%7."/>
      <w:lvlJc w:val="left"/>
      <w:pPr>
        <w:ind w:left="3383" w:hanging="420"/>
      </w:pPr>
    </w:lvl>
    <w:lvl w:ilvl="7" w:tentative="0">
      <w:start w:val="1"/>
      <w:numFmt w:val="lowerLetter"/>
      <w:lvlText w:val="%8)"/>
      <w:lvlJc w:val="left"/>
      <w:pPr>
        <w:ind w:left="3803" w:hanging="420"/>
      </w:pPr>
    </w:lvl>
    <w:lvl w:ilvl="8" w:tentative="0">
      <w:start w:val="1"/>
      <w:numFmt w:val="lowerRoman"/>
      <w:lvlText w:val="%9."/>
      <w:lvlJc w:val="right"/>
      <w:pPr>
        <w:ind w:left="4223" w:hanging="420"/>
      </w:pPr>
    </w:lvl>
  </w:abstractNum>
  <w:abstractNum w:abstractNumId="39">
    <w:nsid w:val="54E94456"/>
    <w:multiLevelType w:val="multilevel"/>
    <w:tmpl w:val="54E94456"/>
    <w:lvl w:ilvl="0" w:tentative="0">
      <w:start w:val="1"/>
      <w:numFmt w:val="decimal"/>
      <w:lvlText w:val="（%1）"/>
      <w:lvlJc w:val="left"/>
      <w:pPr>
        <w:ind w:left="893" w:hanging="420"/>
      </w:pPr>
      <w:rPr>
        <w:rFonts w:hint="eastAsia" w:eastAsia="宋体" w:cs="Times New Roman"/>
        <w:spacing w:val="0"/>
        <w:w w:val="100"/>
        <w:sz w:val="24"/>
        <w:szCs w:val="32"/>
      </w:rPr>
    </w:lvl>
    <w:lvl w:ilvl="1" w:tentative="0">
      <w:start w:val="1"/>
      <w:numFmt w:val="lowerLetter"/>
      <w:lvlText w:val="%2)"/>
      <w:lvlJc w:val="left"/>
      <w:pPr>
        <w:ind w:left="1313" w:hanging="420"/>
      </w:pPr>
    </w:lvl>
    <w:lvl w:ilvl="2" w:tentative="0">
      <w:start w:val="1"/>
      <w:numFmt w:val="lowerRoman"/>
      <w:lvlText w:val="%3."/>
      <w:lvlJc w:val="right"/>
      <w:pPr>
        <w:ind w:left="1733" w:hanging="420"/>
      </w:pPr>
    </w:lvl>
    <w:lvl w:ilvl="3" w:tentative="0">
      <w:start w:val="1"/>
      <w:numFmt w:val="decimal"/>
      <w:lvlText w:val="%4."/>
      <w:lvlJc w:val="left"/>
      <w:pPr>
        <w:ind w:left="2153" w:hanging="420"/>
      </w:pPr>
    </w:lvl>
    <w:lvl w:ilvl="4" w:tentative="0">
      <w:start w:val="1"/>
      <w:numFmt w:val="lowerLetter"/>
      <w:lvlText w:val="%5)"/>
      <w:lvlJc w:val="left"/>
      <w:pPr>
        <w:ind w:left="2573" w:hanging="420"/>
      </w:pPr>
    </w:lvl>
    <w:lvl w:ilvl="5" w:tentative="0">
      <w:start w:val="1"/>
      <w:numFmt w:val="lowerRoman"/>
      <w:lvlText w:val="%6."/>
      <w:lvlJc w:val="right"/>
      <w:pPr>
        <w:ind w:left="2993" w:hanging="420"/>
      </w:pPr>
    </w:lvl>
    <w:lvl w:ilvl="6" w:tentative="0">
      <w:start w:val="1"/>
      <w:numFmt w:val="decimal"/>
      <w:lvlText w:val="%7."/>
      <w:lvlJc w:val="left"/>
      <w:pPr>
        <w:ind w:left="3413" w:hanging="420"/>
      </w:pPr>
    </w:lvl>
    <w:lvl w:ilvl="7" w:tentative="0">
      <w:start w:val="1"/>
      <w:numFmt w:val="lowerLetter"/>
      <w:lvlText w:val="%8)"/>
      <w:lvlJc w:val="left"/>
      <w:pPr>
        <w:ind w:left="3833" w:hanging="420"/>
      </w:pPr>
    </w:lvl>
    <w:lvl w:ilvl="8" w:tentative="0">
      <w:start w:val="1"/>
      <w:numFmt w:val="lowerRoman"/>
      <w:lvlText w:val="%9."/>
      <w:lvlJc w:val="right"/>
      <w:pPr>
        <w:ind w:left="4253" w:hanging="420"/>
      </w:pPr>
    </w:lvl>
  </w:abstractNum>
  <w:abstractNum w:abstractNumId="40">
    <w:nsid w:val="5608283E"/>
    <w:multiLevelType w:val="multilevel"/>
    <w:tmpl w:val="5608283E"/>
    <w:lvl w:ilvl="0" w:tentative="0">
      <w:start w:val="1"/>
      <w:numFmt w:val="decimal"/>
      <w:lvlText w:val="%1."/>
      <w:lvlJc w:val="left"/>
      <w:pPr>
        <w:ind w:left="861" w:hanging="420"/>
      </w:pPr>
    </w:lvl>
    <w:lvl w:ilvl="1" w:tentative="0">
      <w:start w:val="1"/>
      <w:numFmt w:val="lowerLetter"/>
      <w:lvlText w:val="%2)"/>
      <w:lvlJc w:val="left"/>
      <w:pPr>
        <w:ind w:left="1281" w:hanging="420"/>
      </w:pPr>
    </w:lvl>
    <w:lvl w:ilvl="2" w:tentative="0">
      <w:start w:val="1"/>
      <w:numFmt w:val="lowerRoman"/>
      <w:lvlText w:val="%3."/>
      <w:lvlJc w:val="right"/>
      <w:pPr>
        <w:ind w:left="1701" w:hanging="420"/>
      </w:pPr>
    </w:lvl>
    <w:lvl w:ilvl="3" w:tentative="0">
      <w:start w:val="1"/>
      <w:numFmt w:val="decimal"/>
      <w:lvlText w:val="%4."/>
      <w:lvlJc w:val="left"/>
      <w:pPr>
        <w:ind w:left="2121" w:hanging="420"/>
      </w:pPr>
    </w:lvl>
    <w:lvl w:ilvl="4" w:tentative="0">
      <w:start w:val="1"/>
      <w:numFmt w:val="lowerLetter"/>
      <w:lvlText w:val="%5)"/>
      <w:lvlJc w:val="left"/>
      <w:pPr>
        <w:ind w:left="2541" w:hanging="420"/>
      </w:pPr>
    </w:lvl>
    <w:lvl w:ilvl="5" w:tentative="0">
      <w:start w:val="1"/>
      <w:numFmt w:val="lowerRoman"/>
      <w:lvlText w:val="%6."/>
      <w:lvlJc w:val="right"/>
      <w:pPr>
        <w:ind w:left="2961" w:hanging="420"/>
      </w:pPr>
    </w:lvl>
    <w:lvl w:ilvl="6" w:tentative="0">
      <w:start w:val="1"/>
      <w:numFmt w:val="decimal"/>
      <w:lvlText w:val="%7."/>
      <w:lvlJc w:val="left"/>
      <w:pPr>
        <w:ind w:left="3381" w:hanging="420"/>
      </w:pPr>
    </w:lvl>
    <w:lvl w:ilvl="7" w:tentative="0">
      <w:start w:val="1"/>
      <w:numFmt w:val="lowerLetter"/>
      <w:lvlText w:val="%8)"/>
      <w:lvlJc w:val="left"/>
      <w:pPr>
        <w:ind w:left="3801" w:hanging="420"/>
      </w:pPr>
    </w:lvl>
    <w:lvl w:ilvl="8" w:tentative="0">
      <w:start w:val="1"/>
      <w:numFmt w:val="lowerRoman"/>
      <w:lvlText w:val="%9."/>
      <w:lvlJc w:val="right"/>
      <w:pPr>
        <w:ind w:left="4221" w:hanging="420"/>
      </w:pPr>
    </w:lvl>
  </w:abstractNum>
  <w:abstractNum w:abstractNumId="41">
    <w:nsid w:val="5D14375A"/>
    <w:multiLevelType w:val="multilevel"/>
    <w:tmpl w:val="5D14375A"/>
    <w:lvl w:ilvl="0" w:tentative="0">
      <w:start w:val="1"/>
      <w:numFmt w:val="decimal"/>
      <w:lvlText w:val="%1、"/>
      <w:lvlJc w:val="left"/>
      <w:pPr>
        <w:ind w:left="801" w:hanging="360"/>
      </w:pPr>
      <w:rPr>
        <w:rFonts w:hint="default"/>
      </w:rPr>
    </w:lvl>
    <w:lvl w:ilvl="1" w:tentative="0">
      <w:start w:val="1"/>
      <w:numFmt w:val="lowerLetter"/>
      <w:lvlText w:val="%2)"/>
      <w:lvlJc w:val="left"/>
      <w:pPr>
        <w:ind w:left="1281" w:hanging="420"/>
      </w:pPr>
    </w:lvl>
    <w:lvl w:ilvl="2" w:tentative="0">
      <w:start w:val="1"/>
      <w:numFmt w:val="lowerRoman"/>
      <w:lvlText w:val="%3."/>
      <w:lvlJc w:val="right"/>
      <w:pPr>
        <w:ind w:left="1701" w:hanging="420"/>
      </w:pPr>
    </w:lvl>
    <w:lvl w:ilvl="3" w:tentative="0">
      <w:start w:val="1"/>
      <w:numFmt w:val="decimal"/>
      <w:lvlText w:val="%4."/>
      <w:lvlJc w:val="left"/>
      <w:pPr>
        <w:ind w:left="2121" w:hanging="420"/>
      </w:pPr>
    </w:lvl>
    <w:lvl w:ilvl="4" w:tentative="0">
      <w:start w:val="1"/>
      <w:numFmt w:val="lowerLetter"/>
      <w:lvlText w:val="%5)"/>
      <w:lvlJc w:val="left"/>
      <w:pPr>
        <w:ind w:left="2541" w:hanging="420"/>
      </w:pPr>
    </w:lvl>
    <w:lvl w:ilvl="5" w:tentative="0">
      <w:start w:val="1"/>
      <w:numFmt w:val="lowerRoman"/>
      <w:lvlText w:val="%6."/>
      <w:lvlJc w:val="right"/>
      <w:pPr>
        <w:ind w:left="2961" w:hanging="420"/>
      </w:pPr>
    </w:lvl>
    <w:lvl w:ilvl="6" w:tentative="0">
      <w:start w:val="1"/>
      <w:numFmt w:val="decimal"/>
      <w:lvlText w:val="%7."/>
      <w:lvlJc w:val="left"/>
      <w:pPr>
        <w:ind w:left="3381" w:hanging="420"/>
      </w:pPr>
    </w:lvl>
    <w:lvl w:ilvl="7" w:tentative="0">
      <w:start w:val="1"/>
      <w:numFmt w:val="lowerLetter"/>
      <w:lvlText w:val="%8)"/>
      <w:lvlJc w:val="left"/>
      <w:pPr>
        <w:ind w:left="3801" w:hanging="420"/>
      </w:pPr>
    </w:lvl>
    <w:lvl w:ilvl="8" w:tentative="0">
      <w:start w:val="1"/>
      <w:numFmt w:val="lowerRoman"/>
      <w:lvlText w:val="%9."/>
      <w:lvlJc w:val="right"/>
      <w:pPr>
        <w:ind w:left="4221" w:hanging="420"/>
      </w:pPr>
    </w:lvl>
  </w:abstractNum>
  <w:abstractNum w:abstractNumId="42">
    <w:nsid w:val="5F13DCC8"/>
    <w:multiLevelType w:val="singleLevel"/>
    <w:tmpl w:val="5F13DCC8"/>
    <w:lvl w:ilvl="0" w:tentative="0">
      <w:start w:val="1"/>
      <w:numFmt w:val="decimal"/>
      <w:suff w:val="space"/>
      <w:lvlText w:val="%1）"/>
      <w:lvlJc w:val="left"/>
    </w:lvl>
  </w:abstractNum>
  <w:abstractNum w:abstractNumId="43">
    <w:nsid w:val="5FBCC5E8"/>
    <w:multiLevelType w:val="singleLevel"/>
    <w:tmpl w:val="5FBCC5E8"/>
    <w:lvl w:ilvl="0" w:tentative="0">
      <w:start w:val="1"/>
      <w:numFmt w:val="decimal"/>
      <w:lvlText w:val="%1)"/>
      <w:lvlJc w:val="left"/>
      <w:pPr>
        <w:ind w:left="425" w:hanging="425"/>
      </w:pPr>
      <w:rPr>
        <w:rFonts w:hint="default"/>
      </w:rPr>
    </w:lvl>
  </w:abstractNum>
  <w:abstractNum w:abstractNumId="44">
    <w:nsid w:val="617F007C"/>
    <w:multiLevelType w:val="multilevel"/>
    <w:tmpl w:val="617F007C"/>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5">
    <w:nsid w:val="652C1B44"/>
    <w:multiLevelType w:val="multilevel"/>
    <w:tmpl w:val="652C1B44"/>
    <w:lvl w:ilvl="0" w:tentative="0">
      <w:start w:val="1"/>
      <w:numFmt w:val="decimal"/>
      <w:lvlText w:val="%1、"/>
      <w:lvlJc w:val="left"/>
      <w:pPr>
        <w:ind w:left="801" w:hanging="360"/>
      </w:pPr>
      <w:rPr>
        <w:rFonts w:hint="default"/>
      </w:rPr>
    </w:lvl>
    <w:lvl w:ilvl="1" w:tentative="0">
      <w:start w:val="1"/>
      <w:numFmt w:val="lowerLetter"/>
      <w:lvlText w:val="%2)"/>
      <w:lvlJc w:val="left"/>
      <w:pPr>
        <w:ind w:left="1281" w:hanging="420"/>
      </w:pPr>
    </w:lvl>
    <w:lvl w:ilvl="2" w:tentative="0">
      <w:start w:val="1"/>
      <w:numFmt w:val="lowerRoman"/>
      <w:lvlText w:val="%3."/>
      <w:lvlJc w:val="right"/>
      <w:pPr>
        <w:ind w:left="1701" w:hanging="420"/>
      </w:pPr>
    </w:lvl>
    <w:lvl w:ilvl="3" w:tentative="0">
      <w:start w:val="1"/>
      <w:numFmt w:val="decimal"/>
      <w:lvlText w:val="%4."/>
      <w:lvlJc w:val="left"/>
      <w:pPr>
        <w:ind w:left="2121" w:hanging="420"/>
      </w:pPr>
    </w:lvl>
    <w:lvl w:ilvl="4" w:tentative="0">
      <w:start w:val="1"/>
      <w:numFmt w:val="lowerLetter"/>
      <w:lvlText w:val="%5)"/>
      <w:lvlJc w:val="left"/>
      <w:pPr>
        <w:ind w:left="2541" w:hanging="420"/>
      </w:pPr>
    </w:lvl>
    <w:lvl w:ilvl="5" w:tentative="0">
      <w:start w:val="1"/>
      <w:numFmt w:val="lowerRoman"/>
      <w:lvlText w:val="%6."/>
      <w:lvlJc w:val="right"/>
      <w:pPr>
        <w:ind w:left="2961" w:hanging="420"/>
      </w:pPr>
    </w:lvl>
    <w:lvl w:ilvl="6" w:tentative="0">
      <w:start w:val="1"/>
      <w:numFmt w:val="decimal"/>
      <w:lvlText w:val="%7."/>
      <w:lvlJc w:val="left"/>
      <w:pPr>
        <w:ind w:left="3381" w:hanging="420"/>
      </w:pPr>
    </w:lvl>
    <w:lvl w:ilvl="7" w:tentative="0">
      <w:start w:val="1"/>
      <w:numFmt w:val="lowerLetter"/>
      <w:lvlText w:val="%8)"/>
      <w:lvlJc w:val="left"/>
      <w:pPr>
        <w:ind w:left="3801" w:hanging="420"/>
      </w:pPr>
    </w:lvl>
    <w:lvl w:ilvl="8" w:tentative="0">
      <w:start w:val="1"/>
      <w:numFmt w:val="lowerRoman"/>
      <w:lvlText w:val="%9."/>
      <w:lvlJc w:val="right"/>
      <w:pPr>
        <w:ind w:left="4221" w:hanging="420"/>
      </w:pPr>
    </w:lvl>
  </w:abstractNum>
  <w:abstractNum w:abstractNumId="46">
    <w:nsid w:val="68F620ED"/>
    <w:multiLevelType w:val="singleLevel"/>
    <w:tmpl w:val="68F620ED"/>
    <w:lvl w:ilvl="0" w:tentative="0">
      <w:start w:val="12"/>
      <w:numFmt w:val="decimal"/>
      <w:suff w:val="nothing"/>
      <w:lvlText w:val="%1、"/>
      <w:lvlJc w:val="left"/>
    </w:lvl>
  </w:abstractNum>
  <w:abstractNum w:abstractNumId="47">
    <w:nsid w:val="69861396"/>
    <w:multiLevelType w:val="multilevel"/>
    <w:tmpl w:val="69861396"/>
    <w:lvl w:ilvl="0" w:tentative="0">
      <w:start w:val="1"/>
      <w:numFmt w:val="decimal"/>
      <w:suff w:val="nothing"/>
      <w:lvlText w:val="%1、"/>
      <w:lvlJc w:val="left"/>
      <w:pPr>
        <w:ind w:left="0" w:firstLine="0"/>
      </w:pPr>
      <w:rPr>
        <w:rFonts w:hint="eastAsia"/>
        <w:b/>
      </w:rPr>
    </w:lvl>
    <w:lvl w:ilvl="1" w:tentative="0">
      <w:start w:val="1"/>
      <w:numFmt w:val="lowerLetter"/>
      <w:lvlText w:val="%2)"/>
      <w:lvlJc w:val="left"/>
      <w:pPr>
        <w:ind w:left="1324" w:hanging="420"/>
      </w:pPr>
      <w:rPr>
        <w:rFonts w:hint="eastAsia"/>
      </w:rPr>
    </w:lvl>
    <w:lvl w:ilvl="2" w:tentative="0">
      <w:start w:val="1"/>
      <w:numFmt w:val="lowerRoman"/>
      <w:lvlText w:val="%3."/>
      <w:lvlJc w:val="right"/>
      <w:pPr>
        <w:ind w:left="1744" w:hanging="420"/>
      </w:pPr>
      <w:rPr>
        <w:rFonts w:hint="eastAsia"/>
      </w:rPr>
    </w:lvl>
    <w:lvl w:ilvl="3" w:tentative="0">
      <w:start w:val="1"/>
      <w:numFmt w:val="decimal"/>
      <w:lvlText w:val="%4."/>
      <w:lvlJc w:val="left"/>
      <w:pPr>
        <w:ind w:left="2164" w:hanging="420"/>
      </w:pPr>
      <w:rPr>
        <w:rFonts w:hint="eastAsia"/>
      </w:rPr>
    </w:lvl>
    <w:lvl w:ilvl="4" w:tentative="0">
      <w:start w:val="1"/>
      <w:numFmt w:val="lowerLetter"/>
      <w:lvlText w:val="%5)"/>
      <w:lvlJc w:val="left"/>
      <w:pPr>
        <w:ind w:left="2584" w:hanging="420"/>
      </w:pPr>
      <w:rPr>
        <w:rFonts w:hint="eastAsia"/>
      </w:rPr>
    </w:lvl>
    <w:lvl w:ilvl="5" w:tentative="0">
      <w:start w:val="1"/>
      <w:numFmt w:val="lowerRoman"/>
      <w:lvlText w:val="%6."/>
      <w:lvlJc w:val="right"/>
      <w:pPr>
        <w:ind w:left="3004" w:hanging="420"/>
      </w:pPr>
      <w:rPr>
        <w:rFonts w:hint="eastAsia"/>
      </w:rPr>
    </w:lvl>
    <w:lvl w:ilvl="6" w:tentative="0">
      <w:start w:val="1"/>
      <w:numFmt w:val="decimal"/>
      <w:lvlText w:val="%7."/>
      <w:lvlJc w:val="left"/>
      <w:pPr>
        <w:ind w:left="3424" w:hanging="420"/>
      </w:pPr>
      <w:rPr>
        <w:rFonts w:hint="eastAsia"/>
      </w:rPr>
    </w:lvl>
    <w:lvl w:ilvl="7" w:tentative="0">
      <w:start w:val="1"/>
      <w:numFmt w:val="lowerLetter"/>
      <w:lvlText w:val="%8)"/>
      <w:lvlJc w:val="left"/>
      <w:pPr>
        <w:ind w:left="3844" w:hanging="420"/>
      </w:pPr>
      <w:rPr>
        <w:rFonts w:hint="eastAsia"/>
      </w:rPr>
    </w:lvl>
    <w:lvl w:ilvl="8" w:tentative="0">
      <w:start w:val="1"/>
      <w:numFmt w:val="lowerRoman"/>
      <w:lvlText w:val="%9."/>
      <w:lvlJc w:val="right"/>
      <w:pPr>
        <w:ind w:left="4264" w:hanging="420"/>
      </w:pPr>
      <w:rPr>
        <w:rFonts w:hint="eastAsia"/>
      </w:rPr>
    </w:lvl>
  </w:abstractNum>
  <w:abstractNum w:abstractNumId="48">
    <w:nsid w:val="6A842370"/>
    <w:multiLevelType w:val="multilevel"/>
    <w:tmpl w:val="6A842370"/>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6C181C86"/>
    <w:multiLevelType w:val="multilevel"/>
    <w:tmpl w:val="6C181C86"/>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0">
    <w:nsid w:val="6F9D372B"/>
    <w:multiLevelType w:val="multilevel"/>
    <w:tmpl w:val="6F9D372B"/>
    <w:lvl w:ilvl="0" w:tentative="0">
      <w:start w:val="1"/>
      <w:numFmt w:val="decimal"/>
      <w:lvlText w:val="（%1）"/>
      <w:lvlJc w:val="left"/>
      <w:pPr>
        <w:ind w:left="893" w:hanging="420"/>
      </w:pPr>
      <w:rPr>
        <w:rFonts w:hint="eastAsia" w:eastAsia="宋体" w:cs="Times New Roman"/>
        <w:spacing w:val="0"/>
        <w:w w:val="100"/>
        <w:sz w:val="24"/>
        <w:szCs w:val="32"/>
      </w:rPr>
    </w:lvl>
    <w:lvl w:ilvl="1" w:tentative="0">
      <w:start w:val="1"/>
      <w:numFmt w:val="lowerLetter"/>
      <w:lvlText w:val="%2)"/>
      <w:lvlJc w:val="left"/>
      <w:pPr>
        <w:ind w:left="1313" w:hanging="420"/>
      </w:pPr>
    </w:lvl>
    <w:lvl w:ilvl="2" w:tentative="0">
      <w:start w:val="1"/>
      <w:numFmt w:val="lowerRoman"/>
      <w:lvlText w:val="%3."/>
      <w:lvlJc w:val="right"/>
      <w:pPr>
        <w:ind w:left="1733" w:hanging="420"/>
      </w:pPr>
    </w:lvl>
    <w:lvl w:ilvl="3" w:tentative="0">
      <w:start w:val="1"/>
      <w:numFmt w:val="decimal"/>
      <w:lvlText w:val="%4."/>
      <w:lvlJc w:val="left"/>
      <w:pPr>
        <w:ind w:left="2153" w:hanging="420"/>
      </w:pPr>
    </w:lvl>
    <w:lvl w:ilvl="4" w:tentative="0">
      <w:start w:val="1"/>
      <w:numFmt w:val="lowerLetter"/>
      <w:lvlText w:val="%5)"/>
      <w:lvlJc w:val="left"/>
      <w:pPr>
        <w:ind w:left="2573" w:hanging="420"/>
      </w:pPr>
    </w:lvl>
    <w:lvl w:ilvl="5" w:tentative="0">
      <w:start w:val="1"/>
      <w:numFmt w:val="lowerRoman"/>
      <w:lvlText w:val="%6."/>
      <w:lvlJc w:val="right"/>
      <w:pPr>
        <w:ind w:left="2993" w:hanging="420"/>
      </w:pPr>
    </w:lvl>
    <w:lvl w:ilvl="6" w:tentative="0">
      <w:start w:val="1"/>
      <w:numFmt w:val="decimal"/>
      <w:lvlText w:val="%7."/>
      <w:lvlJc w:val="left"/>
      <w:pPr>
        <w:ind w:left="3413" w:hanging="420"/>
      </w:pPr>
    </w:lvl>
    <w:lvl w:ilvl="7" w:tentative="0">
      <w:start w:val="1"/>
      <w:numFmt w:val="lowerLetter"/>
      <w:lvlText w:val="%8)"/>
      <w:lvlJc w:val="left"/>
      <w:pPr>
        <w:ind w:left="3833" w:hanging="420"/>
      </w:pPr>
    </w:lvl>
    <w:lvl w:ilvl="8" w:tentative="0">
      <w:start w:val="1"/>
      <w:numFmt w:val="lowerRoman"/>
      <w:lvlText w:val="%9."/>
      <w:lvlJc w:val="right"/>
      <w:pPr>
        <w:ind w:left="4253" w:hanging="420"/>
      </w:pPr>
    </w:lvl>
  </w:abstractNum>
  <w:abstractNum w:abstractNumId="51">
    <w:nsid w:val="704F4A3A"/>
    <w:multiLevelType w:val="multilevel"/>
    <w:tmpl w:val="704F4A3A"/>
    <w:lvl w:ilvl="0" w:tentative="0">
      <w:start w:val="1"/>
      <w:numFmt w:val="decimal"/>
      <w:lvlText w:val="（%1）"/>
      <w:lvlJc w:val="left"/>
      <w:pPr>
        <w:ind w:left="893" w:hanging="420"/>
      </w:pPr>
      <w:rPr>
        <w:rFonts w:hint="eastAsia" w:eastAsia="宋体" w:cs="Times New Roman"/>
        <w:spacing w:val="0"/>
        <w:w w:val="100"/>
        <w:sz w:val="24"/>
        <w:szCs w:val="32"/>
      </w:rPr>
    </w:lvl>
    <w:lvl w:ilvl="1" w:tentative="0">
      <w:start w:val="1"/>
      <w:numFmt w:val="lowerLetter"/>
      <w:lvlText w:val="%2)"/>
      <w:lvlJc w:val="left"/>
      <w:pPr>
        <w:ind w:left="1313" w:hanging="420"/>
      </w:pPr>
    </w:lvl>
    <w:lvl w:ilvl="2" w:tentative="0">
      <w:start w:val="1"/>
      <w:numFmt w:val="lowerRoman"/>
      <w:lvlText w:val="%3."/>
      <w:lvlJc w:val="right"/>
      <w:pPr>
        <w:ind w:left="1733" w:hanging="420"/>
      </w:pPr>
    </w:lvl>
    <w:lvl w:ilvl="3" w:tentative="0">
      <w:start w:val="1"/>
      <w:numFmt w:val="decimal"/>
      <w:lvlText w:val="%4."/>
      <w:lvlJc w:val="left"/>
      <w:pPr>
        <w:ind w:left="2153" w:hanging="420"/>
      </w:pPr>
    </w:lvl>
    <w:lvl w:ilvl="4" w:tentative="0">
      <w:start w:val="1"/>
      <w:numFmt w:val="lowerLetter"/>
      <w:lvlText w:val="%5)"/>
      <w:lvlJc w:val="left"/>
      <w:pPr>
        <w:ind w:left="2573" w:hanging="420"/>
      </w:pPr>
    </w:lvl>
    <w:lvl w:ilvl="5" w:tentative="0">
      <w:start w:val="1"/>
      <w:numFmt w:val="lowerRoman"/>
      <w:lvlText w:val="%6."/>
      <w:lvlJc w:val="right"/>
      <w:pPr>
        <w:ind w:left="2993" w:hanging="420"/>
      </w:pPr>
    </w:lvl>
    <w:lvl w:ilvl="6" w:tentative="0">
      <w:start w:val="1"/>
      <w:numFmt w:val="decimal"/>
      <w:lvlText w:val="%7."/>
      <w:lvlJc w:val="left"/>
      <w:pPr>
        <w:ind w:left="3413" w:hanging="420"/>
      </w:pPr>
    </w:lvl>
    <w:lvl w:ilvl="7" w:tentative="0">
      <w:start w:val="1"/>
      <w:numFmt w:val="lowerLetter"/>
      <w:lvlText w:val="%8)"/>
      <w:lvlJc w:val="left"/>
      <w:pPr>
        <w:ind w:left="3833" w:hanging="420"/>
      </w:pPr>
    </w:lvl>
    <w:lvl w:ilvl="8" w:tentative="0">
      <w:start w:val="1"/>
      <w:numFmt w:val="lowerRoman"/>
      <w:lvlText w:val="%9."/>
      <w:lvlJc w:val="right"/>
      <w:pPr>
        <w:ind w:left="4253" w:hanging="420"/>
      </w:pPr>
    </w:lvl>
  </w:abstractNum>
  <w:abstractNum w:abstractNumId="52">
    <w:nsid w:val="789B1545"/>
    <w:multiLevelType w:val="multilevel"/>
    <w:tmpl w:val="789B1545"/>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7AA27748"/>
    <w:multiLevelType w:val="multilevel"/>
    <w:tmpl w:val="7AA27748"/>
    <w:lvl w:ilvl="0" w:tentative="0">
      <w:start w:val="1"/>
      <w:numFmt w:val="decimal"/>
      <w:lvlText w:val="（%1）"/>
      <w:lvlJc w:val="left"/>
      <w:pPr>
        <w:ind w:left="861" w:hanging="420"/>
      </w:pPr>
      <w:rPr>
        <w:rFonts w:hint="default" w:ascii="Times New Roman" w:hAnsi="Times New Roman" w:eastAsia="宋体" w:cs="Times New Roman"/>
        <w:spacing w:val="0"/>
        <w:w w:val="100"/>
        <w:sz w:val="24"/>
        <w:szCs w:val="32"/>
      </w:rPr>
    </w:lvl>
    <w:lvl w:ilvl="1" w:tentative="0">
      <w:start w:val="1"/>
      <w:numFmt w:val="lowerLetter"/>
      <w:lvlText w:val="%2)"/>
      <w:lvlJc w:val="left"/>
      <w:pPr>
        <w:ind w:left="1281" w:hanging="420"/>
      </w:pPr>
    </w:lvl>
    <w:lvl w:ilvl="2" w:tentative="0">
      <w:start w:val="1"/>
      <w:numFmt w:val="lowerRoman"/>
      <w:lvlText w:val="%3."/>
      <w:lvlJc w:val="right"/>
      <w:pPr>
        <w:ind w:left="1701" w:hanging="420"/>
      </w:pPr>
    </w:lvl>
    <w:lvl w:ilvl="3" w:tentative="0">
      <w:start w:val="1"/>
      <w:numFmt w:val="decimal"/>
      <w:lvlText w:val="%4."/>
      <w:lvlJc w:val="left"/>
      <w:pPr>
        <w:ind w:left="2121" w:hanging="420"/>
      </w:pPr>
    </w:lvl>
    <w:lvl w:ilvl="4" w:tentative="0">
      <w:start w:val="1"/>
      <w:numFmt w:val="lowerLetter"/>
      <w:lvlText w:val="%5)"/>
      <w:lvlJc w:val="left"/>
      <w:pPr>
        <w:ind w:left="2541" w:hanging="420"/>
      </w:pPr>
    </w:lvl>
    <w:lvl w:ilvl="5" w:tentative="0">
      <w:start w:val="1"/>
      <w:numFmt w:val="lowerRoman"/>
      <w:lvlText w:val="%6."/>
      <w:lvlJc w:val="right"/>
      <w:pPr>
        <w:ind w:left="2961" w:hanging="420"/>
      </w:pPr>
    </w:lvl>
    <w:lvl w:ilvl="6" w:tentative="0">
      <w:start w:val="1"/>
      <w:numFmt w:val="decimal"/>
      <w:lvlText w:val="%7."/>
      <w:lvlJc w:val="left"/>
      <w:pPr>
        <w:ind w:left="3381" w:hanging="420"/>
      </w:pPr>
    </w:lvl>
    <w:lvl w:ilvl="7" w:tentative="0">
      <w:start w:val="1"/>
      <w:numFmt w:val="lowerLetter"/>
      <w:lvlText w:val="%8)"/>
      <w:lvlJc w:val="left"/>
      <w:pPr>
        <w:ind w:left="3801" w:hanging="420"/>
      </w:pPr>
    </w:lvl>
    <w:lvl w:ilvl="8" w:tentative="0">
      <w:start w:val="1"/>
      <w:numFmt w:val="lowerRoman"/>
      <w:lvlText w:val="%9."/>
      <w:lvlJc w:val="right"/>
      <w:pPr>
        <w:ind w:left="4221" w:hanging="420"/>
      </w:pPr>
    </w:lvl>
  </w:abstractNum>
  <w:abstractNum w:abstractNumId="54">
    <w:nsid w:val="7B56666A"/>
    <w:multiLevelType w:val="multilevel"/>
    <w:tmpl w:val="7B56666A"/>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5">
    <w:nsid w:val="7F984071"/>
    <w:multiLevelType w:val="multilevel"/>
    <w:tmpl w:val="7F984071"/>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6"/>
  </w:num>
  <w:num w:numId="3">
    <w:abstractNumId w:val="4"/>
  </w:num>
  <w:num w:numId="4">
    <w:abstractNumId w:val="35"/>
  </w:num>
  <w:num w:numId="5">
    <w:abstractNumId w:val="0"/>
  </w:num>
  <w:num w:numId="6">
    <w:abstractNumId w:val="24"/>
  </w:num>
  <w:num w:numId="7">
    <w:abstractNumId w:val="48"/>
  </w:num>
  <w:num w:numId="8">
    <w:abstractNumId w:val="54"/>
  </w:num>
  <w:num w:numId="9">
    <w:abstractNumId w:val="44"/>
  </w:num>
  <w:num w:numId="10">
    <w:abstractNumId w:val="30"/>
  </w:num>
  <w:num w:numId="11">
    <w:abstractNumId w:val="27"/>
  </w:num>
  <w:num w:numId="12">
    <w:abstractNumId w:val="20"/>
  </w:num>
  <w:num w:numId="13">
    <w:abstractNumId w:val="38"/>
  </w:num>
  <w:num w:numId="14">
    <w:abstractNumId w:val="45"/>
  </w:num>
  <w:num w:numId="15">
    <w:abstractNumId w:val="37"/>
  </w:num>
  <w:num w:numId="16">
    <w:abstractNumId w:val="16"/>
  </w:num>
  <w:num w:numId="17">
    <w:abstractNumId w:val="41"/>
  </w:num>
  <w:num w:numId="18">
    <w:abstractNumId w:val="8"/>
  </w:num>
  <w:num w:numId="19">
    <w:abstractNumId w:val="12"/>
  </w:num>
  <w:num w:numId="20">
    <w:abstractNumId w:val="10"/>
  </w:num>
  <w:num w:numId="21">
    <w:abstractNumId w:val="52"/>
  </w:num>
  <w:num w:numId="22">
    <w:abstractNumId w:val="14"/>
  </w:num>
  <w:num w:numId="23">
    <w:abstractNumId w:val="55"/>
  </w:num>
  <w:num w:numId="24">
    <w:abstractNumId w:val="22"/>
  </w:num>
  <w:num w:numId="25">
    <w:abstractNumId w:val="6"/>
  </w:num>
  <w:num w:numId="26">
    <w:abstractNumId w:val="13"/>
  </w:num>
  <w:num w:numId="27">
    <w:abstractNumId w:val="29"/>
  </w:num>
  <w:num w:numId="28">
    <w:abstractNumId w:val="36"/>
  </w:num>
  <w:num w:numId="29">
    <w:abstractNumId w:val="23"/>
  </w:num>
  <w:num w:numId="30">
    <w:abstractNumId w:val="26"/>
  </w:num>
  <w:num w:numId="31">
    <w:abstractNumId w:val="43"/>
  </w:num>
  <w:num w:numId="32">
    <w:abstractNumId w:val="49"/>
  </w:num>
  <w:num w:numId="33">
    <w:abstractNumId w:val="42"/>
  </w:num>
  <w:num w:numId="34">
    <w:abstractNumId w:val="1"/>
  </w:num>
  <w:num w:numId="35">
    <w:abstractNumId w:val="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47"/>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num>
  <w:num w:numId="57">
    <w:abstractNumId w:val="21"/>
  </w:num>
  <w:num w:numId="58">
    <w:abstractNumId w:val="28"/>
  </w:num>
  <w:num w:numId="59">
    <w:abstractNumId w:val="25"/>
  </w:num>
  <w:num w:numId="60">
    <w:abstractNumId w:val="15"/>
  </w:num>
  <w:num w:numId="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50F"/>
    <w:rsid w:val="000549BD"/>
    <w:rsid w:val="00084699"/>
    <w:rsid w:val="001A7552"/>
    <w:rsid w:val="002B42C5"/>
    <w:rsid w:val="002C11BF"/>
    <w:rsid w:val="00344EEF"/>
    <w:rsid w:val="0034550F"/>
    <w:rsid w:val="004A261B"/>
    <w:rsid w:val="007430B8"/>
    <w:rsid w:val="00777478"/>
    <w:rsid w:val="00BA4916"/>
    <w:rsid w:val="00BE6ACC"/>
    <w:rsid w:val="00D143C6"/>
    <w:rsid w:val="00D44371"/>
    <w:rsid w:val="00E36071"/>
    <w:rsid w:val="00E56F73"/>
    <w:rsid w:val="00F07FF7"/>
    <w:rsid w:val="00FC3B1D"/>
    <w:rsid w:val="00FE1780"/>
    <w:rsid w:val="01175E41"/>
    <w:rsid w:val="016C2C8C"/>
    <w:rsid w:val="01AE4A5D"/>
    <w:rsid w:val="0204087A"/>
    <w:rsid w:val="02D23E1E"/>
    <w:rsid w:val="03FA0FAA"/>
    <w:rsid w:val="05B64463"/>
    <w:rsid w:val="075A4052"/>
    <w:rsid w:val="07DB7FDD"/>
    <w:rsid w:val="0856206E"/>
    <w:rsid w:val="08F33D56"/>
    <w:rsid w:val="0997600A"/>
    <w:rsid w:val="0A717B8A"/>
    <w:rsid w:val="0AA34F3D"/>
    <w:rsid w:val="0BBE0198"/>
    <w:rsid w:val="0CB81593"/>
    <w:rsid w:val="0DEE0F90"/>
    <w:rsid w:val="0EB75826"/>
    <w:rsid w:val="0ED96484"/>
    <w:rsid w:val="0FC04CB6"/>
    <w:rsid w:val="0FF75B48"/>
    <w:rsid w:val="104E5D16"/>
    <w:rsid w:val="108E1340"/>
    <w:rsid w:val="11056D1C"/>
    <w:rsid w:val="11D71044"/>
    <w:rsid w:val="1250388B"/>
    <w:rsid w:val="132D42D2"/>
    <w:rsid w:val="14BB5F83"/>
    <w:rsid w:val="15796153"/>
    <w:rsid w:val="15D078F9"/>
    <w:rsid w:val="16562557"/>
    <w:rsid w:val="16A73AF6"/>
    <w:rsid w:val="170A6E3A"/>
    <w:rsid w:val="170B6328"/>
    <w:rsid w:val="17736F63"/>
    <w:rsid w:val="177935FD"/>
    <w:rsid w:val="17FB2C27"/>
    <w:rsid w:val="19D95F1D"/>
    <w:rsid w:val="1AFB4F08"/>
    <w:rsid w:val="1BD21E1B"/>
    <w:rsid w:val="1CF004FB"/>
    <w:rsid w:val="1D5C6E68"/>
    <w:rsid w:val="1DC55F3A"/>
    <w:rsid w:val="1DD7157D"/>
    <w:rsid w:val="1F72650F"/>
    <w:rsid w:val="20491ADD"/>
    <w:rsid w:val="206E2604"/>
    <w:rsid w:val="2255567F"/>
    <w:rsid w:val="23453E98"/>
    <w:rsid w:val="238B7C8A"/>
    <w:rsid w:val="24C566B2"/>
    <w:rsid w:val="251B2213"/>
    <w:rsid w:val="25293945"/>
    <w:rsid w:val="263C2E8F"/>
    <w:rsid w:val="271909D4"/>
    <w:rsid w:val="27523337"/>
    <w:rsid w:val="27DB66C5"/>
    <w:rsid w:val="28437DC4"/>
    <w:rsid w:val="2944442E"/>
    <w:rsid w:val="2986684B"/>
    <w:rsid w:val="2A666F1B"/>
    <w:rsid w:val="2BB94533"/>
    <w:rsid w:val="2C0F4FCD"/>
    <w:rsid w:val="2C1005F7"/>
    <w:rsid w:val="2D1D0C46"/>
    <w:rsid w:val="2E160C2C"/>
    <w:rsid w:val="2E2E1209"/>
    <w:rsid w:val="2E7E4CEF"/>
    <w:rsid w:val="2F340AA1"/>
    <w:rsid w:val="3169527B"/>
    <w:rsid w:val="31914109"/>
    <w:rsid w:val="32616029"/>
    <w:rsid w:val="331678C1"/>
    <w:rsid w:val="33667DB2"/>
    <w:rsid w:val="33D47D4F"/>
    <w:rsid w:val="33D80C9C"/>
    <w:rsid w:val="33EC245B"/>
    <w:rsid w:val="34A34B92"/>
    <w:rsid w:val="34FA128E"/>
    <w:rsid w:val="353055C0"/>
    <w:rsid w:val="354B08F2"/>
    <w:rsid w:val="365526A8"/>
    <w:rsid w:val="36654E0A"/>
    <w:rsid w:val="366F0D29"/>
    <w:rsid w:val="37311A62"/>
    <w:rsid w:val="377D1E8C"/>
    <w:rsid w:val="37D9281F"/>
    <w:rsid w:val="38B1729A"/>
    <w:rsid w:val="38D0397A"/>
    <w:rsid w:val="39CC2FA3"/>
    <w:rsid w:val="3CA65F73"/>
    <w:rsid w:val="3CEB19DF"/>
    <w:rsid w:val="3DAC777D"/>
    <w:rsid w:val="3E716C1B"/>
    <w:rsid w:val="3F51437F"/>
    <w:rsid w:val="40694372"/>
    <w:rsid w:val="4150062A"/>
    <w:rsid w:val="418F1B67"/>
    <w:rsid w:val="43010869"/>
    <w:rsid w:val="44176774"/>
    <w:rsid w:val="44652CD9"/>
    <w:rsid w:val="44DF2E05"/>
    <w:rsid w:val="463E2200"/>
    <w:rsid w:val="46591F14"/>
    <w:rsid w:val="47B8375F"/>
    <w:rsid w:val="48551201"/>
    <w:rsid w:val="49DF53DA"/>
    <w:rsid w:val="4A3F04B8"/>
    <w:rsid w:val="4AE64C3F"/>
    <w:rsid w:val="4AFE3EA6"/>
    <w:rsid w:val="4B693428"/>
    <w:rsid w:val="4C0746F3"/>
    <w:rsid w:val="4CF94B33"/>
    <w:rsid w:val="4D932760"/>
    <w:rsid w:val="4D982059"/>
    <w:rsid w:val="4E4E19C6"/>
    <w:rsid w:val="4F58547F"/>
    <w:rsid w:val="50437B10"/>
    <w:rsid w:val="515439EB"/>
    <w:rsid w:val="51E81390"/>
    <w:rsid w:val="525A10AE"/>
    <w:rsid w:val="543079D2"/>
    <w:rsid w:val="55107EBA"/>
    <w:rsid w:val="55E944A7"/>
    <w:rsid w:val="560E7B8E"/>
    <w:rsid w:val="566B0E33"/>
    <w:rsid w:val="56892F8C"/>
    <w:rsid w:val="568A20CF"/>
    <w:rsid w:val="56BF508F"/>
    <w:rsid w:val="57D402B9"/>
    <w:rsid w:val="58BB0DC9"/>
    <w:rsid w:val="58CF092A"/>
    <w:rsid w:val="59783BDB"/>
    <w:rsid w:val="59880476"/>
    <w:rsid w:val="5A23299A"/>
    <w:rsid w:val="5AA22D1F"/>
    <w:rsid w:val="5B12757E"/>
    <w:rsid w:val="5CA90970"/>
    <w:rsid w:val="5D0E70DE"/>
    <w:rsid w:val="5DBF38C9"/>
    <w:rsid w:val="5DE01A38"/>
    <w:rsid w:val="5F5F2E61"/>
    <w:rsid w:val="5F6236C7"/>
    <w:rsid w:val="60AD570E"/>
    <w:rsid w:val="616F002F"/>
    <w:rsid w:val="61850C28"/>
    <w:rsid w:val="61E61767"/>
    <w:rsid w:val="61FB6945"/>
    <w:rsid w:val="63AA3442"/>
    <w:rsid w:val="63D11810"/>
    <w:rsid w:val="63EA73A4"/>
    <w:rsid w:val="643F6ABB"/>
    <w:rsid w:val="648C51F5"/>
    <w:rsid w:val="64EE70DB"/>
    <w:rsid w:val="6590449A"/>
    <w:rsid w:val="665C2DE4"/>
    <w:rsid w:val="68A42C6A"/>
    <w:rsid w:val="68C3208D"/>
    <w:rsid w:val="69892779"/>
    <w:rsid w:val="698C029F"/>
    <w:rsid w:val="699000DC"/>
    <w:rsid w:val="6AC51B06"/>
    <w:rsid w:val="6ACF6BE4"/>
    <w:rsid w:val="6AE86FDE"/>
    <w:rsid w:val="6B656CAD"/>
    <w:rsid w:val="6C3716F7"/>
    <w:rsid w:val="6C4741E8"/>
    <w:rsid w:val="6C58640B"/>
    <w:rsid w:val="6CE87CEC"/>
    <w:rsid w:val="6D9C0EEE"/>
    <w:rsid w:val="6DD358C1"/>
    <w:rsid w:val="6E5D307B"/>
    <w:rsid w:val="6E5D588C"/>
    <w:rsid w:val="6EF07B1E"/>
    <w:rsid w:val="6FB344DE"/>
    <w:rsid w:val="70230F84"/>
    <w:rsid w:val="709D5444"/>
    <w:rsid w:val="70C90807"/>
    <w:rsid w:val="70D56E15"/>
    <w:rsid w:val="710B0CC0"/>
    <w:rsid w:val="71315663"/>
    <w:rsid w:val="726B08FA"/>
    <w:rsid w:val="726B430B"/>
    <w:rsid w:val="75BE0042"/>
    <w:rsid w:val="761C0627"/>
    <w:rsid w:val="76E14066"/>
    <w:rsid w:val="77060083"/>
    <w:rsid w:val="779D6084"/>
    <w:rsid w:val="77B364F0"/>
    <w:rsid w:val="783512AF"/>
    <w:rsid w:val="78D3389B"/>
    <w:rsid w:val="797D7FF1"/>
    <w:rsid w:val="7A66743E"/>
    <w:rsid w:val="7A7C5550"/>
    <w:rsid w:val="7BD45C54"/>
    <w:rsid w:val="7DD6736E"/>
    <w:rsid w:val="7EB96DFD"/>
    <w:rsid w:val="7F6677F0"/>
    <w:rsid w:val="7FD47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9" w:semiHidden="0" w:name="heading 6"/>
    <w:lsdException w:qFormat="1" w:uiPriority="9" w:semiHidden="0" w:name="heading 7"/>
    <w:lsdException w:qFormat="1" w:uiPriority="9" w:semiHidden="0" w:name="heading 8"/>
    <w:lsdException w:qFormat="1" w:uiPriority="9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2">
    <w:name w:val="heading 2"/>
    <w:basedOn w:val="3"/>
    <w:next w:val="1"/>
    <w:unhideWhenUsed/>
    <w:qFormat/>
    <w:uiPriority w:val="0"/>
    <w:pPr>
      <w:spacing w:before="0" w:beforeAutospacing="1" w:after="0" w:afterAutospacing="1"/>
      <w:jc w:val="left"/>
      <w:outlineLvl w:val="1"/>
    </w:pPr>
    <w:rPr>
      <w:rFonts w:hint="eastAsia" w:cs="Times New Roman"/>
      <w:b/>
      <w:kern w:val="0"/>
      <w:sz w:val="36"/>
      <w:szCs w:val="36"/>
    </w:rPr>
  </w:style>
  <w:style w:type="paragraph" w:styleId="5">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paragraph" w:styleId="6">
    <w:name w:val="heading 4"/>
    <w:basedOn w:val="1"/>
    <w:next w:val="1"/>
    <w:unhideWhenUsed/>
    <w:qFormat/>
    <w:uiPriority w:val="0"/>
    <w:pPr>
      <w:keepNext/>
      <w:keepLines/>
      <w:numPr>
        <w:ilvl w:val="3"/>
        <w:numId w:val="1"/>
      </w:numPr>
      <w:spacing w:line="360" w:lineRule="auto"/>
      <w:ind w:firstLine="200"/>
      <w:jc w:val="left"/>
      <w:outlineLvl w:val="3"/>
    </w:pPr>
    <w:rPr>
      <w:rFonts w:ascii="宋体" w:hAnsi="宋体" w:eastAsia="宋体" w:cs="宋体"/>
      <w:bCs/>
      <w:sz w:val="28"/>
      <w:szCs w:val="28"/>
    </w:rPr>
  </w:style>
  <w:style w:type="paragraph" w:styleId="7">
    <w:name w:val="heading 5"/>
    <w:basedOn w:val="1"/>
    <w:next w:val="1"/>
    <w:unhideWhenUsed/>
    <w:qFormat/>
    <w:uiPriority w:val="0"/>
    <w:pPr>
      <w:keepNext/>
      <w:keepLines/>
      <w:numPr>
        <w:ilvl w:val="4"/>
        <w:numId w:val="1"/>
      </w:numPr>
      <w:adjustRightInd w:val="0"/>
      <w:spacing w:line="360" w:lineRule="auto"/>
      <w:ind w:firstLine="200"/>
      <w:jc w:val="left"/>
      <w:outlineLvl w:val="4"/>
    </w:pPr>
    <w:rPr>
      <w:rFonts w:ascii="宋体" w:hAnsi="宋体" w:eastAsia="宋体" w:cs="Times New Roman"/>
      <w:sz w:val="28"/>
    </w:rPr>
  </w:style>
  <w:style w:type="paragraph" w:styleId="8">
    <w:name w:val="heading 6"/>
    <w:basedOn w:val="1"/>
    <w:next w:val="1"/>
    <w:unhideWhenUsed/>
    <w:qFormat/>
    <w:uiPriority w:val="9"/>
    <w:pPr>
      <w:keepNext/>
      <w:keepLines/>
      <w:numPr>
        <w:ilvl w:val="5"/>
        <w:numId w:val="1"/>
      </w:numPr>
      <w:spacing w:line="360" w:lineRule="auto"/>
      <w:ind w:firstLine="200"/>
      <w:jc w:val="left"/>
      <w:outlineLvl w:val="5"/>
    </w:pPr>
    <w:rPr>
      <w:rFonts w:ascii="宋体" w:hAnsi="宋体" w:eastAsia="宋体" w:cs="宋体"/>
      <w:sz w:val="28"/>
      <w:szCs w:val="28"/>
    </w:rPr>
  </w:style>
  <w:style w:type="paragraph" w:styleId="3">
    <w:name w:val="heading 7"/>
    <w:basedOn w:val="1"/>
    <w:next w:val="1"/>
    <w:unhideWhenUsed/>
    <w:qFormat/>
    <w:uiPriority w:val="9"/>
    <w:pPr>
      <w:keepNext/>
      <w:keepLines/>
      <w:numPr>
        <w:ilvl w:val="6"/>
        <w:numId w:val="1"/>
      </w:numPr>
      <w:spacing w:before="240" w:after="64" w:line="360" w:lineRule="auto"/>
      <w:outlineLvl w:val="6"/>
    </w:pPr>
    <w:rPr>
      <w:rFonts w:ascii="宋体" w:hAnsi="宋体" w:eastAsia="宋体" w:cs="宋体"/>
      <w:sz w:val="28"/>
      <w:szCs w:val="28"/>
    </w:rPr>
  </w:style>
  <w:style w:type="paragraph" w:styleId="9">
    <w:name w:val="heading 8"/>
    <w:next w:val="1"/>
    <w:unhideWhenUsed/>
    <w:qFormat/>
    <w:uiPriority w:val="9"/>
    <w:pPr>
      <w:keepNext/>
      <w:keepLines/>
      <w:widowControl w:val="0"/>
      <w:numPr>
        <w:ilvl w:val="7"/>
        <w:numId w:val="1"/>
      </w:numPr>
      <w:spacing w:before="240" w:after="64" w:line="320" w:lineRule="auto"/>
      <w:ind w:firstLine="200"/>
      <w:jc w:val="both"/>
      <w:outlineLvl w:val="7"/>
    </w:pPr>
    <w:rPr>
      <w:rFonts w:asciiTheme="majorHAnsi" w:hAnsiTheme="majorHAnsi" w:eastAsiaTheme="majorEastAsia" w:cstheme="majorBidi"/>
      <w:kern w:val="2"/>
      <w:sz w:val="24"/>
      <w:szCs w:val="21"/>
      <w:lang w:val="en-US" w:eastAsia="zh-CN" w:bidi="ar-SA"/>
    </w:rPr>
  </w:style>
  <w:style w:type="paragraph" w:styleId="10">
    <w:name w:val="heading 9"/>
    <w:next w:val="1"/>
    <w:unhideWhenUsed/>
    <w:qFormat/>
    <w:uiPriority w:val="99"/>
    <w:pPr>
      <w:keepNext/>
      <w:keepLines/>
      <w:widowControl w:val="0"/>
      <w:numPr>
        <w:ilvl w:val="8"/>
        <w:numId w:val="1"/>
      </w:numPr>
      <w:spacing w:before="240" w:after="64" w:line="320" w:lineRule="auto"/>
      <w:ind w:firstLine="200"/>
      <w:jc w:val="both"/>
      <w:outlineLvl w:val="8"/>
    </w:pPr>
    <w:rPr>
      <w:rFonts w:asciiTheme="majorHAnsi" w:hAnsiTheme="majorHAnsi" w:eastAsiaTheme="majorEastAsia" w:cstheme="majorBidi"/>
      <w:kern w:val="2"/>
      <w:sz w:val="24"/>
      <w:szCs w:val="21"/>
      <w:lang w:val="en-US" w:eastAsia="zh-CN" w:bidi="ar-SA"/>
    </w:rPr>
  </w:style>
  <w:style w:type="character" w:default="1" w:styleId="31">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caption"/>
    <w:next w:val="1"/>
    <w:unhideWhenUsed/>
    <w:qFormat/>
    <w:uiPriority w:val="0"/>
    <w:pPr>
      <w:widowControl w:val="0"/>
      <w:spacing w:line="360" w:lineRule="auto"/>
      <w:ind w:firstLine="200" w:firstLineChars="200"/>
      <w:jc w:val="center"/>
    </w:pPr>
    <w:rPr>
      <w:rFonts w:ascii="宋体" w:hAnsi="宋体" w:eastAsia="宋体" w:cs="宋体"/>
      <w:kern w:val="2"/>
      <w:sz w:val="24"/>
      <w:szCs w:val="24"/>
      <w:lang w:val="en-US" w:eastAsia="zh-CN" w:bidi="ar-SA"/>
    </w:rPr>
  </w:style>
  <w:style w:type="paragraph" w:styleId="13">
    <w:name w:val="annotation text"/>
    <w:basedOn w:val="1"/>
    <w:link w:val="57"/>
    <w:qFormat/>
    <w:uiPriority w:val="0"/>
    <w:pPr>
      <w:jc w:val="left"/>
    </w:pPr>
  </w:style>
  <w:style w:type="paragraph" w:styleId="14">
    <w:name w:val="Body Text"/>
    <w:basedOn w:val="1"/>
    <w:qFormat/>
    <w:uiPriority w:val="0"/>
    <w:pPr>
      <w:spacing w:line="380" w:lineRule="exact"/>
    </w:pPr>
    <w:rPr>
      <w:sz w:val="24"/>
    </w:rPr>
  </w:style>
  <w:style w:type="paragraph" w:styleId="15">
    <w:name w:val="toc 5"/>
    <w:basedOn w:val="1"/>
    <w:next w:val="1"/>
    <w:qFormat/>
    <w:uiPriority w:val="0"/>
    <w:pPr>
      <w:ind w:left="1680" w:leftChars="800"/>
    </w:pPr>
  </w:style>
  <w:style w:type="paragraph" w:styleId="16">
    <w:name w:val="toc 3"/>
    <w:basedOn w:val="1"/>
    <w:next w:val="1"/>
    <w:qFormat/>
    <w:uiPriority w:val="0"/>
    <w:pPr>
      <w:ind w:left="840" w:leftChars="400"/>
    </w:pPr>
  </w:style>
  <w:style w:type="paragraph" w:styleId="17">
    <w:name w:val="Plain Text"/>
    <w:basedOn w:val="1"/>
    <w:qFormat/>
    <w:uiPriority w:val="0"/>
    <w:rPr>
      <w:rFonts w:ascii="宋体" w:hAnsi="Courier New"/>
    </w:rPr>
  </w:style>
  <w:style w:type="paragraph" w:styleId="18">
    <w:name w:val="toc 8"/>
    <w:basedOn w:val="1"/>
    <w:next w:val="1"/>
    <w:qFormat/>
    <w:uiPriority w:val="0"/>
    <w:pPr>
      <w:ind w:left="2940" w:leftChars="1400"/>
    </w:pPr>
  </w:style>
  <w:style w:type="paragraph" w:styleId="19">
    <w:name w:val="Balloon Text"/>
    <w:basedOn w:val="1"/>
    <w:link w:val="56"/>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rPr>
  </w:style>
  <w:style w:type="paragraph" w:styleId="2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2">
    <w:name w:val="toc 1"/>
    <w:basedOn w:val="1"/>
    <w:next w:val="1"/>
    <w:qFormat/>
    <w:uiPriority w:val="0"/>
  </w:style>
  <w:style w:type="paragraph" w:styleId="23">
    <w:name w:val="toc 4"/>
    <w:basedOn w:val="1"/>
    <w:next w:val="1"/>
    <w:qFormat/>
    <w:uiPriority w:val="0"/>
    <w:pPr>
      <w:ind w:left="1260" w:leftChars="600"/>
    </w:pPr>
  </w:style>
  <w:style w:type="paragraph" w:styleId="24">
    <w:name w:val="toc 6"/>
    <w:basedOn w:val="1"/>
    <w:next w:val="1"/>
    <w:qFormat/>
    <w:uiPriority w:val="0"/>
    <w:pPr>
      <w:ind w:left="2100" w:leftChars="1000"/>
    </w:pPr>
  </w:style>
  <w:style w:type="paragraph" w:styleId="25">
    <w:name w:val="toc 2"/>
    <w:basedOn w:val="1"/>
    <w:next w:val="1"/>
    <w:qFormat/>
    <w:uiPriority w:val="0"/>
    <w:pPr>
      <w:ind w:left="420" w:leftChars="200"/>
    </w:pPr>
  </w:style>
  <w:style w:type="paragraph" w:styleId="26">
    <w:name w:val="toc 9"/>
    <w:basedOn w:val="1"/>
    <w:next w:val="1"/>
    <w:qFormat/>
    <w:uiPriority w:val="0"/>
    <w:pPr>
      <w:ind w:left="3360" w:leftChars="1600"/>
    </w:pPr>
  </w:style>
  <w:style w:type="paragraph" w:styleId="27">
    <w:name w:val="Normal (Web)"/>
    <w:basedOn w:val="1"/>
    <w:qFormat/>
    <w:uiPriority w:val="0"/>
    <w:pPr>
      <w:spacing w:beforeAutospacing="1" w:afterAutospacing="1"/>
      <w:jc w:val="left"/>
    </w:pPr>
    <w:rPr>
      <w:rFonts w:cs="Times New Roman"/>
      <w:kern w:val="0"/>
      <w:sz w:val="24"/>
    </w:rPr>
  </w:style>
  <w:style w:type="paragraph" w:styleId="28">
    <w:name w:val="annotation subject"/>
    <w:basedOn w:val="13"/>
    <w:next w:val="13"/>
    <w:link w:val="58"/>
    <w:qFormat/>
    <w:uiPriority w:val="0"/>
    <w:rPr>
      <w:b/>
      <w:bCs/>
    </w:rPr>
  </w:style>
  <w:style w:type="paragraph" w:styleId="29">
    <w:name w:val="Body Text First Indent"/>
    <w:basedOn w:val="14"/>
    <w:qFormat/>
    <w:uiPriority w:val="0"/>
    <w:pPr>
      <w:spacing w:after="120" w:line="240" w:lineRule="auto"/>
      <w:ind w:firstLine="420" w:firstLineChars="100"/>
    </w:pPr>
    <w:rPr>
      <w:sz w:val="21"/>
    </w:rPr>
  </w:style>
  <w:style w:type="character" w:styleId="32">
    <w:name w:val="Strong"/>
    <w:basedOn w:val="31"/>
    <w:qFormat/>
    <w:uiPriority w:val="0"/>
    <w:rPr>
      <w:b/>
      <w:bCs/>
    </w:rPr>
  </w:style>
  <w:style w:type="character" w:styleId="33">
    <w:name w:val="FollowedHyperlink"/>
    <w:basedOn w:val="31"/>
    <w:qFormat/>
    <w:uiPriority w:val="0"/>
    <w:rPr>
      <w:color w:val="666666"/>
      <w:u w:val="none"/>
    </w:rPr>
  </w:style>
  <w:style w:type="character" w:styleId="34">
    <w:name w:val="Emphasis"/>
    <w:basedOn w:val="31"/>
    <w:qFormat/>
    <w:uiPriority w:val="0"/>
  </w:style>
  <w:style w:type="character" w:styleId="35">
    <w:name w:val="HTML Definition"/>
    <w:basedOn w:val="31"/>
    <w:qFormat/>
    <w:uiPriority w:val="0"/>
    <w:rPr>
      <w:i/>
      <w:iCs/>
    </w:rPr>
  </w:style>
  <w:style w:type="character" w:styleId="36">
    <w:name w:val="Hyperlink"/>
    <w:basedOn w:val="31"/>
    <w:qFormat/>
    <w:uiPriority w:val="0"/>
    <w:rPr>
      <w:color w:val="666666"/>
      <w:u w:val="none"/>
    </w:rPr>
  </w:style>
  <w:style w:type="character" w:styleId="37">
    <w:name w:val="HTML Code"/>
    <w:basedOn w:val="31"/>
    <w:qFormat/>
    <w:uiPriority w:val="0"/>
    <w:rPr>
      <w:rFonts w:hint="default" w:ascii="Consolas" w:hAnsi="Consolas" w:eastAsia="Consolas" w:cs="Consolas"/>
      <w:color w:val="CA4440"/>
      <w:sz w:val="21"/>
      <w:szCs w:val="21"/>
      <w:shd w:val="clear" w:color="auto" w:fill="F9F2F4"/>
    </w:rPr>
  </w:style>
  <w:style w:type="character" w:styleId="38">
    <w:name w:val="annotation reference"/>
    <w:basedOn w:val="31"/>
    <w:qFormat/>
    <w:uiPriority w:val="0"/>
    <w:rPr>
      <w:sz w:val="21"/>
      <w:szCs w:val="21"/>
    </w:rPr>
  </w:style>
  <w:style w:type="character" w:styleId="39">
    <w:name w:val="HTML Keyboard"/>
    <w:basedOn w:val="31"/>
    <w:qFormat/>
    <w:uiPriority w:val="0"/>
    <w:rPr>
      <w:rFonts w:hint="default" w:ascii="Consolas" w:hAnsi="Consolas" w:eastAsia="Consolas" w:cs="Consolas"/>
      <w:color w:val="FFFFFF"/>
      <w:sz w:val="21"/>
      <w:szCs w:val="21"/>
      <w:shd w:val="clear" w:color="auto" w:fill="333333"/>
    </w:rPr>
  </w:style>
  <w:style w:type="character" w:styleId="40">
    <w:name w:val="HTML Sample"/>
    <w:basedOn w:val="31"/>
    <w:qFormat/>
    <w:uiPriority w:val="0"/>
    <w:rPr>
      <w:rFonts w:ascii="Consolas" w:hAnsi="Consolas" w:eastAsia="Consolas" w:cs="Consolas"/>
      <w:sz w:val="21"/>
      <w:szCs w:val="21"/>
    </w:rPr>
  </w:style>
  <w:style w:type="paragraph" w:customStyle="1" w:styleId="41">
    <w:name w:val="Body Text 21"/>
    <w:basedOn w:val="1"/>
    <w:next w:val="1"/>
    <w:qFormat/>
    <w:uiPriority w:val="0"/>
    <w:pPr>
      <w:widowControl/>
      <w:spacing w:after="120" w:line="480" w:lineRule="auto"/>
    </w:pPr>
    <w:rPr>
      <w:rFonts w:ascii="Times New Roman" w:eastAsia="宋体"/>
    </w:rPr>
  </w:style>
  <w:style w:type="character" w:customStyle="1" w:styleId="42">
    <w:name w:val="label"/>
    <w:basedOn w:val="31"/>
    <w:qFormat/>
    <w:uiPriority w:val="0"/>
    <w:rPr>
      <w:color w:val="1AB394"/>
      <w:shd w:val="clear" w:color="auto" w:fill="FFFFFF"/>
    </w:rPr>
  </w:style>
  <w:style w:type="character" w:customStyle="1" w:styleId="43">
    <w:name w:val="label1"/>
    <w:basedOn w:val="31"/>
    <w:qFormat/>
    <w:uiPriority w:val="0"/>
    <w:rPr>
      <w:color w:val="1CC09F"/>
      <w:shd w:val="clear" w:color="auto" w:fill="FFFFFF"/>
    </w:rPr>
  </w:style>
  <w:style w:type="character" w:customStyle="1" w:styleId="44">
    <w:name w:val="label2"/>
    <w:basedOn w:val="31"/>
    <w:qFormat/>
    <w:uiPriority w:val="0"/>
  </w:style>
  <w:style w:type="character" w:customStyle="1" w:styleId="45">
    <w:name w:val="label3"/>
    <w:basedOn w:val="31"/>
    <w:qFormat/>
    <w:uiPriority w:val="0"/>
  </w:style>
  <w:style w:type="character" w:customStyle="1" w:styleId="46">
    <w:name w:val="navy"/>
    <w:basedOn w:val="31"/>
    <w:qFormat/>
    <w:uiPriority w:val="0"/>
    <w:rPr>
      <w:color w:val="1AB394"/>
    </w:rPr>
  </w:style>
  <w:style w:type="character" w:customStyle="1" w:styleId="47">
    <w:name w:val="label10"/>
    <w:basedOn w:val="31"/>
    <w:qFormat/>
    <w:uiPriority w:val="0"/>
    <w:rPr>
      <w:color w:val="1AB394"/>
      <w:shd w:val="clear" w:color="auto" w:fill="FFFFFF"/>
    </w:rPr>
  </w:style>
  <w:style w:type="character" w:customStyle="1" w:styleId="48">
    <w:name w:val="label11"/>
    <w:basedOn w:val="31"/>
    <w:qFormat/>
    <w:uiPriority w:val="0"/>
    <w:rPr>
      <w:color w:val="1CC09F"/>
      <w:shd w:val="clear" w:color="auto" w:fill="FFFFFF"/>
    </w:rPr>
  </w:style>
  <w:style w:type="character" w:customStyle="1" w:styleId="49">
    <w:name w:val="label12"/>
    <w:basedOn w:val="31"/>
    <w:qFormat/>
    <w:uiPriority w:val="0"/>
  </w:style>
  <w:style w:type="character" w:customStyle="1" w:styleId="50">
    <w:name w:val="label13"/>
    <w:basedOn w:val="31"/>
    <w:qFormat/>
    <w:uiPriority w:val="0"/>
  </w:style>
  <w:style w:type="character" w:customStyle="1" w:styleId="51">
    <w:name w:val="active"/>
    <w:basedOn w:val="31"/>
    <w:qFormat/>
    <w:uiPriority w:val="0"/>
    <w:rPr>
      <w:shd w:val="clear" w:color="auto" w:fill="EC3535"/>
    </w:rPr>
  </w:style>
  <w:style w:type="character" w:customStyle="1" w:styleId="52">
    <w:name w:val="label9"/>
    <w:basedOn w:val="31"/>
    <w:qFormat/>
    <w:uiPriority w:val="0"/>
    <w:rPr>
      <w:color w:val="1AB394"/>
      <w:shd w:val="clear" w:color="auto" w:fill="FFFFFF"/>
    </w:rPr>
  </w:style>
  <w:style w:type="paragraph" w:customStyle="1" w:styleId="53">
    <w:name w:val="！正文"/>
    <w:basedOn w:val="1"/>
    <w:qFormat/>
    <w:uiPriority w:val="0"/>
  </w:style>
  <w:style w:type="paragraph" w:customStyle="1" w:styleId="54">
    <w:name w:val="FC正文"/>
    <w:qFormat/>
    <w:uiPriority w:val="0"/>
    <w:pPr>
      <w:widowControl w:val="0"/>
      <w:snapToGrid w:val="0"/>
      <w:spacing w:beforeLines="50" w:afterLines="50" w:line="360" w:lineRule="auto"/>
      <w:ind w:firstLine="200" w:firstLineChars="200"/>
      <w:contextualSpacing/>
      <w:jc w:val="both"/>
    </w:pPr>
    <w:rPr>
      <w:rFonts w:ascii="宋体" w:hAnsi="宋体" w:eastAsia="宋体" w:cs="Times New Roman"/>
      <w:kern w:val="2"/>
      <w:sz w:val="24"/>
      <w:szCs w:val="21"/>
      <w:lang w:val="en-US" w:eastAsia="zh-CN" w:bidi="ar-SA"/>
    </w:rPr>
  </w:style>
  <w:style w:type="paragraph" w:customStyle="1" w:styleId="55">
    <w:name w:val="列出段落1"/>
    <w:qFormat/>
    <w:uiPriority w:val="34"/>
    <w:pPr>
      <w:widowControl w:val="0"/>
      <w:spacing w:line="360" w:lineRule="auto"/>
      <w:ind w:firstLine="420" w:firstLineChars="200"/>
      <w:jc w:val="both"/>
    </w:pPr>
    <w:rPr>
      <w:rFonts w:ascii="Times New Roman" w:hAnsi="Times New Roman" w:eastAsia="宋体" w:cs="Times New Roman"/>
      <w:kern w:val="2"/>
      <w:sz w:val="24"/>
      <w:szCs w:val="21"/>
      <w:lang w:val="en-US" w:eastAsia="zh-CN" w:bidi="ar-SA"/>
    </w:rPr>
  </w:style>
  <w:style w:type="character" w:customStyle="1" w:styleId="56">
    <w:name w:val="批注框文本 Char"/>
    <w:basedOn w:val="31"/>
    <w:link w:val="19"/>
    <w:qFormat/>
    <w:uiPriority w:val="0"/>
    <w:rPr>
      <w:rFonts w:asciiTheme="minorHAnsi" w:hAnsiTheme="minorHAnsi" w:eastAsiaTheme="minorEastAsia" w:cstheme="minorBidi"/>
      <w:kern w:val="2"/>
      <w:sz w:val="18"/>
      <w:szCs w:val="18"/>
    </w:rPr>
  </w:style>
  <w:style w:type="character" w:customStyle="1" w:styleId="57">
    <w:name w:val="批注文字 Char"/>
    <w:basedOn w:val="31"/>
    <w:link w:val="13"/>
    <w:qFormat/>
    <w:uiPriority w:val="0"/>
    <w:rPr>
      <w:rFonts w:asciiTheme="minorHAnsi" w:hAnsiTheme="minorHAnsi" w:eastAsiaTheme="minorEastAsia" w:cstheme="minorBidi"/>
      <w:kern w:val="2"/>
      <w:sz w:val="21"/>
      <w:szCs w:val="24"/>
    </w:rPr>
  </w:style>
  <w:style w:type="character" w:customStyle="1" w:styleId="58">
    <w:name w:val="批注主题 Char"/>
    <w:basedOn w:val="57"/>
    <w:link w:val="28"/>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emf"/><Relationship Id="rId7" Type="http://schemas.openxmlformats.org/officeDocument/2006/relationships/theme" Target="theme/theme1.xml"/><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footer" Target="footer3.xml"/><Relationship Id="rId59" Type="http://schemas.openxmlformats.org/officeDocument/2006/relationships/customXml" Target="../customXml/item1.xml"/><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wmf"/><Relationship Id="rId54" Type="http://schemas.openxmlformats.org/officeDocument/2006/relationships/oleObject" Target="embeddings/oleObject2.bin"/><Relationship Id="rId53" Type="http://schemas.openxmlformats.org/officeDocument/2006/relationships/image" Target="media/image45.wmf"/><Relationship Id="rId52" Type="http://schemas.openxmlformats.org/officeDocument/2006/relationships/oleObject" Target="embeddings/oleObject1.bin"/><Relationship Id="rId51" Type="http://schemas.openxmlformats.org/officeDocument/2006/relationships/image" Target="media/image44.emf"/><Relationship Id="rId50" Type="http://schemas.openxmlformats.org/officeDocument/2006/relationships/image" Target="media/image43.png"/><Relationship Id="rId5" Type="http://schemas.openxmlformats.org/officeDocument/2006/relationships/footer" Target="footer2.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jpeg"/><Relationship Id="rId45" Type="http://schemas.openxmlformats.org/officeDocument/2006/relationships/image" Target="media/image38.jpeg"/><Relationship Id="rId44" Type="http://schemas.openxmlformats.org/officeDocument/2006/relationships/image" Target="media/image37.jpeg"/><Relationship Id="rId43" Type="http://schemas.openxmlformats.org/officeDocument/2006/relationships/image" Target="media/image36.emf"/><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footer" Target="footer1.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jpeg"/><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png"/><Relationship Id="rId31" Type="http://schemas.openxmlformats.org/officeDocument/2006/relationships/image" Target="media/image24.jpeg"/><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emf"/><Relationship Id="rId16" Type="http://schemas.openxmlformats.org/officeDocument/2006/relationships/image" Target="media/image9.png"/><Relationship Id="rId15" Type="http://schemas.openxmlformats.org/officeDocument/2006/relationships/image" Target="media/image8.emf"/><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emf"/><Relationship Id="rId11" Type="http://schemas.openxmlformats.org/officeDocument/2006/relationships/image" Target="media/image4.emf"/><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293</Pages>
  <Words>24710</Words>
  <Characters>25651</Characters>
  <Lines>1616</Lines>
  <Paragraphs>455</Paragraphs>
  <TotalTime>3</TotalTime>
  <ScaleCrop>false</ScaleCrop>
  <LinksUpToDate>false</LinksUpToDate>
  <CharactersWithSpaces>25795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LT</dc:creator>
  <cp:lastModifiedBy>宁馨</cp:lastModifiedBy>
  <cp:lastPrinted>2022-03-16T10:00:00Z</cp:lastPrinted>
  <dcterms:modified xsi:type="dcterms:W3CDTF">2026-04-30T09:02:16Z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9AB834F069234D86A566937792BC3FA9</vt:lpwstr>
  </property>
  <property fmtid="{D5CDD505-2E9C-101B-9397-08002B2CF9AE}" pid="4" name="KSOTemplateDocerSaveRecord">
    <vt:lpwstr>eyJoZGlkIjoiM2NlYTJkZDI2NjAxN2Y1NjhkNTAwMjRiMjIwZmFkMjUiLCJ1c2VySWQiOiI0NTU3MTAyMjEifQ==</vt:lpwstr>
  </property>
</Properties>
</file>